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DE316D">
        <w:rPr>
          <w:b/>
          <w:sz w:val="36"/>
          <w:szCs w:val="36"/>
        </w:rPr>
        <w:t>зультатам мониторинга в августе</w:t>
      </w:r>
      <w:r w:rsidR="003C21A5">
        <w:rPr>
          <w:b/>
          <w:sz w:val="36"/>
          <w:szCs w:val="36"/>
        </w:rPr>
        <w:t xml:space="preserve"> 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</w:t>
      </w:r>
      <w:proofErr w:type="gramEnd"/>
      <w:r w:rsidR="003C21A5">
        <w:rPr>
          <w:sz w:val="28"/>
          <w:szCs w:val="28"/>
        </w:rPr>
        <w:t xml:space="preserve">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DE316D" w:rsidRPr="005D209D" w:rsidRDefault="00174057" w:rsidP="00DE3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DE316D" w:rsidRPr="005D209D">
        <w:rPr>
          <w:sz w:val="28"/>
          <w:szCs w:val="28"/>
        </w:rPr>
        <w:t xml:space="preserve">во втором полугодии 2021 года </w:t>
      </w:r>
      <w:r w:rsidR="009E5F47">
        <w:rPr>
          <w:sz w:val="28"/>
          <w:szCs w:val="28"/>
        </w:rPr>
        <w:t>на территории 117 муниципальных образований  установ</w:t>
      </w:r>
      <w:r w:rsidR="009E5F47">
        <w:rPr>
          <w:sz w:val="28"/>
          <w:szCs w:val="28"/>
        </w:rPr>
        <w:t xml:space="preserve">лены </w:t>
      </w:r>
      <w:r w:rsidR="009E5F47">
        <w:rPr>
          <w:sz w:val="28"/>
          <w:szCs w:val="28"/>
        </w:rPr>
        <w:t xml:space="preserve">предельные индексы в размере 5,4 %, что не превышает средний индекс по области более чем на величину отклонения. </w:t>
      </w:r>
      <w:proofErr w:type="gramStart"/>
      <w:r w:rsidR="009E5F47">
        <w:rPr>
          <w:sz w:val="28"/>
          <w:szCs w:val="28"/>
        </w:rPr>
        <w:t>Н</w:t>
      </w:r>
      <w:r w:rsidR="00DE316D" w:rsidRPr="005D209D">
        <w:rPr>
          <w:sz w:val="28"/>
          <w:szCs w:val="28"/>
        </w:rPr>
        <w:t xml:space="preserve">а территории </w:t>
      </w:r>
      <w:proofErr w:type="spellStart"/>
      <w:r w:rsidR="00DE316D" w:rsidRPr="005D209D">
        <w:rPr>
          <w:sz w:val="28"/>
          <w:szCs w:val="28"/>
        </w:rPr>
        <w:t>г.о</w:t>
      </w:r>
      <w:proofErr w:type="spellEnd"/>
      <w:r w:rsidR="00DE316D" w:rsidRPr="005D209D">
        <w:rPr>
          <w:sz w:val="28"/>
          <w:szCs w:val="28"/>
        </w:rPr>
        <w:t xml:space="preserve">. Кинешма,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городского поселения, </w:t>
      </w:r>
      <w:proofErr w:type="spellStart"/>
      <w:r w:rsidR="00DE316D" w:rsidRPr="005D209D">
        <w:rPr>
          <w:sz w:val="28"/>
          <w:szCs w:val="28"/>
        </w:rPr>
        <w:t>Мытского</w:t>
      </w:r>
      <w:proofErr w:type="spellEnd"/>
      <w:r w:rsidR="00DE316D" w:rsidRPr="005D209D">
        <w:rPr>
          <w:sz w:val="28"/>
          <w:szCs w:val="28"/>
        </w:rPr>
        <w:t xml:space="preserve"> сельского поселения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муниципального района, </w:t>
      </w:r>
      <w:proofErr w:type="spellStart"/>
      <w:r w:rsidR="00DE316D" w:rsidRPr="005D209D">
        <w:rPr>
          <w:sz w:val="28"/>
          <w:szCs w:val="28"/>
        </w:rPr>
        <w:t>Подвязновского</w:t>
      </w:r>
      <w:proofErr w:type="spellEnd"/>
      <w:r w:rsidR="00DE316D" w:rsidRPr="005D209D">
        <w:rPr>
          <w:sz w:val="28"/>
          <w:szCs w:val="28"/>
        </w:rPr>
        <w:t xml:space="preserve"> и Богородского сельских поселений Ивано</w:t>
      </w:r>
      <w:r w:rsidR="00DE316D">
        <w:rPr>
          <w:sz w:val="28"/>
          <w:szCs w:val="28"/>
        </w:rPr>
        <w:t>вского муниципального района</w:t>
      </w:r>
      <w:bookmarkStart w:id="0" w:name="_GoBack"/>
      <w:bookmarkEnd w:id="0"/>
      <w:r w:rsidR="00DE316D">
        <w:rPr>
          <w:sz w:val="28"/>
          <w:szCs w:val="28"/>
        </w:rPr>
        <w:t xml:space="preserve"> установлены</w:t>
      </w:r>
      <w:r w:rsidR="00DE316D" w:rsidRPr="005D209D">
        <w:rPr>
          <w:sz w:val="28"/>
          <w:szCs w:val="28"/>
        </w:rPr>
        <w:t xml:space="preserve"> предельные индексы в размере 10%.</w:t>
      </w:r>
      <w:proofErr w:type="gramEnd"/>
    </w:p>
    <w:p w:rsidR="00604C11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31EF">
        <w:rPr>
          <w:sz w:val="28"/>
          <w:szCs w:val="28"/>
        </w:rPr>
        <w:t>Основаниями для установления по пяти муниципальным образованиям предельных индексов, превышающих индекс по области более чем на величину отклонения, является необходимость реализации положений заключенных концессионных соглашений</w:t>
      </w:r>
      <w:r w:rsidRPr="005722A7">
        <w:t xml:space="preserve"> </w:t>
      </w:r>
      <w:r w:rsidRPr="005722A7">
        <w:rPr>
          <w:sz w:val="28"/>
          <w:szCs w:val="28"/>
        </w:rPr>
        <w:t>в отношении объектов теплоснабжения</w:t>
      </w:r>
      <w:r w:rsidRPr="004831EF">
        <w:rPr>
          <w:sz w:val="28"/>
          <w:szCs w:val="28"/>
        </w:rPr>
        <w:t xml:space="preserve">, </w:t>
      </w:r>
      <w:r w:rsidRPr="0078320E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>,</w:t>
      </w:r>
      <w:r w:rsidRPr="004831EF">
        <w:rPr>
          <w:sz w:val="28"/>
          <w:szCs w:val="28"/>
        </w:rPr>
        <w:t xml:space="preserve"> в соответствии с подпунктом «д» пункта 46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РФ от 30.04.2014 № 400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Основы формирования индексов)</w:t>
      </w:r>
      <w:r w:rsidRPr="004831EF">
        <w:rPr>
          <w:sz w:val="28"/>
          <w:szCs w:val="28"/>
        </w:rPr>
        <w:t>.</w:t>
      </w:r>
      <w:proofErr w:type="gramEnd"/>
    </w:p>
    <w:p w:rsidR="00604C11" w:rsidRPr="004831EF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43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F4B24">
        <w:rPr>
          <w:sz w:val="28"/>
          <w:szCs w:val="28"/>
        </w:rPr>
        <w:t xml:space="preserve">редставительными органами </w:t>
      </w:r>
      <w:r>
        <w:rPr>
          <w:sz w:val="28"/>
          <w:szCs w:val="28"/>
        </w:rPr>
        <w:t xml:space="preserve">указанных муниципальных образований </w:t>
      </w:r>
      <w:r w:rsidRPr="00BF4B24">
        <w:rPr>
          <w:sz w:val="28"/>
          <w:szCs w:val="28"/>
        </w:rPr>
        <w:t xml:space="preserve">приняты решения о согласовании проекта указа Губернатора Ивановской области в части </w:t>
      </w:r>
      <w:r w:rsidRPr="00BF4B24">
        <w:rPr>
          <w:sz w:val="28"/>
          <w:szCs w:val="28"/>
        </w:rPr>
        <w:lastRenderedPageBreak/>
        <w:t>установления на территории указанных муниципальных образований предельного индекса с 1 июля 2021 года в размере 10%.</w:t>
      </w:r>
    </w:p>
    <w:p w:rsidR="00604C11" w:rsidRDefault="00604C11" w:rsidP="0060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пяти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604C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DE316D">
        <w:rPr>
          <w:sz w:val="28"/>
          <w:szCs w:val="28"/>
        </w:rPr>
        <w:t>в августе</w:t>
      </w:r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604C11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6D" w:rsidRDefault="00DE316D">
      <w:r>
        <w:separator/>
      </w:r>
    </w:p>
  </w:endnote>
  <w:endnote w:type="continuationSeparator" w:id="0">
    <w:p w:rsidR="00DE316D" w:rsidRDefault="00D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6D" w:rsidRDefault="00DE316D">
      <w:r>
        <w:separator/>
      </w:r>
    </w:p>
  </w:footnote>
  <w:footnote w:type="continuationSeparator" w:id="0">
    <w:p w:rsidR="00DE316D" w:rsidRDefault="00DE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16D" w:rsidRDefault="00DE316D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04F2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4C11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1308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5F47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B585A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73AE1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E316D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064A-3CF9-40C1-8EE4-6E1760E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491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3810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38</cp:revision>
  <cp:lastPrinted>2018-07-06T07:04:00Z</cp:lastPrinted>
  <dcterms:created xsi:type="dcterms:W3CDTF">2018-07-06T07:02:00Z</dcterms:created>
  <dcterms:modified xsi:type="dcterms:W3CDTF">2021-09-29T11:59:00Z</dcterms:modified>
</cp:coreProperties>
</file>