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84C" w:rsidRPr="00D63A3D" w:rsidRDefault="005B384C" w:rsidP="005B384C">
      <w:pPr>
        <w:tabs>
          <w:tab w:val="left" w:pos="8789"/>
        </w:tabs>
        <w:jc w:val="center"/>
        <w:rPr>
          <w:b/>
          <w:sz w:val="24"/>
          <w:szCs w:val="24"/>
          <w:u w:val="single"/>
        </w:rPr>
      </w:pPr>
    </w:p>
    <w:p w:rsidR="005B384C" w:rsidRPr="00D63A3D" w:rsidRDefault="00C933E2" w:rsidP="005B384C">
      <w:pPr>
        <w:tabs>
          <w:tab w:val="left" w:pos="8789"/>
        </w:tabs>
        <w:jc w:val="center"/>
        <w:rPr>
          <w:b/>
          <w:sz w:val="24"/>
          <w:szCs w:val="24"/>
          <w:u w:val="single"/>
        </w:rPr>
      </w:pPr>
      <w:r>
        <w:rPr>
          <w:b/>
          <w:sz w:val="24"/>
          <w:szCs w:val="24"/>
          <w:u w:val="single"/>
        </w:rPr>
        <w:t xml:space="preserve">В </w:t>
      </w:r>
      <w:proofErr w:type="gramStart"/>
      <w:r>
        <w:rPr>
          <w:b/>
          <w:sz w:val="24"/>
          <w:szCs w:val="24"/>
          <w:u w:val="single"/>
        </w:rPr>
        <w:t>Ы</w:t>
      </w:r>
      <w:proofErr w:type="gramEnd"/>
      <w:r>
        <w:rPr>
          <w:b/>
          <w:sz w:val="24"/>
          <w:szCs w:val="24"/>
          <w:u w:val="single"/>
        </w:rPr>
        <w:t xml:space="preserve"> П И С К А   И З    </w:t>
      </w:r>
      <w:r w:rsidR="005B384C" w:rsidRPr="00D63A3D">
        <w:rPr>
          <w:b/>
          <w:sz w:val="24"/>
          <w:szCs w:val="24"/>
          <w:u w:val="single"/>
        </w:rPr>
        <w:t>П Р О Т О К О Л</w:t>
      </w:r>
      <w:r>
        <w:rPr>
          <w:b/>
          <w:sz w:val="24"/>
          <w:szCs w:val="24"/>
          <w:u w:val="single"/>
        </w:rPr>
        <w:t xml:space="preserve"> А</w:t>
      </w:r>
      <w:r w:rsidR="005B384C" w:rsidRPr="00D63A3D">
        <w:rPr>
          <w:b/>
          <w:sz w:val="24"/>
          <w:szCs w:val="24"/>
          <w:u w:val="single"/>
        </w:rPr>
        <w:t xml:space="preserve">    № </w:t>
      </w:r>
      <w:r w:rsidR="00553E15">
        <w:rPr>
          <w:b/>
          <w:sz w:val="24"/>
          <w:szCs w:val="24"/>
          <w:u w:val="single"/>
        </w:rPr>
        <w:t>60</w:t>
      </w:r>
      <w:r w:rsidR="00C45974" w:rsidRPr="00D63A3D">
        <w:rPr>
          <w:b/>
          <w:sz w:val="24"/>
          <w:szCs w:val="24"/>
          <w:u w:val="single"/>
        </w:rPr>
        <w:t>/1</w:t>
      </w:r>
    </w:p>
    <w:p w:rsidR="005B384C" w:rsidRPr="00D63A3D" w:rsidRDefault="005B384C" w:rsidP="005B384C">
      <w:pPr>
        <w:tabs>
          <w:tab w:val="left" w:pos="8789"/>
        </w:tabs>
        <w:jc w:val="center"/>
        <w:rPr>
          <w:sz w:val="24"/>
          <w:szCs w:val="24"/>
        </w:rPr>
      </w:pPr>
      <w:r w:rsidRPr="00D63A3D">
        <w:rPr>
          <w:sz w:val="24"/>
          <w:szCs w:val="24"/>
        </w:rPr>
        <w:t>заседания Правления Департамента энергетики и тарифов Ивановской области</w:t>
      </w:r>
    </w:p>
    <w:p w:rsidR="005B384C" w:rsidRPr="00D63A3D" w:rsidRDefault="005B384C" w:rsidP="003A364D">
      <w:pPr>
        <w:spacing w:line="276" w:lineRule="auto"/>
        <w:jc w:val="center"/>
        <w:rPr>
          <w:sz w:val="24"/>
          <w:szCs w:val="24"/>
        </w:rPr>
      </w:pPr>
    </w:p>
    <w:p w:rsidR="005B384C" w:rsidRPr="00D63A3D" w:rsidRDefault="00F61D56" w:rsidP="005B384C">
      <w:pPr>
        <w:jc w:val="center"/>
        <w:rPr>
          <w:sz w:val="24"/>
          <w:szCs w:val="24"/>
        </w:rPr>
      </w:pPr>
      <w:r w:rsidRPr="00D63A3D">
        <w:rPr>
          <w:sz w:val="24"/>
          <w:szCs w:val="24"/>
        </w:rPr>
        <w:t>2</w:t>
      </w:r>
      <w:r w:rsidR="00553E15">
        <w:rPr>
          <w:sz w:val="24"/>
          <w:szCs w:val="24"/>
        </w:rPr>
        <w:t>9</w:t>
      </w:r>
      <w:r w:rsidR="00C45974" w:rsidRPr="00D63A3D">
        <w:rPr>
          <w:sz w:val="24"/>
          <w:szCs w:val="24"/>
        </w:rPr>
        <w:t xml:space="preserve"> </w:t>
      </w:r>
      <w:r w:rsidR="00553E15">
        <w:rPr>
          <w:sz w:val="24"/>
          <w:szCs w:val="24"/>
        </w:rPr>
        <w:t>декабря</w:t>
      </w:r>
      <w:r w:rsidR="00CD1ACA" w:rsidRPr="00D63A3D">
        <w:rPr>
          <w:sz w:val="24"/>
          <w:szCs w:val="24"/>
        </w:rPr>
        <w:t xml:space="preserve"> </w:t>
      </w:r>
      <w:r w:rsidR="00C45974" w:rsidRPr="00D63A3D">
        <w:rPr>
          <w:sz w:val="24"/>
          <w:szCs w:val="24"/>
        </w:rPr>
        <w:t>202</w:t>
      </w:r>
      <w:r w:rsidR="00A423D8" w:rsidRPr="00D63A3D">
        <w:rPr>
          <w:sz w:val="24"/>
          <w:szCs w:val="24"/>
        </w:rPr>
        <w:t>1</w:t>
      </w:r>
      <w:r w:rsidR="00B173E4" w:rsidRPr="00D63A3D">
        <w:rPr>
          <w:sz w:val="24"/>
          <w:szCs w:val="24"/>
        </w:rPr>
        <w:t xml:space="preserve"> </w:t>
      </w:r>
      <w:r w:rsidR="005B384C" w:rsidRPr="00D63A3D">
        <w:rPr>
          <w:sz w:val="24"/>
          <w:szCs w:val="24"/>
        </w:rPr>
        <w:t>г.</w:t>
      </w:r>
      <w:r w:rsidR="005B384C" w:rsidRPr="00D63A3D">
        <w:rPr>
          <w:sz w:val="24"/>
          <w:szCs w:val="24"/>
        </w:rPr>
        <w:tab/>
        <w:t xml:space="preserve"> </w:t>
      </w:r>
      <w:r w:rsidR="005B384C" w:rsidRPr="00D63A3D">
        <w:rPr>
          <w:sz w:val="24"/>
          <w:szCs w:val="24"/>
        </w:rPr>
        <w:tab/>
      </w:r>
      <w:r w:rsidR="005B384C" w:rsidRPr="00D63A3D">
        <w:rPr>
          <w:sz w:val="24"/>
          <w:szCs w:val="24"/>
        </w:rPr>
        <w:tab/>
      </w:r>
      <w:r w:rsidR="005B384C" w:rsidRPr="00D63A3D">
        <w:rPr>
          <w:sz w:val="24"/>
          <w:szCs w:val="24"/>
        </w:rPr>
        <w:tab/>
      </w:r>
      <w:r w:rsidR="005B384C" w:rsidRPr="00D63A3D">
        <w:rPr>
          <w:sz w:val="24"/>
          <w:szCs w:val="24"/>
        </w:rPr>
        <w:tab/>
      </w:r>
      <w:r w:rsidR="005B384C" w:rsidRPr="00D63A3D">
        <w:rPr>
          <w:sz w:val="24"/>
          <w:szCs w:val="24"/>
        </w:rPr>
        <w:tab/>
      </w:r>
      <w:r w:rsidR="005B384C" w:rsidRPr="00D63A3D">
        <w:rPr>
          <w:sz w:val="24"/>
          <w:szCs w:val="24"/>
        </w:rPr>
        <w:tab/>
      </w:r>
      <w:r w:rsidR="005B384C" w:rsidRPr="00D63A3D">
        <w:rPr>
          <w:sz w:val="24"/>
          <w:szCs w:val="24"/>
        </w:rPr>
        <w:tab/>
        <w:t xml:space="preserve">  </w:t>
      </w:r>
      <w:r w:rsidR="005B384C" w:rsidRPr="00D63A3D">
        <w:rPr>
          <w:sz w:val="24"/>
          <w:szCs w:val="24"/>
        </w:rPr>
        <w:tab/>
      </w:r>
      <w:r w:rsidR="004E2154" w:rsidRPr="00D63A3D">
        <w:rPr>
          <w:sz w:val="24"/>
          <w:szCs w:val="24"/>
        </w:rPr>
        <w:t xml:space="preserve">       </w:t>
      </w:r>
      <w:r w:rsidR="005B384C" w:rsidRPr="00D63A3D">
        <w:rPr>
          <w:sz w:val="24"/>
          <w:szCs w:val="24"/>
        </w:rPr>
        <w:t xml:space="preserve">   г. Иваново</w:t>
      </w:r>
    </w:p>
    <w:p w:rsidR="005B384C" w:rsidRPr="00D63A3D" w:rsidRDefault="005B384C" w:rsidP="005B384C">
      <w:pPr>
        <w:tabs>
          <w:tab w:val="left" w:pos="8789"/>
        </w:tabs>
        <w:jc w:val="center"/>
        <w:rPr>
          <w:sz w:val="24"/>
          <w:szCs w:val="24"/>
        </w:rPr>
      </w:pPr>
    </w:p>
    <w:p w:rsidR="005727B3" w:rsidRPr="005727B3" w:rsidRDefault="005727B3" w:rsidP="005727B3">
      <w:pPr>
        <w:jc w:val="both"/>
        <w:rPr>
          <w:sz w:val="24"/>
          <w:szCs w:val="24"/>
        </w:rPr>
      </w:pPr>
      <w:r w:rsidRPr="005727B3">
        <w:rPr>
          <w:sz w:val="24"/>
          <w:szCs w:val="24"/>
        </w:rPr>
        <w:t>Присутствовали:</w:t>
      </w:r>
    </w:p>
    <w:p w:rsidR="005727B3" w:rsidRPr="005727B3" w:rsidRDefault="005727B3" w:rsidP="005727B3">
      <w:pPr>
        <w:jc w:val="both"/>
        <w:rPr>
          <w:sz w:val="24"/>
          <w:szCs w:val="24"/>
        </w:rPr>
      </w:pPr>
      <w:r w:rsidRPr="005727B3">
        <w:rPr>
          <w:sz w:val="24"/>
          <w:szCs w:val="24"/>
        </w:rPr>
        <w:t>Председатель Правления: Морева Е.Н.</w:t>
      </w:r>
    </w:p>
    <w:p w:rsidR="005727B3" w:rsidRPr="005727B3" w:rsidRDefault="005727B3" w:rsidP="005727B3">
      <w:pPr>
        <w:jc w:val="both"/>
        <w:rPr>
          <w:sz w:val="24"/>
          <w:szCs w:val="24"/>
        </w:rPr>
      </w:pPr>
      <w:r w:rsidRPr="005727B3">
        <w:rPr>
          <w:sz w:val="24"/>
          <w:szCs w:val="24"/>
        </w:rPr>
        <w:t>Члены Правления: Бугаева С.Е., Коннова Е.А.</w:t>
      </w:r>
    </w:p>
    <w:p w:rsidR="005727B3" w:rsidRPr="005727B3" w:rsidRDefault="005727B3" w:rsidP="005727B3">
      <w:pPr>
        <w:jc w:val="both"/>
        <w:rPr>
          <w:sz w:val="24"/>
          <w:szCs w:val="24"/>
        </w:rPr>
      </w:pPr>
      <w:r w:rsidRPr="005727B3">
        <w:rPr>
          <w:sz w:val="24"/>
          <w:szCs w:val="24"/>
        </w:rPr>
        <w:t>От Департамента энергетики и тарифов Ивановской области: Назарова О.А., Сергеев М.А., Куфтырева Т.В.</w:t>
      </w:r>
    </w:p>
    <w:p w:rsidR="005727B3" w:rsidRPr="005727B3" w:rsidRDefault="005727B3" w:rsidP="005727B3">
      <w:pPr>
        <w:jc w:val="both"/>
        <w:rPr>
          <w:sz w:val="24"/>
          <w:szCs w:val="24"/>
        </w:rPr>
      </w:pPr>
      <w:r w:rsidRPr="005727B3">
        <w:rPr>
          <w:sz w:val="24"/>
          <w:szCs w:val="24"/>
        </w:rPr>
        <w:t>От филиала ПАО «Россети Центр и Приволжье»- «Ивэнерго»: Ухтин А.А., Цымаенко И.А., Балашов С.В., Кулагина Т.В.</w:t>
      </w:r>
    </w:p>
    <w:p w:rsidR="005727B3" w:rsidRPr="005727B3" w:rsidRDefault="005727B3" w:rsidP="005727B3">
      <w:pPr>
        <w:jc w:val="both"/>
        <w:rPr>
          <w:sz w:val="24"/>
          <w:szCs w:val="24"/>
        </w:rPr>
      </w:pPr>
      <w:r w:rsidRPr="005727B3">
        <w:rPr>
          <w:sz w:val="24"/>
          <w:szCs w:val="24"/>
        </w:rPr>
        <w:t>От АО «Объединенные электрические сети»: Смирнов Б.В.</w:t>
      </w:r>
    </w:p>
    <w:p w:rsidR="005727B3" w:rsidRPr="005727B3" w:rsidRDefault="005727B3" w:rsidP="005727B3">
      <w:pPr>
        <w:jc w:val="both"/>
        <w:rPr>
          <w:sz w:val="24"/>
          <w:szCs w:val="24"/>
        </w:rPr>
      </w:pPr>
      <w:r w:rsidRPr="005727B3">
        <w:rPr>
          <w:sz w:val="24"/>
          <w:szCs w:val="24"/>
        </w:rPr>
        <w:t>От ООО «БизнесПроект»: Луховской Г.С.</w:t>
      </w:r>
    </w:p>
    <w:p w:rsidR="005727B3" w:rsidRPr="005727B3" w:rsidRDefault="005727B3" w:rsidP="005727B3">
      <w:pPr>
        <w:jc w:val="both"/>
        <w:rPr>
          <w:sz w:val="24"/>
          <w:szCs w:val="24"/>
        </w:rPr>
      </w:pPr>
      <w:r w:rsidRPr="005727B3">
        <w:rPr>
          <w:sz w:val="24"/>
          <w:szCs w:val="24"/>
        </w:rPr>
        <w:t>Грехов М.В. (от УФАС России по Ивановской области на праве совещательного голоса, участие в голосовании не принимает).</w:t>
      </w:r>
    </w:p>
    <w:p w:rsidR="005727B3" w:rsidRPr="005727B3" w:rsidRDefault="005727B3" w:rsidP="005727B3">
      <w:pPr>
        <w:jc w:val="both"/>
        <w:rPr>
          <w:sz w:val="24"/>
          <w:szCs w:val="24"/>
        </w:rPr>
      </w:pPr>
      <w:r w:rsidRPr="005727B3">
        <w:rPr>
          <w:sz w:val="24"/>
          <w:szCs w:val="24"/>
        </w:rPr>
        <w:t>От Ассоциации «НП Совет рынка»: Кулешов А.И.</w:t>
      </w:r>
    </w:p>
    <w:p w:rsidR="005727B3" w:rsidRPr="005727B3" w:rsidRDefault="005727B3" w:rsidP="005727B3">
      <w:pPr>
        <w:jc w:val="both"/>
        <w:rPr>
          <w:sz w:val="24"/>
          <w:szCs w:val="24"/>
        </w:rPr>
      </w:pPr>
      <w:r w:rsidRPr="005727B3">
        <w:rPr>
          <w:sz w:val="24"/>
          <w:szCs w:val="24"/>
        </w:rPr>
        <w:t>Ответственный секретарь Правления: Соколова А.В.</w:t>
      </w:r>
    </w:p>
    <w:p w:rsidR="005B384C" w:rsidRDefault="005727B3" w:rsidP="005727B3">
      <w:pPr>
        <w:jc w:val="both"/>
        <w:rPr>
          <w:sz w:val="24"/>
          <w:szCs w:val="24"/>
        </w:rPr>
      </w:pPr>
      <w:r w:rsidRPr="005727B3">
        <w:rPr>
          <w:sz w:val="24"/>
          <w:szCs w:val="24"/>
        </w:rPr>
        <w:t>Члены Правления, предоставившие письменное мнение к заседанию Правления: Гущина Н.Б., Турбачкина Е.В., Курчанинова О.А., Агапова О.П.</w:t>
      </w:r>
    </w:p>
    <w:p w:rsidR="00A43CBA" w:rsidRPr="00D63A3D" w:rsidRDefault="00A43CBA" w:rsidP="005727B3">
      <w:pPr>
        <w:jc w:val="both"/>
        <w:rPr>
          <w:b/>
          <w:sz w:val="24"/>
          <w:szCs w:val="24"/>
        </w:rPr>
      </w:pPr>
    </w:p>
    <w:p w:rsidR="005B384C" w:rsidRPr="00D63A3D" w:rsidRDefault="005B384C" w:rsidP="005B384C">
      <w:pPr>
        <w:tabs>
          <w:tab w:val="left" w:pos="851"/>
        </w:tabs>
        <w:ind w:firstLine="567"/>
        <w:jc w:val="center"/>
        <w:rPr>
          <w:b/>
          <w:sz w:val="24"/>
          <w:szCs w:val="24"/>
        </w:rPr>
      </w:pPr>
      <w:proofErr w:type="gramStart"/>
      <w:r w:rsidRPr="00D63A3D">
        <w:rPr>
          <w:b/>
          <w:sz w:val="24"/>
          <w:szCs w:val="24"/>
        </w:rPr>
        <w:t>П</w:t>
      </w:r>
      <w:proofErr w:type="gramEnd"/>
      <w:r w:rsidRPr="00D63A3D">
        <w:rPr>
          <w:b/>
          <w:sz w:val="24"/>
          <w:szCs w:val="24"/>
        </w:rPr>
        <w:t xml:space="preserve"> О В Е С Т К А:</w:t>
      </w:r>
    </w:p>
    <w:p w:rsidR="005B384C" w:rsidRPr="00D63A3D" w:rsidRDefault="005B384C" w:rsidP="005B384C">
      <w:pPr>
        <w:tabs>
          <w:tab w:val="left" w:pos="851"/>
        </w:tabs>
        <w:ind w:firstLine="567"/>
        <w:jc w:val="center"/>
        <w:rPr>
          <w:b/>
          <w:sz w:val="24"/>
          <w:szCs w:val="24"/>
        </w:rPr>
      </w:pPr>
    </w:p>
    <w:p w:rsidR="00553E15" w:rsidRDefault="009726C9" w:rsidP="00A96B7D">
      <w:pPr>
        <w:pStyle w:val="aa"/>
        <w:tabs>
          <w:tab w:val="left" w:pos="709"/>
          <w:tab w:val="left" w:pos="993"/>
        </w:tabs>
        <w:ind w:left="0" w:firstLine="709"/>
        <w:jc w:val="both"/>
        <w:rPr>
          <w:b/>
          <w:bCs/>
          <w:sz w:val="24"/>
          <w:szCs w:val="24"/>
        </w:rPr>
      </w:pPr>
      <w:r>
        <w:rPr>
          <w:b/>
          <w:bCs/>
          <w:sz w:val="24"/>
          <w:szCs w:val="24"/>
          <w:lang w:val="en-US"/>
        </w:rPr>
        <w:t>I</w:t>
      </w:r>
      <w:r w:rsidR="00A96B7D">
        <w:rPr>
          <w:b/>
          <w:bCs/>
          <w:sz w:val="24"/>
          <w:szCs w:val="24"/>
          <w:lang w:val="en-US"/>
        </w:rPr>
        <w:t>I</w:t>
      </w:r>
      <w:r w:rsidR="00A96B7D" w:rsidRPr="00A96B7D">
        <w:rPr>
          <w:b/>
          <w:bCs/>
          <w:sz w:val="24"/>
          <w:szCs w:val="24"/>
        </w:rPr>
        <w:t xml:space="preserve">. </w:t>
      </w:r>
      <w:r w:rsidR="00553E15" w:rsidRPr="00553E15">
        <w:rPr>
          <w:b/>
          <w:bCs/>
          <w:sz w:val="24"/>
          <w:szCs w:val="24"/>
        </w:rPr>
        <w:t xml:space="preserve">Об установлении необходимой валовой выручки и долгосрочных параметров регулирования для </w:t>
      </w:r>
      <w:r>
        <w:rPr>
          <w:b/>
          <w:bCs/>
          <w:sz w:val="24"/>
          <w:szCs w:val="24"/>
        </w:rPr>
        <w:t>АО «Объединенные электрические сети»</w:t>
      </w:r>
      <w:r w:rsidR="00553E15" w:rsidRPr="00553E15">
        <w:rPr>
          <w:b/>
          <w:bCs/>
          <w:sz w:val="24"/>
          <w:szCs w:val="24"/>
        </w:rPr>
        <w:t xml:space="preserve"> на 2022-2026 годы, в отношении которого тарифы на услуги по передаче электрической энергии устанавливаются на основе долгосрочных параметров регулирования</w:t>
      </w:r>
      <w:r w:rsidR="00553E15">
        <w:rPr>
          <w:b/>
          <w:bCs/>
          <w:sz w:val="24"/>
          <w:szCs w:val="24"/>
        </w:rPr>
        <w:t>.</w:t>
      </w:r>
    </w:p>
    <w:p w:rsidR="00A96B7D" w:rsidRPr="002D13DA" w:rsidRDefault="00A96B7D" w:rsidP="00553E15">
      <w:pPr>
        <w:pStyle w:val="aa"/>
        <w:tabs>
          <w:tab w:val="left" w:pos="709"/>
          <w:tab w:val="left" w:pos="851"/>
        </w:tabs>
        <w:ind w:left="0" w:firstLine="567"/>
        <w:jc w:val="both"/>
        <w:rPr>
          <w:b/>
          <w:bCs/>
          <w:sz w:val="24"/>
          <w:szCs w:val="24"/>
        </w:rPr>
      </w:pPr>
    </w:p>
    <w:p w:rsidR="00C2019E" w:rsidRPr="00D63A3D" w:rsidRDefault="009726C9" w:rsidP="00C2019E">
      <w:pPr>
        <w:pStyle w:val="aa"/>
        <w:tabs>
          <w:tab w:val="left" w:pos="709"/>
          <w:tab w:val="left" w:pos="851"/>
        </w:tabs>
        <w:ind w:left="0" w:firstLine="567"/>
        <w:jc w:val="both"/>
        <w:rPr>
          <w:b/>
          <w:bCs/>
          <w:sz w:val="24"/>
          <w:szCs w:val="24"/>
        </w:rPr>
      </w:pPr>
      <w:r>
        <w:rPr>
          <w:b/>
          <w:bCs/>
          <w:sz w:val="24"/>
          <w:szCs w:val="24"/>
        </w:rPr>
        <w:t>II</w:t>
      </w:r>
      <w:r w:rsidR="00C2019E" w:rsidRPr="00C2019E">
        <w:rPr>
          <w:b/>
          <w:bCs/>
          <w:sz w:val="24"/>
          <w:szCs w:val="24"/>
        </w:rPr>
        <w:t>.</w:t>
      </w:r>
      <w:r w:rsidR="00C2019E" w:rsidRPr="00C2019E">
        <w:t xml:space="preserve"> </w:t>
      </w:r>
      <w:r w:rsidR="00C2019E" w:rsidRPr="00C2019E">
        <w:rPr>
          <w:b/>
          <w:bCs/>
          <w:sz w:val="24"/>
          <w:szCs w:val="24"/>
        </w:rPr>
        <w:t>СЛУШАЛИ:</w:t>
      </w:r>
      <w:r w:rsidR="00C2019E" w:rsidRPr="00C2019E">
        <w:rPr>
          <w:b/>
          <w:bCs/>
          <w:sz w:val="24"/>
          <w:szCs w:val="24"/>
        </w:rPr>
        <w:tab/>
        <w:t xml:space="preserve">Об установлении необходимой валовой выручки и долгосрочных параметров регулирования для </w:t>
      </w:r>
      <w:r>
        <w:rPr>
          <w:b/>
          <w:bCs/>
          <w:sz w:val="24"/>
          <w:szCs w:val="24"/>
        </w:rPr>
        <w:t>АО «Объединенные электрические сети»</w:t>
      </w:r>
      <w:r w:rsidR="00C2019E" w:rsidRPr="00C2019E">
        <w:rPr>
          <w:b/>
          <w:bCs/>
          <w:sz w:val="24"/>
          <w:szCs w:val="24"/>
        </w:rPr>
        <w:t xml:space="preserve"> на 2022-2026 годы, в отношении которого тарифы на услуги по передаче электрической энергии устанавливаются на основе долгосрочных параметров регулирования.</w:t>
      </w:r>
      <w:r w:rsidR="00E72419">
        <w:rPr>
          <w:b/>
          <w:bCs/>
          <w:sz w:val="24"/>
          <w:szCs w:val="24"/>
        </w:rPr>
        <w:t xml:space="preserve"> </w:t>
      </w:r>
      <w:r w:rsidR="00E72419" w:rsidRPr="00E72419">
        <w:rPr>
          <w:b/>
          <w:bCs/>
          <w:sz w:val="24"/>
          <w:szCs w:val="24"/>
        </w:rPr>
        <w:t>(Морева, Коннова, Сергеев)</w:t>
      </w:r>
    </w:p>
    <w:p w:rsidR="00C2019E" w:rsidRPr="004A3A97" w:rsidRDefault="00C2019E" w:rsidP="00C2019E">
      <w:pPr>
        <w:tabs>
          <w:tab w:val="left" w:pos="993"/>
          <w:tab w:val="left" w:pos="1418"/>
          <w:tab w:val="left" w:pos="4020"/>
        </w:tabs>
        <w:ind w:firstLine="567"/>
        <w:jc w:val="both"/>
        <w:rPr>
          <w:bCs/>
          <w:sz w:val="24"/>
          <w:szCs w:val="24"/>
        </w:rPr>
      </w:pPr>
      <w:r w:rsidRPr="004A3A97">
        <w:rPr>
          <w:bCs/>
          <w:sz w:val="24"/>
          <w:szCs w:val="24"/>
        </w:rPr>
        <w:t xml:space="preserve">Рассмотрено дело в части установления необходимой валовой выручки (далее – НВВ) и долгосрочных параметров регулирования для </w:t>
      </w:r>
      <w:r w:rsidR="009726C9">
        <w:rPr>
          <w:bCs/>
          <w:sz w:val="24"/>
          <w:szCs w:val="24"/>
        </w:rPr>
        <w:t>АО «Объединенные электрические сети»</w:t>
      </w:r>
      <w:r>
        <w:rPr>
          <w:bCs/>
          <w:sz w:val="24"/>
          <w:szCs w:val="24"/>
        </w:rPr>
        <w:t xml:space="preserve"> </w:t>
      </w:r>
      <w:r w:rsidRPr="004A3A97">
        <w:rPr>
          <w:bCs/>
          <w:sz w:val="24"/>
          <w:szCs w:val="24"/>
        </w:rPr>
        <w:t>на 202</w:t>
      </w:r>
      <w:r>
        <w:rPr>
          <w:bCs/>
          <w:sz w:val="24"/>
          <w:szCs w:val="24"/>
        </w:rPr>
        <w:t>2</w:t>
      </w:r>
      <w:r w:rsidRPr="004A3A97">
        <w:rPr>
          <w:bCs/>
          <w:sz w:val="24"/>
          <w:szCs w:val="24"/>
        </w:rPr>
        <w:t>-202</w:t>
      </w:r>
      <w:r>
        <w:rPr>
          <w:bCs/>
          <w:sz w:val="24"/>
          <w:szCs w:val="24"/>
        </w:rPr>
        <w:t>6</w:t>
      </w:r>
      <w:r w:rsidRPr="004A3A97">
        <w:rPr>
          <w:bCs/>
          <w:sz w:val="24"/>
          <w:szCs w:val="24"/>
        </w:rPr>
        <w:t xml:space="preserve"> годы, в отношении которого тарифы на услуги по передаче электрической энергии устанавливаются на основе долгосрочных параметров регулирования.</w:t>
      </w:r>
    </w:p>
    <w:p w:rsidR="00C2019E" w:rsidRPr="004A3A97" w:rsidRDefault="00C2019E" w:rsidP="00C2019E">
      <w:pPr>
        <w:tabs>
          <w:tab w:val="left" w:pos="993"/>
          <w:tab w:val="left" w:pos="1418"/>
          <w:tab w:val="left" w:pos="4020"/>
        </w:tabs>
        <w:ind w:firstLine="567"/>
        <w:jc w:val="both"/>
        <w:rPr>
          <w:sz w:val="24"/>
          <w:szCs w:val="24"/>
        </w:rPr>
      </w:pPr>
      <w:r w:rsidRPr="004A3A97">
        <w:rPr>
          <w:sz w:val="24"/>
          <w:szCs w:val="24"/>
        </w:rPr>
        <w:t>В соответствии с проведенной экспертизой установлено, что вышеуказанная сетевая организация соответствует Критериям отнесения владельцев объектов электросетевого хозяйства к территориальным сетевым организациям, утвержденным постановлением Правительства РФ от 28.02.2015 № 184.</w:t>
      </w:r>
    </w:p>
    <w:p w:rsidR="00C2019E" w:rsidRPr="004A3A97" w:rsidRDefault="00C2019E" w:rsidP="00C2019E">
      <w:pPr>
        <w:ind w:firstLine="567"/>
        <w:jc w:val="both"/>
        <w:rPr>
          <w:sz w:val="24"/>
          <w:szCs w:val="24"/>
        </w:rPr>
      </w:pPr>
      <w:r w:rsidRPr="004A3A97">
        <w:rPr>
          <w:bCs/>
          <w:sz w:val="24"/>
          <w:szCs w:val="24"/>
        </w:rPr>
        <w:t>Департамент энергетики и тарифов Ивановской области (далее – Департамент) отмечает, что расчеты произведены специалистами Департамента в</w:t>
      </w:r>
      <w:r w:rsidRPr="004A3A97">
        <w:rPr>
          <w:sz w:val="24"/>
          <w:szCs w:val="24"/>
        </w:rPr>
        <w:t xml:space="preserve"> соответствии </w:t>
      </w:r>
      <w:proofErr w:type="gramStart"/>
      <w:r w:rsidRPr="004A3A97">
        <w:rPr>
          <w:sz w:val="24"/>
          <w:szCs w:val="24"/>
        </w:rPr>
        <w:t>с</w:t>
      </w:r>
      <w:proofErr w:type="gramEnd"/>
      <w:r w:rsidRPr="004A3A97">
        <w:rPr>
          <w:sz w:val="24"/>
          <w:szCs w:val="24"/>
        </w:rPr>
        <w:t>:</w:t>
      </w:r>
    </w:p>
    <w:p w:rsidR="00C2019E" w:rsidRPr="004A3A97" w:rsidRDefault="00C2019E" w:rsidP="00C2019E">
      <w:pPr>
        <w:numPr>
          <w:ilvl w:val="0"/>
          <w:numId w:val="1"/>
        </w:numPr>
        <w:tabs>
          <w:tab w:val="left" w:pos="709"/>
          <w:tab w:val="left" w:pos="851"/>
          <w:tab w:val="left" w:pos="4020"/>
        </w:tabs>
        <w:ind w:left="0" w:firstLine="567"/>
        <w:jc w:val="both"/>
        <w:rPr>
          <w:sz w:val="24"/>
          <w:szCs w:val="24"/>
        </w:rPr>
      </w:pPr>
      <w:r w:rsidRPr="004A3A97">
        <w:rPr>
          <w:bCs/>
          <w:sz w:val="24"/>
          <w:szCs w:val="24"/>
        </w:rPr>
        <w:t xml:space="preserve">макроэкономическими показателями одобренного Правительством Российской Федерации прогноза социально-экономического развития Российской Федерации на </w:t>
      </w:r>
      <w:r w:rsidR="00A96B7D" w:rsidRPr="00A96B7D">
        <w:rPr>
          <w:bCs/>
          <w:sz w:val="24"/>
          <w:szCs w:val="24"/>
        </w:rPr>
        <w:t xml:space="preserve">2022 </w:t>
      </w:r>
      <w:r w:rsidR="00A96B7D">
        <w:rPr>
          <w:bCs/>
          <w:sz w:val="24"/>
          <w:szCs w:val="24"/>
        </w:rPr>
        <w:t>год и плановый п</w:t>
      </w:r>
      <w:r w:rsidRPr="004A3A97">
        <w:rPr>
          <w:bCs/>
          <w:sz w:val="24"/>
          <w:szCs w:val="24"/>
        </w:rPr>
        <w:t xml:space="preserve">ериод 2023 </w:t>
      </w:r>
      <w:r w:rsidR="00A96B7D">
        <w:rPr>
          <w:bCs/>
          <w:sz w:val="24"/>
          <w:szCs w:val="24"/>
        </w:rPr>
        <w:t>и 2024 годы</w:t>
      </w:r>
      <w:r w:rsidRPr="004A3A97">
        <w:rPr>
          <w:sz w:val="24"/>
          <w:szCs w:val="24"/>
        </w:rPr>
        <w:t>,</w:t>
      </w:r>
    </w:p>
    <w:p w:rsidR="00C2019E" w:rsidRPr="004A3A97" w:rsidRDefault="00C2019E" w:rsidP="00C2019E">
      <w:pPr>
        <w:numPr>
          <w:ilvl w:val="0"/>
          <w:numId w:val="1"/>
        </w:numPr>
        <w:tabs>
          <w:tab w:val="left" w:pos="709"/>
          <w:tab w:val="left" w:pos="851"/>
          <w:tab w:val="left" w:pos="4020"/>
        </w:tabs>
        <w:ind w:left="0" w:firstLine="567"/>
        <w:jc w:val="both"/>
        <w:rPr>
          <w:sz w:val="24"/>
          <w:szCs w:val="24"/>
        </w:rPr>
      </w:pPr>
      <w:r w:rsidRPr="004A3A97">
        <w:rPr>
          <w:sz w:val="24"/>
          <w:szCs w:val="24"/>
        </w:rPr>
        <w:t xml:space="preserve"> положениями постановления Правительства Российской Федерации от 29.12.2011 № 1178 «О ценообразовании в области регулируемых цен (тарифов) в электроэнергетике»</w:t>
      </w:r>
      <w:r w:rsidR="00C54034">
        <w:rPr>
          <w:sz w:val="24"/>
          <w:szCs w:val="24"/>
        </w:rPr>
        <w:t xml:space="preserve"> (далее – Основы ценообразования)</w:t>
      </w:r>
      <w:r w:rsidRPr="004A3A97">
        <w:rPr>
          <w:sz w:val="24"/>
          <w:szCs w:val="24"/>
        </w:rPr>
        <w:t>,</w:t>
      </w:r>
    </w:p>
    <w:p w:rsidR="00C2019E" w:rsidRPr="004A3A97" w:rsidRDefault="00C2019E" w:rsidP="00C2019E">
      <w:pPr>
        <w:widowControl/>
        <w:numPr>
          <w:ilvl w:val="0"/>
          <w:numId w:val="2"/>
        </w:numPr>
        <w:autoSpaceDE w:val="0"/>
        <w:autoSpaceDN w:val="0"/>
        <w:adjustRightInd w:val="0"/>
        <w:ind w:left="0" w:firstLine="567"/>
        <w:jc w:val="both"/>
        <w:rPr>
          <w:sz w:val="24"/>
          <w:szCs w:val="24"/>
        </w:rPr>
      </w:pPr>
      <w:r w:rsidRPr="004A3A97">
        <w:rPr>
          <w:sz w:val="24"/>
          <w:szCs w:val="24"/>
        </w:rPr>
        <w:t>приказом ФСТ России от 17.02.2012 №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(далее – Методические указания № 98-э).</w:t>
      </w:r>
    </w:p>
    <w:p w:rsidR="00C2019E" w:rsidRPr="004A3A97" w:rsidRDefault="00C2019E" w:rsidP="00C2019E">
      <w:pPr>
        <w:ind w:firstLine="567"/>
        <w:jc w:val="both"/>
        <w:rPr>
          <w:sz w:val="24"/>
          <w:szCs w:val="24"/>
        </w:rPr>
      </w:pPr>
      <w:r w:rsidRPr="004A3A97">
        <w:rPr>
          <w:sz w:val="24"/>
          <w:szCs w:val="24"/>
        </w:rPr>
        <w:t xml:space="preserve">Основные показатели деятельности </w:t>
      </w:r>
      <w:r w:rsidR="009726C9">
        <w:rPr>
          <w:bCs/>
          <w:sz w:val="24"/>
          <w:szCs w:val="24"/>
        </w:rPr>
        <w:t>АО «Объединенные электрические сети»</w:t>
      </w:r>
      <w:r w:rsidRPr="004A3A97">
        <w:rPr>
          <w:bCs/>
          <w:sz w:val="24"/>
          <w:szCs w:val="24"/>
        </w:rPr>
        <w:t xml:space="preserve">, </w:t>
      </w:r>
      <w:r w:rsidRPr="004A3A97">
        <w:rPr>
          <w:sz w:val="24"/>
          <w:szCs w:val="24"/>
        </w:rPr>
        <w:t xml:space="preserve">принимаемые в </w:t>
      </w:r>
      <w:r w:rsidRPr="004A3A97">
        <w:rPr>
          <w:sz w:val="24"/>
          <w:szCs w:val="24"/>
        </w:rPr>
        <w:lastRenderedPageBreak/>
        <w:t>расчет единых (котловых) и индивидуальных тарифов на услуги по передаче электрической энергии на 202</w:t>
      </w:r>
      <w:r>
        <w:rPr>
          <w:sz w:val="24"/>
          <w:szCs w:val="24"/>
        </w:rPr>
        <w:t>2</w:t>
      </w:r>
      <w:r w:rsidRPr="004A3A97">
        <w:rPr>
          <w:sz w:val="24"/>
          <w:szCs w:val="24"/>
        </w:rPr>
        <w:t xml:space="preserve"> год, а также долгосрочные параметры регулирования на 202</w:t>
      </w:r>
      <w:r>
        <w:rPr>
          <w:sz w:val="24"/>
          <w:szCs w:val="24"/>
        </w:rPr>
        <w:t>2</w:t>
      </w:r>
      <w:r w:rsidRPr="004A3A97">
        <w:rPr>
          <w:sz w:val="24"/>
          <w:szCs w:val="24"/>
        </w:rPr>
        <w:t>-202</w:t>
      </w:r>
      <w:r>
        <w:rPr>
          <w:sz w:val="24"/>
          <w:szCs w:val="24"/>
        </w:rPr>
        <w:t>6</w:t>
      </w:r>
      <w:r w:rsidRPr="004A3A97">
        <w:rPr>
          <w:sz w:val="24"/>
          <w:szCs w:val="24"/>
        </w:rPr>
        <w:t xml:space="preserve"> годы, приведены в приложениях к протоколу.</w:t>
      </w:r>
    </w:p>
    <w:p w:rsidR="00C2019E" w:rsidRDefault="00C2019E" w:rsidP="00C2019E">
      <w:pPr>
        <w:ind w:firstLine="567"/>
        <w:jc w:val="both"/>
        <w:rPr>
          <w:bCs/>
          <w:sz w:val="24"/>
          <w:szCs w:val="24"/>
        </w:rPr>
      </w:pPr>
      <w:r w:rsidRPr="004A3A97">
        <w:rPr>
          <w:bCs/>
          <w:sz w:val="24"/>
          <w:szCs w:val="24"/>
        </w:rPr>
        <w:t>По результатам экспертизы подготовлены расчетные материалы и соответствующее экспертное заключение.</w:t>
      </w:r>
    </w:p>
    <w:p w:rsidR="00C01897" w:rsidRDefault="009726C9" w:rsidP="00C01897">
      <w:pPr>
        <w:ind w:firstLine="567"/>
        <w:jc w:val="both"/>
        <w:rPr>
          <w:bCs/>
          <w:sz w:val="24"/>
          <w:szCs w:val="24"/>
        </w:rPr>
      </w:pPr>
      <w:proofErr w:type="gramStart"/>
      <w:r>
        <w:rPr>
          <w:bCs/>
          <w:sz w:val="24"/>
          <w:szCs w:val="24"/>
        </w:rPr>
        <w:t>АО «Объединенные электрические сети»</w:t>
      </w:r>
      <w:r w:rsidR="001E628A" w:rsidRPr="009820E3">
        <w:rPr>
          <w:bCs/>
          <w:sz w:val="24"/>
          <w:szCs w:val="24"/>
        </w:rPr>
        <w:t xml:space="preserve"> письмом от 29.12.2021 № 101-0</w:t>
      </w:r>
      <w:r>
        <w:rPr>
          <w:bCs/>
          <w:sz w:val="24"/>
          <w:szCs w:val="24"/>
        </w:rPr>
        <w:t>55</w:t>
      </w:r>
      <w:r w:rsidR="001E628A" w:rsidRPr="009820E3">
        <w:rPr>
          <w:bCs/>
          <w:sz w:val="24"/>
          <w:szCs w:val="24"/>
        </w:rPr>
        <w:t xml:space="preserve"> (прилагается к настоящему протоколу) не согласно с предлагаемой к утверждению величиной НВВ, участвующей в расчете тарифов на услуги по передаче электрической энергии (мощности) на 2022 год и считает, что при формировании НВВ Департаментом для </w:t>
      </w:r>
      <w:r>
        <w:rPr>
          <w:bCs/>
          <w:sz w:val="24"/>
          <w:szCs w:val="24"/>
        </w:rPr>
        <w:t>АО «Объединенные электрические сети»</w:t>
      </w:r>
      <w:r w:rsidR="001E628A" w:rsidRPr="009820E3">
        <w:rPr>
          <w:bCs/>
          <w:sz w:val="24"/>
          <w:szCs w:val="24"/>
        </w:rPr>
        <w:t xml:space="preserve"> на 2022 г. расходы по ряду статей учтены не в заявленном организацией объеме.</w:t>
      </w:r>
      <w:proofErr w:type="gramEnd"/>
    </w:p>
    <w:p w:rsidR="00C01897" w:rsidRPr="004C7EA3" w:rsidRDefault="00C01897" w:rsidP="00C01897">
      <w:pPr>
        <w:ind w:firstLine="567"/>
        <w:jc w:val="both"/>
        <w:rPr>
          <w:bCs/>
          <w:sz w:val="24"/>
          <w:szCs w:val="24"/>
        </w:rPr>
      </w:pPr>
      <w:r w:rsidRPr="004C7EA3">
        <w:rPr>
          <w:bCs/>
          <w:sz w:val="24"/>
          <w:szCs w:val="24"/>
        </w:rPr>
        <w:t xml:space="preserve">1. </w:t>
      </w:r>
      <w:proofErr w:type="gramStart"/>
      <w:r w:rsidRPr="004C7EA3">
        <w:rPr>
          <w:bCs/>
          <w:sz w:val="24"/>
          <w:szCs w:val="24"/>
        </w:rPr>
        <w:t>По статье «Оплата услуги по передаче электрической энергии по единой национальной (общероссийской) электрической сети, оказанных ПАО «ФСК</w:t>
      </w:r>
      <w:r w:rsidR="00F93408" w:rsidRPr="004C7EA3">
        <w:rPr>
          <w:bCs/>
          <w:sz w:val="24"/>
          <w:szCs w:val="24"/>
        </w:rPr>
        <w:t xml:space="preserve"> ЕЭС</w:t>
      </w:r>
      <w:r w:rsidRPr="004C7EA3">
        <w:rPr>
          <w:bCs/>
          <w:sz w:val="24"/>
          <w:szCs w:val="24"/>
        </w:rPr>
        <w:t>» за 2018, 2019, 2020, 2021 годы» заявлены расходы в размере 19</w:t>
      </w:r>
      <w:r w:rsidR="00F93408" w:rsidRPr="004C7EA3">
        <w:rPr>
          <w:bCs/>
          <w:sz w:val="24"/>
          <w:szCs w:val="24"/>
        </w:rPr>
        <w:t xml:space="preserve"> </w:t>
      </w:r>
      <w:r w:rsidRPr="004C7EA3">
        <w:rPr>
          <w:bCs/>
          <w:sz w:val="24"/>
          <w:szCs w:val="24"/>
        </w:rPr>
        <w:t>482,30 тыс. руб. Департамент указанные расходы не принимает, как экономически не обоснованные, поскольку в материалах тарифного дела не представлено документов, подтверждающих несение АО «Объединенные электрические сети» указанных расходов в данные периоды</w:t>
      </w:r>
      <w:proofErr w:type="gramEnd"/>
      <w:r w:rsidRPr="004C7EA3">
        <w:rPr>
          <w:bCs/>
          <w:sz w:val="24"/>
          <w:szCs w:val="24"/>
        </w:rPr>
        <w:t>. Расходы на оплату услуг ПАО «ФСК</w:t>
      </w:r>
      <w:r w:rsidR="00F93408" w:rsidRPr="004C7EA3">
        <w:rPr>
          <w:bCs/>
          <w:sz w:val="24"/>
          <w:szCs w:val="24"/>
        </w:rPr>
        <w:t xml:space="preserve"> ЕЭС</w:t>
      </w:r>
      <w:r w:rsidRPr="004C7EA3">
        <w:rPr>
          <w:bCs/>
          <w:sz w:val="24"/>
          <w:szCs w:val="24"/>
        </w:rPr>
        <w:t xml:space="preserve">» в 2018-2020 годах организацией не производились. </w:t>
      </w:r>
      <w:r w:rsidR="00F93408" w:rsidRPr="004C7EA3">
        <w:rPr>
          <w:bCs/>
          <w:sz w:val="24"/>
          <w:szCs w:val="24"/>
        </w:rPr>
        <w:t>Соответствующие фактические р</w:t>
      </w:r>
      <w:r w:rsidRPr="004C7EA3">
        <w:rPr>
          <w:bCs/>
          <w:sz w:val="24"/>
          <w:szCs w:val="24"/>
        </w:rPr>
        <w:t>асходы 2021 года будут оценены Департаментом при установлении тарифов на 2023 год.</w:t>
      </w:r>
    </w:p>
    <w:p w:rsidR="001E628A" w:rsidRPr="00DC0BB5" w:rsidRDefault="00C01897" w:rsidP="00C2019E">
      <w:pPr>
        <w:ind w:firstLine="567"/>
        <w:jc w:val="both"/>
        <w:rPr>
          <w:bCs/>
          <w:sz w:val="24"/>
          <w:szCs w:val="24"/>
        </w:rPr>
      </w:pPr>
      <w:r w:rsidRPr="00DC0BB5">
        <w:rPr>
          <w:bCs/>
          <w:sz w:val="24"/>
          <w:szCs w:val="24"/>
        </w:rPr>
        <w:t>2</w:t>
      </w:r>
      <w:r w:rsidR="001E628A" w:rsidRPr="00DC0BB5">
        <w:rPr>
          <w:bCs/>
          <w:sz w:val="24"/>
          <w:szCs w:val="24"/>
        </w:rPr>
        <w:t xml:space="preserve">. По статье «Расходы, связанные с эксплуатацией объектов электроэнергетики, которые не имеют собственника, собственник которых неизвестен или от права </w:t>
      </w:r>
      <w:proofErr w:type="gramStart"/>
      <w:r w:rsidR="001E628A" w:rsidRPr="00DC0BB5">
        <w:rPr>
          <w:bCs/>
          <w:sz w:val="24"/>
          <w:szCs w:val="24"/>
        </w:rPr>
        <w:t>собственности</w:t>
      </w:r>
      <w:proofErr w:type="gramEnd"/>
      <w:r w:rsidR="001E628A" w:rsidRPr="00DC0BB5">
        <w:rPr>
          <w:bCs/>
          <w:sz w:val="24"/>
          <w:szCs w:val="24"/>
        </w:rPr>
        <w:t xml:space="preserve"> на которые собственник отказался» </w:t>
      </w:r>
      <w:r w:rsidRPr="00DC0BB5">
        <w:rPr>
          <w:bCs/>
          <w:sz w:val="24"/>
          <w:szCs w:val="24"/>
        </w:rPr>
        <w:t>АО «Объединенные электрические сети</w:t>
      </w:r>
      <w:r w:rsidR="001E628A" w:rsidRPr="00DC0BB5">
        <w:rPr>
          <w:bCs/>
          <w:sz w:val="24"/>
          <w:szCs w:val="24"/>
        </w:rPr>
        <w:t xml:space="preserve">» заявлены расходы в размере </w:t>
      </w:r>
      <w:r w:rsidR="00257D89" w:rsidRPr="00DC0BB5">
        <w:rPr>
          <w:bCs/>
          <w:sz w:val="24"/>
          <w:szCs w:val="24"/>
        </w:rPr>
        <w:t>255,29</w:t>
      </w:r>
      <w:r w:rsidR="001E628A" w:rsidRPr="00DC0BB5">
        <w:rPr>
          <w:bCs/>
          <w:sz w:val="24"/>
          <w:szCs w:val="24"/>
        </w:rPr>
        <w:t xml:space="preserve"> тыс. руб. Департамент указанные расходы не принимает, как экономически не обоснованные, поскольку в материалах тарифного дела не представлено документов</w:t>
      </w:r>
      <w:r w:rsidR="005933AD" w:rsidRPr="00DC0BB5">
        <w:rPr>
          <w:bCs/>
          <w:sz w:val="24"/>
          <w:szCs w:val="24"/>
        </w:rPr>
        <w:t>,</w:t>
      </w:r>
      <w:r w:rsidR="001E628A" w:rsidRPr="00DC0BB5">
        <w:rPr>
          <w:bCs/>
          <w:sz w:val="24"/>
          <w:szCs w:val="24"/>
        </w:rPr>
        <w:t xml:space="preserve"> подтверждающих</w:t>
      </w:r>
      <w:r w:rsidR="005933AD" w:rsidRPr="00DC0BB5">
        <w:rPr>
          <w:bCs/>
          <w:sz w:val="24"/>
          <w:szCs w:val="24"/>
        </w:rPr>
        <w:t xml:space="preserve"> несение </w:t>
      </w:r>
      <w:r w:rsidR="009726C9" w:rsidRPr="00DC0BB5">
        <w:rPr>
          <w:bCs/>
          <w:sz w:val="24"/>
          <w:szCs w:val="24"/>
        </w:rPr>
        <w:t>АО «Объединенные электрические сети»</w:t>
      </w:r>
      <w:r w:rsidR="005933AD" w:rsidRPr="00DC0BB5">
        <w:rPr>
          <w:bCs/>
          <w:sz w:val="24"/>
          <w:szCs w:val="24"/>
        </w:rPr>
        <w:t xml:space="preserve"> расходов по содержанию указанных объектов. Представленные расходы являются расходами на оплату потерь в указанных сетях и уже учтены при корректировке с учетом изменения полезного отпуска и цен на электрическую энергию, </w:t>
      </w:r>
      <w:r w:rsidR="009820E3" w:rsidRPr="00DC0BB5">
        <w:rPr>
          <w:bCs/>
          <w:sz w:val="24"/>
          <w:szCs w:val="24"/>
        </w:rPr>
        <w:t>рассчитанной в соответствии с формулой 8 Методических указаний № 98-э.</w:t>
      </w:r>
    </w:p>
    <w:p w:rsidR="00904BD3" w:rsidRPr="00CB3956" w:rsidRDefault="00257D89" w:rsidP="00C2019E">
      <w:pPr>
        <w:ind w:firstLine="567"/>
        <w:jc w:val="both"/>
        <w:rPr>
          <w:bCs/>
          <w:sz w:val="24"/>
          <w:szCs w:val="24"/>
        </w:rPr>
      </w:pPr>
      <w:r w:rsidRPr="00CB3956">
        <w:rPr>
          <w:bCs/>
          <w:sz w:val="24"/>
          <w:szCs w:val="24"/>
        </w:rPr>
        <w:t>3</w:t>
      </w:r>
      <w:r w:rsidR="00904BD3" w:rsidRPr="00CB3956">
        <w:rPr>
          <w:bCs/>
          <w:sz w:val="24"/>
          <w:szCs w:val="24"/>
        </w:rPr>
        <w:t xml:space="preserve">. </w:t>
      </w:r>
      <w:proofErr w:type="gramStart"/>
      <w:r w:rsidR="00904BD3" w:rsidRPr="00CB3956">
        <w:rPr>
          <w:bCs/>
          <w:sz w:val="24"/>
          <w:szCs w:val="24"/>
        </w:rPr>
        <w:t xml:space="preserve">Экономия расходов на оплату потерь электрической энергии, полученная </w:t>
      </w:r>
      <w:r w:rsidR="009726C9" w:rsidRPr="00CB3956">
        <w:rPr>
          <w:bCs/>
          <w:sz w:val="24"/>
          <w:szCs w:val="24"/>
        </w:rPr>
        <w:t>АО «Объединенные электрические сети»</w:t>
      </w:r>
      <w:r w:rsidR="00904BD3" w:rsidRPr="00CB3956">
        <w:rPr>
          <w:bCs/>
          <w:sz w:val="24"/>
          <w:szCs w:val="24"/>
        </w:rPr>
        <w:t xml:space="preserve"> в 2020 году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учтена Департаментом в размере </w:t>
      </w:r>
      <w:r w:rsidRPr="00CB3956">
        <w:rPr>
          <w:bCs/>
          <w:sz w:val="24"/>
          <w:szCs w:val="24"/>
        </w:rPr>
        <w:t>280,57</w:t>
      </w:r>
      <w:r w:rsidR="00904BD3" w:rsidRPr="00CB3956">
        <w:rPr>
          <w:bCs/>
          <w:sz w:val="24"/>
          <w:szCs w:val="24"/>
        </w:rPr>
        <w:t xml:space="preserve"> тыс. руб., вместо заявленной величины – </w:t>
      </w:r>
      <w:r w:rsidRPr="00CB3956">
        <w:rPr>
          <w:bCs/>
          <w:sz w:val="24"/>
          <w:szCs w:val="24"/>
        </w:rPr>
        <w:t>36</w:t>
      </w:r>
      <w:r w:rsidR="00DC0BB5" w:rsidRPr="00CB3956">
        <w:rPr>
          <w:bCs/>
          <w:sz w:val="24"/>
          <w:szCs w:val="24"/>
        </w:rPr>
        <w:t xml:space="preserve"> </w:t>
      </w:r>
      <w:r w:rsidRPr="00CB3956">
        <w:rPr>
          <w:bCs/>
          <w:sz w:val="24"/>
          <w:szCs w:val="24"/>
        </w:rPr>
        <w:t>523,67</w:t>
      </w:r>
      <w:r w:rsidR="00904BD3" w:rsidRPr="00CB3956">
        <w:rPr>
          <w:bCs/>
          <w:sz w:val="24"/>
          <w:szCs w:val="24"/>
        </w:rPr>
        <w:t xml:space="preserve"> тыс. руб., поскольку в указанной величине учтена лишь экономия расходов на оплату потерь электрической энергии, полученная</w:t>
      </w:r>
      <w:proofErr w:type="gramEnd"/>
      <w:r w:rsidR="00904BD3" w:rsidRPr="00CB3956">
        <w:rPr>
          <w:bCs/>
          <w:sz w:val="24"/>
          <w:szCs w:val="24"/>
        </w:rPr>
        <w:t xml:space="preserve"> </w:t>
      </w:r>
      <w:r w:rsidR="009726C9" w:rsidRPr="00CB3956">
        <w:rPr>
          <w:bCs/>
          <w:sz w:val="24"/>
          <w:szCs w:val="24"/>
        </w:rPr>
        <w:t>АО «Объединенные электрические сети»</w:t>
      </w:r>
      <w:r w:rsidR="00904BD3" w:rsidRPr="00CB3956">
        <w:rPr>
          <w:bCs/>
          <w:sz w:val="24"/>
          <w:szCs w:val="24"/>
        </w:rPr>
        <w:t xml:space="preserve"> в 2020 году, от реализации мероприятий по сокращению технологических потерь при передаче электрической энергии по представленному </w:t>
      </w:r>
      <w:r w:rsidR="009726C9" w:rsidRPr="00CB3956">
        <w:rPr>
          <w:bCs/>
          <w:sz w:val="24"/>
          <w:szCs w:val="24"/>
        </w:rPr>
        <w:t>АО «Объединенные электрические сети»</w:t>
      </w:r>
      <w:r w:rsidR="00904BD3" w:rsidRPr="00CB3956">
        <w:rPr>
          <w:bCs/>
          <w:sz w:val="24"/>
          <w:szCs w:val="24"/>
        </w:rPr>
        <w:t xml:space="preserve"> расчету. </w:t>
      </w:r>
      <w:proofErr w:type="gramStart"/>
      <w:r w:rsidR="00904BD3" w:rsidRPr="00CB3956">
        <w:rPr>
          <w:bCs/>
          <w:sz w:val="24"/>
          <w:szCs w:val="24"/>
        </w:rPr>
        <w:t xml:space="preserve">Экономия расходов от реализации мероприятий </w:t>
      </w:r>
      <w:r w:rsidR="00F10C2F" w:rsidRPr="00CB3956">
        <w:rPr>
          <w:bCs/>
          <w:sz w:val="24"/>
          <w:szCs w:val="24"/>
        </w:rPr>
        <w:t>по</w:t>
      </w:r>
      <w:r w:rsidR="00904BD3" w:rsidRPr="00CB3956">
        <w:rPr>
          <w:bCs/>
          <w:sz w:val="24"/>
          <w:szCs w:val="24"/>
        </w:rPr>
        <w:t xml:space="preserve"> сокращени</w:t>
      </w:r>
      <w:r w:rsidR="00F10C2F" w:rsidRPr="00CB3956">
        <w:rPr>
          <w:bCs/>
          <w:sz w:val="24"/>
          <w:szCs w:val="24"/>
        </w:rPr>
        <w:t>ю</w:t>
      </w:r>
      <w:r w:rsidR="00904BD3" w:rsidRPr="00CB3956">
        <w:rPr>
          <w:bCs/>
          <w:sz w:val="24"/>
          <w:szCs w:val="24"/>
        </w:rPr>
        <w:t xml:space="preserve"> </w:t>
      </w:r>
      <w:r w:rsidR="00F10C2F" w:rsidRPr="00CB3956">
        <w:rPr>
          <w:bCs/>
          <w:sz w:val="24"/>
          <w:szCs w:val="24"/>
        </w:rPr>
        <w:t>так называемых «коммерческих» потерь Департамент не принимает, как экономически не обоснованные, поскольку с учетом положений п. 7 и п. 8 Методики определения нормативов потерь электрической энергии при ее передаче по электрическим сетям, утвержденной приказом Минэнерго России от 07.08.2014 № 506, и приказа Минэнерго России от 26.09.2017 № 887 «Об утверждении нормативов потерь электрической энергии при</w:t>
      </w:r>
      <w:proofErr w:type="gramEnd"/>
      <w:r w:rsidR="00F10C2F" w:rsidRPr="00CB3956">
        <w:rPr>
          <w:bCs/>
          <w:sz w:val="24"/>
          <w:szCs w:val="24"/>
        </w:rPr>
        <w:t xml:space="preserve"> ее передаче по электрическим сетям территориальных сетевых организаций» нормативы потерь электрической энергии при ее передаче по электрическим сетям и, соответственно, затем средний уровень потерь электрической энергии при ее передаче по электрическим сетям определяются исключительно в отношении технологических потерь электрической энергии.</w:t>
      </w:r>
    </w:p>
    <w:p w:rsidR="00DC0BB5" w:rsidRPr="00CB3956" w:rsidRDefault="00DC0BB5" w:rsidP="00DC0BB5">
      <w:pPr>
        <w:ind w:firstLine="567"/>
        <w:jc w:val="both"/>
        <w:rPr>
          <w:bCs/>
          <w:sz w:val="24"/>
          <w:szCs w:val="24"/>
        </w:rPr>
      </w:pPr>
      <w:r w:rsidRPr="00CB3956">
        <w:rPr>
          <w:bCs/>
          <w:sz w:val="24"/>
          <w:szCs w:val="24"/>
        </w:rPr>
        <w:t>Департамент отмечает, что в соответствии с положениями п. 7 Основ ценообразования № 1178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rsidR="00DC0BB5" w:rsidRPr="00CB3956" w:rsidRDefault="00DC0BB5" w:rsidP="00DC0BB5">
      <w:pPr>
        <w:ind w:firstLine="567"/>
        <w:jc w:val="both"/>
        <w:rPr>
          <w:bCs/>
          <w:sz w:val="24"/>
          <w:szCs w:val="24"/>
        </w:rPr>
      </w:pPr>
      <w:proofErr w:type="gramStart"/>
      <w:r w:rsidRPr="00CB3956">
        <w:rPr>
          <w:bCs/>
          <w:sz w:val="24"/>
          <w:szCs w:val="24"/>
        </w:rPr>
        <w:t xml:space="preserve">…..учтенные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случаев учета экономии операционных (подконтрольных) расходов и экономии от снижения технологических потерь электрической энергии в электрических сетях при </w:t>
      </w:r>
      <w:r w:rsidRPr="00CB3956">
        <w:rPr>
          <w:bCs/>
          <w:sz w:val="24"/>
          <w:szCs w:val="24"/>
        </w:rPr>
        <w:lastRenderedPageBreak/>
        <w:t>применении в отношении организации, осуществляющей регулируемую деятельность, метода доходности инвестированного капитала или метода долгосрочной индексации необходимой валовой выручки, а также случаев</w:t>
      </w:r>
      <w:proofErr w:type="gramEnd"/>
      <w:r w:rsidRPr="00CB3956">
        <w:rPr>
          <w:bCs/>
          <w:sz w:val="24"/>
          <w:szCs w:val="24"/>
        </w:rPr>
        <w:t>, предусмотренных пунктом 21(1) Основ ценообразования).</w:t>
      </w:r>
    </w:p>
    <w:p w:rsidR="00DC0BB5" w:rsidRPr="00CB3956" w:rsidRDefault="00DC0BB5" w:rsidP="00DC0BB5">
      <w:pPr>
        <w:ind w:firstLine="567"/>
        <w:jc w:val="both"/>
        <w:rPr>
          <w:bCs/>
          <w:sz w:val="24"/>
          <w:szCs w:val="24"/>
        </w:rPr>
      </w:pPr>
      <w:r w:rsidRPr="00CB3956">
        <w:rPr>
          <w:bCs/>
          <w:sz w:val="24"/>
          <w:szCs w:val="24"/>
        </w:rPr>
        <w:t>Таким образом, в результате проводимого анализа причин возникновения экономии ранее учтенных плановых расходов на оплату технологических потерь по фактическим результатам деятельности, за электросетевыми организациями предусмотрено в итоге сохранение экономически обоснованной экономии расходов, связанной именно с сокращением технологических, а не коммерческих потерь электрической энергии.</w:t>
      </w:r>
    </w:p>
    <w:p w:rsidR="00EF3F12" w:rsidRPr="00CB3956" w:rsidRDefault="00257D89" w:rsidP="00C2019E">
      <w:pPr>
        <w:ind w:firstLine="567"/>
        <w:jc w:val="both"/>
        <w:rPr>
          <w:bCs/>
          <w:sz w:val="24"/>
          <w:szCs w:val="24"/>
        </w:rPr>
      </w:pPr>
      <w:r w:rsidRPr="00CB3956">
        <w:rPr>
          <w:bCs/>
          <w:sz w:val="24"/>
          <w:szCs w:val="24"/>
        </w:rPr>
        <w:t>4</w:t>
      </w:r>
      <w:r w:rsidR="00F10C2F" w:rsidRPr="00CB3956">
        <w:rPr>
          <w:bCs/>
          <w:sz w:val="24"/>
          <w:szCs w:val="24"/>
        </w:rPr>
        <w:t xml:space="preserve">. «Недостаток выручки в сумме по котловым и индивидуальным тарифам за предыдущий период регулирования» </w:t>
      </w:r>
      <w:r w:rsidRPr="00CB3956">
        <w:rPr>
          <w:bCs/>
          <w:sz w:val="24"/>
          <w:szCs w:val="24"/>
        </w:rPr>
        <w:t xml:space="preserve">Департамент учитывает </w:t>
      </w:r>
      <w:r w:rsidR="00CB3956">
        <w:rPr>
          <w:bCs/>
          <w:sz w:val="24"/>
          <w:szCs w:val="24"/>
        </w:rPr>
        <w:t xml:space="preserve">по факту 2020 года </w:t>
      </w:r>
      <w:r w:rsidRPr="00CB3956">
        <w:rPr>
          <w:bCs/>
          <w:sz w:val="24"/>
          <w:szCs w:val="24"/>
        </w:rPr>
        <w:t>в размере 5</w:t>
      </w:r>
      <w:r w:rsidR="00DC0BB5" w:rsidRPr="00CB3956">
        <w:rPr>
          <w:bCs/>
          <w:sz w:val="24"/>
          <w:szCs w:val="24"/>
        </w:rPr>
        <w:t xml:space="preserve"> 918,42 тыс. руб., рассчитанно</w:t>
      </w:r>
      <w:r w:rsidRPr="00CB3956">
        <w:rPr>
          <w:bCs/>
          <w:sz w:val="24"/>
          <w:szCs w:val="24"/>
        </w:rPr>
        <w:t>м в соответствии с Методическими указаниями № 98-э.</w:t>
      </w:r>
    </w:p>
    <w:p w:rsidR="0032433B" w:rsidRPr="00CB3956" w:rsidRDefault="0032433B" w:rsidP="0032433B">
      <w:pPr>
        <w:ind w:firstLine="567"/>
        <w:jc w:val="both"/>
        <w:rPr>
          <w:bCs/>
          <w:sz w:val="24"/>
          <w:szCs w:val="24"/>
        </w:rPr>
      </w:pPr>
      <w:r w:rsidRPr="00CB3956">
        <w:rPr>
          <w:bCs/>
          <w:sz w:val="24"/>
          <w:szCs w:val="24"/>
        </w:rPr>
        <w:t>5. Затраты на перезарядку огнетушителей в сумме 16,38 тыс. руб., затраты на приобретение огнетушителей в сумме 42,81 тыс. руб., затраты на замену планов эвакуации в размере 5,32 тыс. руб. учтены Департаментом в соответствии с представленными расчетами АО «Объединенные электрические сети».</w:t>
      </w:r>
    </w:p>
    <w:p w:rsidR="0032433B" w:rsidRPr="00CB3956" w:rsidRDefault="0032433B" w:rsidP="0032433B">
      <w:pPr>
        <w:ind w:firstLine="567"/>
        <w:jc w:val="both"/>
        <w:rPr>
          <w:bCs/>
          <w:sz w:val="24"/>
          <w:szCs w:val="24"/>
        </w:rPr>
      </w:pPr>
      <w:r w:rsidRPr="00CB3956">
        <w:rPr>
          <w:bCs/>
          <w:sz w:val="24"/>
          <w:szCs w:val="24"/>
        </w:rPr>
        <w:t xml:space="preserve">6. Затраты на оборудование трансформаторных подстанций установками пожарной сигнализации, в том числе датчиками пожарной сигнализации в размере 529,8 тыс. руб. Департамент считает экономически не обоснованными, поскольку в материалах тарифного дела отсутствуют документы, подтверждающие отнесение трансформаторных подстанций АО «Объединенные электрические сети» к классу опасности В-1. Приказом МЧС РФ от 25.03.2009 г. №182 «Об утверждении свода правил «Определение категорий помещений, зданий и наружных установок по взрывопожарной и пожарной опасности» </w:t>
      </w:r>
      <w:r w:rsidR="00CB3956" w:rsidRPr="00CB3956">
        <w:rPr>
          <w:bCs/>
          <w:sz w:val="24"/>
          <w:szCs w:val="24"/>
        </w:rPr>
        <w:t xml:space="preserve">конкретно </w:t>
      </w:r>
      <w:r w:rsidRPr="00CB3956">
        <w:rPr>
          <w:bCs/>
          <w:sz w:val="24"/>
          <w:szCs w:val="24"/>
        </w:rPr>
        <w:t xml:space="preserve">не определено, что помещения трансформаторных подстанций относятся к категориям В-1 по пожарной безопасности и должны быть оборудованы автоматической установкой пожарной сигнализации. </w:t>
      </w:r>
    </w:p>
    <w:p w:rsidR="009E3545" w:rsidRPr="00CB3956" w:rsidRDefault="001975BB" w:rsidP="00C2019E">
      <w:pPr>
        <w:ind w:firstLine="567"/>
        <w:jc w:val="both"/>
        <w:rPr>
          <w:bCs/>
          <w:sz w:val="24"/>
          <w:szCs w:val="24"/>
        </w:rPr>
      </w:pPr>
      <w:r w:rsidRPr="00CB3956">
        <w:rPr>
          <w:bCs/>
          <w:sz w:val="24"/>
          <w:szCs w:val="24"/>
        </w:rPr>
        <w:t>7</w:t>
      </w:r>
      <w:r w:rsidR="007F36AD" w:rsidRPr="00CB3956">
        <w:rPr>
          <w:bCs/>
          <w:sz w:val="24"/>
          <w:szCs w:val="24"/>
        </w:rPr>
        <w:t xml:space="preserve">. </w:t>
      </w:r>
      <w:proofErr w:type="gramStart"/>
      <w:r w:rsidR="007F36AD" w:rsidRPr="00CB3956">
        <w:rPr>
          <w:bCs/>
          <w:sz w:val="24"/>
          <w:szCs w:val="24"/>
        </w:rPr>
        <w:t>По статье «</w:t>
      </w:r>
      <w:r w:rsidR="00CB359A" w:rsidRPr="00CB3956">
        <w:rPr>
          <w:bCs/>
          <w:sz w:val="24"/>
          <w:szCs w:val="24"/>
        </w:rPr>
        <w:t>Материалы на установку счетчиков и щитов учета (35ФЗ, п.5 ст.37 и 522 ФЗ)</w:t>
      </w:r>
      <w:r w:rsidR="007F36AD" w:rsidRPr="00CB3956">
        <w:rPr>
          <w:bCs/>
          <w:sz w:val="24"/>
          <w:szCs w:val="24"/>
        </w:rPr>
        <w:t xml:space="preserve">» </w:t>
      </w:r>
      <w:r w:rsidR="00CB359A" w:rsidRPr="00CB3956">
        <w:rPr>
          <w:bCs/>
          <w:sz w:val="24"/>
          <w:szCs w:val="24"/>
        </w:rPr>
        <w:t>Департаментом учтены</w:t>
      </w:r>
      <w:r w:rsidR="007F36AD" w:rsidRPr="00CB3956">
        <w:rPr>
          <w:bCs/>
          <w:sz w:val="24"/>
          <w:szCs w:val="24"/>
        </w:rPr>
        <w:t xml:space="preserve"> затраты</w:t>
      </w:r>
      <w:r w:rsidR="00CB359A" w:rsidRPr="00CB3956">
        <w:rPr>
          <w:bCs/>
          <w:sz w:val="24"/>
          <w:szCs w:val="24"/>
        </w:rPr>
        <w:t xml:space="preserve"> в размере </w:t>
      </w:r>
      <w:r w:rsidRPr="00CB3956">
        <w:rPr>
          <w:bCs/>
          <w:sz w:val="24"/>
          <w:szCs w:val="24"/>
        </w:rPr>
        <w:t>15</w:t>
      </w:r>
      <w:r w:rsidR="00CB3956" w:rsidRPr="00CB3956">
        <w:rPr>
          <w:bCs/>
          <w:sz w:val="24"/>
          <w:szCs w:val="24"/>
        </w:rPr>
        <w:t xml:space="preserve"> </w:t>
      </w:r>
      <w:r w:rsidRPr="00CB3956">
        <w:rPr>
          <w:bCs/>
          <w:sz w:val="24"/>
          <w:szCs w:val="24"/>
        </w:rPr>
        <w:t>331,12</w:t>
      </w:r>
      <w:r w:rsidR="00CB359A" w:rsidRPr="00CB3956">
        <w:rPr>
          <w:bCs/>
          <w:sz w:val="24"/>
          <w:szCs w:val="24"/>
        </w:rPr>
        <w:t xml:space="preserve"> тыс. руб.</w:t>
      </w:r>
      <w:r w:rsidR="007F36AD" w:rsidRPr="00CB3956">
        <w:rPr>
          <w:bCs/>
          <w:sz w:val="24"/>
          <w:szCs w:val="24"/>
        </w:rPr>
        <w:t xml:space="preserve">, </w:t>
      </w:r>
      <w:r w:rsidR="00CB359A" w:rsidRPr="00CB3956">
        <w:rPr>
          <w:bCs/>
          <w:sz w:val="24"/>
          <w:szCs w:val="24"/>
        </w:rPr>
        <w:t>вместо заявленных</w:t>
      </w:r>
      <w:r w:rsidR="007F36AD" w:rsidRPr="00CB3956">
        <w:rPr>
          <w:bCs/>
          <w:sz w:val="24"/>
          <w:szCs w:val="24"/>
        </w:rPr>
        <w:t xml:space="preserve"> </w:t>
      </w:r>
      <w:r w:rsidR="009726C9" w:rsidRPr="00CB3956">
        <w:rPr>
          <w:bCs/>
          <w:sz w:val="24"/>
          <w:szCs w:val="24"/>
        </w:rPr>
        <w:t>АО «Объединенные электрические сети»</w:t>
      </w:r>
      <w:r w:rsidR="00CB359A" w:rsidRPr="00CB3956">
        <w:rPr>
          <w:bCs/>
          <w:sz w:val="24"/>
          <w:szCs w:val="24"/>
        </w:rPr>
        <w:t xml:space="preserve"> - </w:t>
      </w:r>
      <w:r w:rsidRPr="00CB3956">
        <w:rPr>
          <w:bCs/>
          <w:sz w:val="24"/>
          <w:szCs w:val="24"/>
        </w:rPr>
        <w:t>34</w:t>
      </w:r>
      <w:r w:rsidR="00CB3956" w:rsidRPr="00CB3956">
        <w:rPr>
          <w:bCs/>
          <w:sz w:val="24"/>
          <w:szCs w:val="24"/>
        </w:rPr>
        <w:t xml:space="preserve"> </w:t>
      </w:r>
      <w:r w:rsidRPr="00CB3956">
        <w:rPr>
          <w:bCs/>
          <w:sz w:val="24"/>
          <w:szCs w:val="24"/>
        </w:rPr>
        <w:t>594,49</w:t>
      </w:r>
      <w:r w:rsidR="00CB359A" w:rsidRPr="00CB3956">
        <w:rPr>
          <w:bCs/>
          <w:sz w:val="24"/>
          <w:szCs w:val="24"/>
        </w:rPr>
        <w:t xml:space="preserve"> тыс. руб. Департаментом по данной статье учтены расходы в соответствии с представленным расчетом </w:t>
      </w:r>
      <w:r w:rsidR="009726C9" w:rsidRPr="00CB3956">
        <w:rPr>
          <w:bCs/>
          <w:sz w:val="24"/>
          <w:szCs w:val="24"/>
        </w:rPr>
        <w:t>АО «Объединенные электрические сети»</w:t>
      </w:r>
      <w:r w:rsidR="00200AAE" w:rsidRPr="00CB3956">
        <w:rPr>
          <w:bCs/>
          <w:sz w:val="24"/>
          <w:szCs w:val="24"/>
        </w:rPr>
        <w:t xml:space="preserve"> исходя из </w:t>
      </w:r>
      <w:r w:rsidR="00CB3956" w:rsidRPr="00CB3956">
        <w:rPr>
          <w:bCs/>
          <w:sz w:val="24"/>
          <w:szCs w:val="24"/>
        </w:rPr>
        <w:t xml:space="preserve">заявленного </w:t>
      </w:r>
      <w:r w:rsidR="00200AAE" w:rsidRPr="00CB3956">
        <w:rPr>
          <w:bCs/>
          <w:sz w:val="24"/>
          <w:szCs w:val="24"/>
        </w:rPr>
        <w:t>фактического количества приборов учета (измерительных трансформаторов</w:t>
      </w:r>
      <w:proofErr w:type="gramEnd"/>
      <w:r w:rsidR="00200AAE" w:rsidRPr="00CB3956">
        <w:rPr>
          <w:bCs/>
          <w:sz w:val="24"/>
          <w:szCs w:val="24"/>
        </w:rPr>
        <w:t>)</w:t>
      </w:r>
      <w:r w:rsidR="00CB359A" w:rsidRPr="00CB3956">
        <w:rPr>
          <w:bCs/>
          <w:sz w:val="24"/>
          <w:szCs w:val="24"/>
        </w:rPr>
        <w:t xml:space="preserve">, </w:t>
      </w:r>
      <w:r w:rsidR="009E3545" w:rsidRPr="00CB3956">
        <w:rPr>
          <w:bCs/>
          <w:sz w:val="24"/>
          <w:szCs w:val="24"/>
        </w:rPr>
        <w:t>на:</w:t>
      </w:r>
    </w:p>
    <w:p w:rsidR="009E3545" w:rsidRPr="00CB3956" w:rsidRDefault="009E3545" w:rsidP="009E3545">
      <w:pPr>
        <w:ind w:firstLine="567"/>
        <w:jc w:val="both"/>
        <w:rPr>
          <w:bCs/>
          <w:sz w:val="24"/>
          <w:szCs w:val="24"/>
        </w:rPr>
      </w:pPr>
      <w:r w:rsidRPr="00CB3956">
        <w:rPr>
          <w:bCs/>
          <w:sz w:val="24"/>
          <w:szCs w:val="24"/>
        </w:rPr>
        <w:t xml:space="preserve">- замену приборов учета </w:t>
      </w:r>
      <w:proofErr w:type="gramStart"/>
      <w:r w:rsidRPr="00CB3956">
        <w:rPr>
          <w:bCs/>
          <w:sz w:val="24"/>
          <w:szCs w:val="24"/>
        </w:rPr>
        <w:t>потребителей-юридических</w:t>
      </w:r>
      <w:proofErr w:type="gramEnd"/>
      <w:r w:rsidRPr="00CB3956">
        <w:rPr>
          <w:bCs/>
          <w:sz w:val="24"/>
          <w:szCs w:val="24"/>
        </w:rPr>
        <w:t xml:space="preserve"> лиц в связи с истечением межповерочного интервала приборов учета и</w:t>
      </w:r>
      <w:r w:rsidR="00CB3956" w:rsidRPr="00CB3956">
        <w:rPr>
          <w:bCs/>
          <w:sz w:val="24"/>
          <w:szCs w:val="24"/>
        </w:rPr>
        <w:t xml:space="preserve"> </w:t>
      </w:r>
      <w:r w:rsidRPr="00CB3956">
        <w:rPr>
          <w:bCs/>
          <w:sz w:val="24"/>
          <w:szCs w:val="24"/>
        </w:rPr>
        <w:t>(или) измерительных трансформаторов;</w:t>
      </w:r>
    </w:p>
    <w:p w:rsidR="009E3545" w:rsidRPr="00CB3956" w:rsidRDefault="009E3545" w:rsidP="009E3545">
      <w:pPr>
        <w:ind w:firstLine="567"/>
        <w:jc w:val="both"/>
        <w:rPr>
          <w:bCs/>
          <w:sz w:val="24"/>
          <w:szCs w:val="24"/>
        </w:rPr>
      </w:pPr>
      <w:r w:rsidRPr="00CB3956">
        <w:rPr>
          <w:bCs/>
          <w:sz w:val="24"/>
          <w:szCs w:val="24"/>
        </w:rPr>
        <w:t xml:space="preserve">- замену приборов учета </w:t>
      </w:r>
      <w:proofErr w:type="gramStart"/>
      <w:r w:rsidRPr="00CB3956">
        <w:rPr>
          <w:bCs/>
          <w:sz w:val="24"/>
          <w:szCs w:val="24"/>
        </w:rPr>
        <w:t>потребителей-юридических</w:t>
      </w:r>
      <w:proofErr w:type="gramEnd"/>
      <w:r w:rsidRPr="00CB3956">
        <w:rPr>
          <w:bCs/>
          <w:sz w:val="24"/>
          <w:szCs w:val="24"/>
        </w:rPr>
        <w:t xml:space="preserve"> лиц в связи с выходом из строя приборов учета;</w:t>
      </w:r>
    </w:p>
    <w:p w:rsidR="009E3545" w:rsidRPr="00CB3956" w:rsidRDefault="009E3545" w:rsidP="009E3545">
      <w:pPr>
        <w:ind w:firstLine="567"/>
        <w:jc w:val="both"/>
        <w:rPr>
          <w:bCs/>
          <w:sz w:val="24"/>
          <w:szCs w:val="24"/>
        </w:rPr>
      </w:pPr>
      <w:r w:rsidRPr="00CB3956">
        <w:rPr>
          <w:bCs/>
          <w:sz w:val="24"/>
          <w:szCs w:val="24"/>
        </w:rPr>
        <w:t>- замену приборов учета бытовых потребителей в связи с истечением межповерочного интервала приборов учета;</w:t>
      </w:r>
    </w:p>
    <w:p w:rsidR="009E3545" w:rsidRPr="00CB3956" w:rsidRDefault="009E3545" w:rsidP="009E3545">
      <w:pPr>
        <w:ind w:firstLine="567"/>
        <w:jc w:val="both"/>
        <w:rPr>
          <w:bCs/>
          <w:sz w:val="24"/>
          <w:szCs w:val="24"/>
        </w:rPr>
      </w:pPr>
      <w:r w:rsidRPr="00CB3956">
        <w:rPr>
          <w:bCs/>
          <w:sz w:val="24"/>
          <w:szCs w:val="24"/>
        </w:rPr>
        <w:t>- замену приборов учета бытовых потребителей в связи с выходом из строя приборов учета;</w:t>
      </w:r>
    </w:p>
    <w:p w:rsidR="0096663E" w:rsidRPr="00CB3956" w:rsidRDefault="0096663E" w:rsidP="009E3545">
      <w:pPr>
        <w:ind w:firstLine="567"/>
        <w:jc w:val="both"/>
        <w:rPr>
          <w:bCs/>
          <w:sz w:val="24"/>
          <w:szCs w:val="24"/>
        </w:rPr>
      </w:pPr>
      <w:r w:rsidRPr="00CB3956">
        <w:rPr>
          <w:bCs/>
          <w:sz w:val="24"/>
          <w:szCs w:val="24"/>
        </w:rPr>
        <w:t>- з</w:t>
      </w:r>
      <w:r w:rsidR="009E3545" w:rsidRPr="00CB3956">
        <w:rPr>
          <w:bCs/>
          <w:sz w:val="24"/>
          <w:szCs w:val="24"/>
        </w:rPr>
        <w:t>амен</w:t>
      </w:r>
      <w:r w:rsidRPr="00CB3956">
        <w:rPr>
          <w:bCs/>
          <w:sz w:val="24"/>
          <w:szCs w:val="24"/>
        </w:rPr>
        <w:t>у</w:t>
      </w:r>
      <w:r w:rsidR="009E3545" w:rsidRPr="00CB3956">
        <w:rPr>
          <w:bCs/>
          <w:sz w:val="24"/>
          <w:szCs w:val="24"/>
        </w:rPr>
        <w:t xml:space="preserve"> приборов учета в точках с </w:t>
      </w:r>
      <w:proofErr w:type="gramStart"/>
      <w:r w:rsidR="009E3545" w:rsidRPr="00CB3956">
        <w:rPr>
          <w:bCs/>
          <w:sz w:val="24"/>
          <w:szCs w:val="24"/>
        </w:rPr>
        <w:t>нижестоящими</w:t>
      </w:r>
      <w:proofErr w:type="gramEnd"/>
      <w:r w:rsidR="009E3545" w:rsidRPr="00CB3956">
        <w:rPr>
          <w:bCs/>
          <w:sz w:val="24"/>
          <w:szCs w:val="24"/>
        </w:rPr>
        <w:t xml:space="preserve"> ТСО</w:t>
      </w:r>
      <w:r w:rsidRPr="00CB3956">
        <w:rPr>
          <w:bCs/>
          <w:sz w:val="24"/>
          <w:szCs w:val="24"/>
        </w:rPr>
        <w:t>.</w:t>
      </w:r>
    </w:p>
    <w:p w:rsidR="007F36AD" w:rsidRPr="00CB3956" w:rsidRDefault="0096663E" w:rsidP="009E3545">
      <w:pPr>
        <w:ind w:firstLine="567"/>
        <w:jc w:val="both"/>
        <w:rPr>
          <w:bCs/>
          <w:sz w:val="24"/>
          <w:szCs w:val="24"/>
        </w:rPr>
      </w:pPr>
      <w:r w:rsidRPr="00CB3956">
        <w:rPr>
          <w:bCs/>
          <w:sz w:val="24"/>
          <w:szCs w:val="24"/>
        </w:rPr>
        <w:t>П</w:t>
      </w:r>
      <w:r w:rsidR="00CB359A" w:rsidRPr="00CB3956">
        <w:rPr>
          <w:bCs/>
          <w:sz w:val="24"/>
          <w:szCs w:val="24"/>
        </w:rPr>
        <w:t>ри этом учтена только заявленная организацией стоимость замены приборов учета, стоимость замены трансформаторов тока и трансформаторов напряжения, стоимость поверки трансформаторов тока и трансформаторов напряжения</w:t>
      </w:r>
      <w:r w:rsidR="00BD7E5F" w:rsidRPr="00CB3956">
        <w:rPr>
          <w:bCs/>
          <w:sz w:val="24"/>
          <w:szCs w:val="24"/>
        </w:rPr>
        <w:t xml:space="preserve">. </w:t>
      </w:r>
      <w:proofErr w:type="gramStart"/>
      <w:r w:rsidR="00BD7E5F" w:rsidRPr="00CB3956">
        <w:rPr>
          <w:bCs/>
          <w:sz w:val="24"/>
          <w:szCs w:val="24"/>
        </w:rPr>
        <w:t>Стоимость строительно-монтажных работ по замене приборов учета</w:t>
      </w:r>
      <w:r w:rsidRPr="00CB3956">
        <w:rPr>
          <w:bCs/>
          <w:sz w:val="24"/>
          <w:szCs w:val="24"/>
        </w:rPr>
        <w:t>, щиты учета, автоматические выключатели и прочие материалы</w:t>
      </w:r>
      <w:r w:rsidR="00BD7E5F" w:rsidRPr="00CB3956">
        <w:rPr>
          <w:bCs/>
          <w:sz w:val="24"/>
          <w:szCs w:val="24"/>
        </w:rPr>
        <w:t xml:space="preserve"> </w:t>
      </w:r>
      <w:r w:rsidR="00CB3956" w:rsidRPr="00CB3956">
        <w:rPr>
          <w:bCs/>
          <w:sz w:val="24"/>
          <w:szCs w:val="24"/>
        </w:rPr>
        <w:t xml:space="preserve">Департаментом </w:t>
      </w:r>
      <w:r w:rsidR="00BD7E5F" w:rsidRPr="00CB3956">
        <w:rPr>
          <w:bCs/>
          <w:sz w:val="24"/>
          <w:szCs w:val="24"/>
        </w:rPr>
        <w:t xml:space="preserve">признаны экономически не обоснованными, поскольку указанные работы могут быть выполнены без привлечения сторонних организаций хозяйственным способом силами промышленно-производственного персонала </w:t>
      </w:r>
      <w:r w:rsidR="001975BB" w:rsidRPr="00CB3956">
        <w:rPr>
          <w:bCs/>
          <w:sz w:val="24"/>
          <w:szCs w:val="24"/>
        </w:rPr>
        <w:t>А</w:t>
      </w:r>
      <w:r w:rsidR="00BD7E5F" w:rsidRPr="00CB3956">
        <w:rPr>
          <w:bCs/>
          <w:sz w:val="24"/>
          <w:szCs w:val="24"/>
        </w:rPr>
        <w:t>О «</w:t>
      </w:r>
      <w:r w:rsidR="001975BB" w:rsidRPr="00CB3956">
        <w:rPr>
          <w:bCs/>
          <w:sz w:val="24"/>
          <w:szCs w:val="24"/>
        </w:rPr>
        <w:t>Объединенные электрические сети</w:t>
      </w:r>
      <w:r w:rsidR="00BD7E5F" w:rsidRPr="00CB3956">
        <w:rPr>
          <w:bCs/>
          <w:sz w:val="24"/>
          <w:szCs w:val="24"/>
        </w:rPr>
        <w:t>», численность которого имеется у организации в достаточном для выполнения указанных работ количестве</w:t>
      </w:r>
      <w:r w:rsidRPr="00CB3956">
        <w:rPr>
          <w:bCs/>
          <w:sz w:val="24"/>
          <w:szCs w:val="24"/>
        </w:rPr>
        <w:t>, а установка указанных щитов учета с автоматикой и прочими материалами</w:t>
      </w:r>
      <w:proofErr w:type="gramEnd"/>
      <w:r w:rsidRPr="00CB3956">
        <w:rPr>
          <w:bCs/>
          <w:sz w:val="24"/>
          <w:szCs w:val="24"/>
        </w:rPr>
        <w:t xml:space="preserve"> </w:t>
      </w:r>
      <w:r w:rsidRPr="00CB3956">
        <w:rPr>
          <w:bCs/>
          <w:sz w:val="24"/>
          <w:szCs w:val="24"/>
          <w:u w:val="single"/>
        </w:rPr>
        <w:t>при замене</w:t>
      </w:r>
      <w:r w:rsidRPr="00CB3956">
        <w:rPr>
          <w:bCs/>
          <w:sz w:val="24"/>
          <w:szCs w:val="24"/>
        </w:rPr>
        <w:t xml:space="preserve"> приборов учета не требуется</w:t>
      </w:r>
      <w:r w:rsidR="00BD7E5F" w:rsidRPr="00CB3956">
        <w:rPr>
          <w:bCs/>
          <w:sz w:val="24"/>
          <w:szCs w:val="24"/>
        </w:rPr>
        <w:t>.</w:t>
      </w:r>
    </w:p>
    <w:p w:rsidR="001975BB" w:rsidRPr="00B15D78" w:rsidRDefault="001975BB" w:rsidP="009E3545">
      <w:pPr>
        <w:ind w:firstLine="567"/>
        <w:jc w:val="both"/>
        <w:rPr>
          <w:bCs/>
          <w:sz w:val="24"/>
          <w:szCs w:val="24"/>
        </w:rPr>
      </w:pPr>
      <w:r w:rsidRPr="00B15D78">
        <w:rPr>
          <w:bCs/>
          <w:sz w:val="24"/>
          <w:szCs w:val="24"/>
        </w:rPr>
        <w:t>8. Расходы по статье «Оргтехника» приняты Департаментов в размере 563,53 тыс. руб.</w:t>
      </w:r>
      <w:r w:rsidR="00B15D78" w:rsidRPr="00B15D78">
        <w:rPr>
          <w:bCs/>
          <w:sz w:val="24"/>
          <w:szCs w:val="24"/>
        </w:rPr>
        <w:t>,</w:t>
      </w:r>
      <w:r w:rsidRPr="00B15D78">
        <w:rPr>
          <w:bCs/>
          <w:sz w:val="24"/>
          <w:szCs w:val="24"/>
        </w:rPr>
        <w:t xml:space="preserve"> вместо заявленной величины </w:t>
      </w:r>
      <w:r w:rsidR="006458F3" w:rsidRPr="00B15D78">
        <w:rPr>
          <w:bCs/>
          <w:sz w:val="24"/>
          <w:szCs w:val="24"/>
        </w:rPr>
        <w:t>1700,72 тыс. руб.</w:t>
      </w:r>
      <w:r w:rsidR="00B15D78" w:rsidRPr="00B15D78">
        <w:rPr>
          <w:bCs/>
          <w:sz w:val="24"/>
          <w:szCs w:val="24"/>
        </w:rPr>
        <w:t>,</w:t>
      </w:r>
      <w:r w:rsidR="006458F3" w:rsidRPr="00B15D78">
        <w:rPr>
          <w:bCs/>
          <w:sz w:val="24"/>
          <w:szCs w:val="24"/>
        </w:rPr>
        <w:t xml:space="preserve"> на основании фактических затрат по данной статье за 2020 год и индекс</w:t>
      </w:r>
      <w:r w:rsidR="00B15D78" w:rsidRPr="00B15D78">
        <w:rPr>
          <w:bCs/>
          <w:sz w:val="24"/>
          <w:szCs w:val="24"/>
        </w:rPr>
        <w:t>ов</w:t>
      </w:r>
      <w:r w:rsidR="006458F3" w:rsidRPr="00B15D78">
        <w:rPr>
          <w:bCs/>
          <w:sz w:val="24"/>
          <w:szCs w:val="24"/>
        </w:rPr>
        <w:t xml:space="preserve"> потреби</w:t>
      </w:r>
      <w:r w:rsidR="00C55452" w:rsidRPr="00B15D78">
        <w:rPr>
          <w:bCs/>
          <w:sz w:val="24"/>
          <w:szCs w:val="24"/>
        </w:rPr>
        <w:t>тельских цен 2021 и 2022 годов.</w:t>
      </w:r>
    </w:p>
    <w:p w:rsidR="006458F3" w:rsidRPr="00B15D78" w:rsidRDefault="006458F3" w:rsidP="006458F3">
      <w:pPr>
        <w:ind w:firstLine="567"/>
        <w:jc w:val="both"/>
        <w:rPr>
          <w:bCs/>
          <w:sz w:val="24"/>
          <w:szCs w:val="24"/>
        </w:rPr>
      </w:pPr>
      <w:r w:rsidRPr="00B15D78">
        <w:rPr>
          <w:bCs/>
          <w:sz w:val="24"/>
          <w:szCs w:val="24"/>
        </w:rPr>
        <w:t>9. По статье «Техника безопасности» Департамент принимает расходы в сумме 4</w:t>
      </w:r>
      <w:r w:rsidR="00B15D78" w:rsidRPr="00B15D78">
        <w:rPr>
          <w:bCs/>
          <w:sz w:val="24"/>
          <w:szCs w:val="24"/>
        </w:rPr>
        <w:t xml:space="preserve"> </w:t>
      </w:r>
      <w:r w:rsidRPr="00B15D78">
        <w:rPr>
          <w:bCs/>
          <w:sz w:val="24"/>
          <w:szCs w:val="24"/>
        </w:rPr>
        <w:t>877,78 тыс. руб., вместо заявленной величины 33</w:t>
      </w:r>
      <w:r w:rsidR="00B15D78" w:rsidRPr="00B15D78">
        <w:rPr>
          <w:bCs/>
          <w:sz w:val="24"/>
          <w:szCs w:val="24"/>
        </w:rPr>
        <w:t xml:space="preserve"> </w:t>
      </w:r>
      <w:r w:rsidRPr="00B15D78">
        <w:rPr>
          <w:bCs/>
          <w:sz w:val="24"/>
          <w:szCs w:val="24"/>
        </w:rPr>
        <w:t>881,45 тыс. руб.</w:t>
      </w:r>
      <w:r w:rsidR="00B15D78" w:rsidRPr="00B15D78">
        <w:rPr>
          <w:bCs/>
          <w:sz w:val="24"/>
          <w:szCs w:val="24"/>
        </w:rPr>
        <w:t>,</w:t>
      </w:r>
      <w:r w:rsidRPr="00B15D78">
        <w:rPr>
          <w:bCs/>
          <w:sz w:val="24"/>
          <w:szCs w:val="24"/>
        </w:rPr>
        <w:t xml:space="preserve"> на основании фактических понесенных расходов АО «Объединенные электрические сети» по данной статье за 2020 год с учетом </w:t>
      </w:r>
      <w:r w:rsidRPr="00B15D78">
        <w:rPr>
          <w:bCs/>
          <w:sz w:val="24"/>
          <w:szCs w:val="24"/>
        </w:rPr>
        <w:lastRenderedPageBreak/>
        <w:t>прогнозных индексов потребительских цен на 2021 и 2022 годы.</w:t>
      </w:r>
    </w:p>
    <w:p w:rsidR="006458F3" w:rsidRPr="00B15D78" w:rsidRDefault="006458F3" w:rsidP="006458F3">
      <w:pPr>
        <w:ind w:firstLine="567"/>
        <w:jc w:val="both"/>
        <w:rPr>
          <w:bCs/>
          <w:sz w:val="24"/>
          <w:szCs w:val="24"/>
        </w:rPr>
      </w:pPr>
      <w:r w:rsidRPr="00B15D78">
        <w:rPr>
          <w:bCs/>
          <w:sz w:val="24"/>
          <w:szCs w:val="24"/>
        </w:rPr>
        <w:t>Расходы на приобретение тренажера (манекена) для отработки навыков оказания первой помощи при несчастных случаях на производстве, заявленные в сумме 458,09 тыс. руб., Департамент считает экономически необоснованными, поскольку такие расходы не носят обязательный характер для регулируемой деятельности. Кроме того, согласно учетной политике организации указанный тренажер относится к основным средствам, расходы по которым списываются на себестоимость через амортизационные отчисления.</w:t>
      </w:r>
    </w:p>
    <w:p w:rsidR="006458F3" w:rsidRPr="008303F6" w:rsidRDefault="006458F3" w:rsidP="006458F3">
      <w:pPr>
        <w:ind w:firstLine="567"/>
        <w:jc w:val="both"/>
        <w:rPr>
          <w:bCs/>
          <w:sz w:val="24"/>
          <w:szCs w:val="24"/>
        </w:rPr>
      </w:pPr>
      <w:r w:rsidRPr="008303F6">
        <w:rPr>
          <w:bCs/>
          <w:sz w:val="24"/>
          <w:szCs w:val="24"/>
        </w:rPr>
        <w:t xml:space="preserve">Расходы на электрозащитные средства Департамент принимает в размере </w:t>
      </w:r>
      <w:r w:rsidR="001B397C" w:rsidRPr="008303F6">
        <w:rPr>
          <w:bCs/>
          <w:sz w:val="24"/>
          <w:szCs w:val="24"/>
        </w:rPr>
        <w:t>396,92</w:t>
      </w:r>
      <w:r w:rsidRPr="008303F6">
        <w:rPr>
          <w:bCs/>
          <w:sz w:val="24"/>
          <w:szCs w:val="24"/>
        </w:rPr>
        <w:t xml:space="preserve"> тыс. руб., вместо заявленной величины – </w:t>
      </w:r>
      <w:r w:rsidR="001B397C" w:rsidRPr="008303F6">
        <w:rPr>
          <w:bCs/>
          <w:sz w:val="24"/>
          <w:szCs w:val="24"/>
        </w:rPr>
        <w:t>466,34</w:t>
      </w:r>
      <w:r w:rsidRPr="008303F6">
        <w:rPr>
          <w:bCs/>
          <w:sz w:val="24"/>
          <w:szCs w:val="24"/>
        </w:rPr>
        <w:t xml:space="preserve"> тыс. руб. на основании расчета организации за исключением когтей и лазов, которые согласно Инструкции по применению и испытанию средств защиты, используемых в электроустановках, утвержденной приказом Министерства энергетики РФ от 30.06.2003 №261, не относятся к электрозащитным средствам.</w:t>
      </w:r>
    </w:p>
    <w:p w:rsidR="00C55452" w:rsidRPr="008303F6" w:rsidRDefault="00C55452" w:rsidP="00C55452">
      <w:pPr>
        <w:ind w:firstLine="567"/>
        <w:jc w:val="both"/>
        <w:rPr>
          <w:bCs/>
          <w:sz w:val="24"/>
          <w:szCs w:val="24"/>
        </w:rPr>
      </w:pPr>
      <w:r w:rsidRPr="008303F6">
        <w:rPr>
          <w:bCs/>
          <w:sz w:val="24"/>
          <w:szCs w:val="24"/>
        </w:rPr>
        <w:t>10. По статье «Обеспечение нормальных условий труда и ТБ» Департамент принимает расходы в сумме 952,79 тыс. руб., вместо заявленной величины 10</w:t>
      </w:r>
      <w:r w:rsidR="008303F6" w:rsidRPr="008303F6">
        <w:rPr>
          <w:bCs/>
          <w:sz w:val="24"/>
          <w:szCs w:val="24"/>
        </w:rPr>
        <w:t xml:space="preserve"> </w:t>
      </w:r>
      <w:r w:rsidRPr="008303F6">
        <w:rPr>
          <w:bCs/>
          <w:sz w:val="24"/>
          <w:szCs w:val="24"/>
        </w:rPr>
        <w:t>526,88 тыс. руб.</w:t>
      </w:r>
      <w:r w:rsidR="008303F6" w:rsidRPr="008303F6">
        <w:rPr>
          <w:bCs/>
          <w:sz w:val="24"/>
          <w:szCs w:val="24"/>
        </w:rPr>
        <w:t>,</w:t>
      </w:r>
      <w:r w:rsidRPr="008303F6">
        <w:rPr>
          <w:bCs/>
          <w:sz w:val="24"/>
          <w:szCs w:val="24"/>
        </w:rPr>
        <w:t xml:space="preserve"> на основании фактических понесенных расходов АО «Объединенные электрические сети» по данной статье за 2020 год с учетом прогнозных индексов потребительских цен на 2021 и 2022 годы.</w:t>
      </w:r>
    </w:p>
    <w:p w:rsidR="00C55452" w:rsidRPr="008303F6" w:rsidRDefault="00C55452" w:rsidP="00C55452">
      <w:pPr>
        <w:ind w:firstLine="567"/>
        <w:jc w:val="both"/>
        <w:rPr>
          <w:bCs/>
          <w:sz w:val="24"/>
          <w:szCs w:val="24"/>
        </w:rPr>
      </w:pPr>
      <w:r w:rsidRPr="008303F6">
        <w:rPr>
          <w:bCs/>
          <w:sz w:val="24"/>
          <w:szCs w:val="24"/>
        </w:rPr>
        <w:t>Расходы на специальную оценку условий труда и расходы на оценку профессиональных рисков Департамент принимает на основании расчетов организации в размере 101,38 тыс. руб. и 74,0 тыс. руб. соответственно.</w:t>
      </w:r>
    </w:p>
    <w:p w:rsidR="00F67214" w:rsidRPr="00780489" w:rsidRDefault="00B640E3" w:rsidP="00B640E3">
      <w:pPr>
        <w:ind w:firstLine="567"/>
        <w:jc w:val="both"/>
        <w:rPr>
          <w:bCs/>
          <w:sz w:val="24"/>
          <w:szCs w:val="24"/>
        </w:rPr>
      </w:pPr>
      <w:r w:rsidRPr="00780489">
        <w:rPr>
          <w:bCs/>
          <w:sz w:val="24"/>
          <w:szCs w:val="24"/>
        </w:rPr>
        <w:t xml:space="preserve">11. </w:t>
      </w:r>
      <w:proofErr w:type="gramStart"/>
      <w:r w:rsidRPr="00780489">
        <w:rPr>
          <w:bCs/>
          <w:sz w:val="24"/>
          <w:szCs w:val="24"/>
        </w:rPr>
        <w:t>По статье «Средства на страхование» Департамент принимает расходы в сумме 348,01 тыс. руб., вместо заявленной величины 436,64 тыс. руб. При этом расходы на страхование опасных производственных объектов (ОПО) приняты по расчету организации в заявленной величине 10,42 тыс. руб., средства на страхование ОСАГО приняты Департаментом в размере 337,59 тыс. руб., вместо заявленной величины 375,58 тыс. руб.</w:t>
      </w:r>
      <w:r w:rsidR="00780489" w:rsidRPr="00780489">
        <w:rPr>
          <w:bCs/>
          <w:sz w:val="24"/>
          <w:szCs w:val="24"/>
        </w:rPr>
        <w:t>,</w:t>
      </w:r>
      <w:r w:rsidRPr="00780489">
        <w:rPr>
          <w:bCs/>
          <w:sz w:val="24"/>
          <w:szCs w:val="24"/>
        </w:rPr>
        <w:t xml:space="preserve"> на основании расчета организации за</w:t>
      </w:r>
      <w:proofErr w:type="gramEnd"/>
      <w:r w:rsidRPr="00780489">
        <w:rPr>
          <w:bCs/>
          <w:sz w:val="24"/>
          <w:szCs w:val="24"/>
        </w:rPr>
        <w:t xml:space="preserve"> исключением страхования автомобилей «премиум класса» и плановых расходов на страхование еще не приобретенных автомобилей. Расходы на страхование для саморегулируемых организаций в сумме 15,65 тыс. руб. и расходы на добровольное медицинское страхование в сумме 35,0 тыс. руб. признаны Департаментом экономически не обоснованными, поскольку указанные расходы не являются обязательными для регулируемой деятельности по передаче электрической энергии.</w:t>
      </w:r>
    </w:p>
    <w:p w:rsidR="00F67214" w:rsidRPr="00780489" w:rsidRDefault="00F67214" w:rsidP="00B640E3">
      <w:pPr>
        <w:ind w:firstLine="567"/>
        <w:jc w:val="both"/>
        <w:rPr>
          <w:bCs/>
          <w:sz w:val="24"/>
          <w:szCs w:val="24"/>
        </w:rPr>
      </w:pPr>
      <w:r w:rsidRPr="00780489">
        <w:rPr>
          <w:bCs/>
          <w:sz w:val="24"/>
          <w:szCs w:val="24"/>
        </w:rPr>
        <w:t>12. Расходы по статье «Членство в СРО» в размере 138,37 тыс. руб. Департамент признает экономически необоснованными, поскольку обязательное членство сетевых организаций в СРО действующим зако</w:t>
      </w:r>
      <w:r w:rsidR="00780489">
        <w:rPr>
          <w:bCs/>
          <w:sz w:val="24"/>
          <w:szCs w:val="24"/>
        </w:rPr>
        <w:t>нодательством не предусмотрено.</w:t>
      </w:r>
    </w:p>
    <w:p w:rsidR="00B640E3" w:rsidRPr="00BB133E" w:rsidRDefault="00F67214" w:rsidP="00B640E3">
      <w:pPr>
        <w:ind w:firstLine="567"/>
        <w:jc w:val="both"/>
        <w:rPr>
          <w:bCs/>
          <w:sz w:val="24"/>
          <w:szCs w:val="24"/>
        </w:rPr>
      </w:pPr>
      <w:r w:rsidRPr="00BB133E">
        <w:rPr>
          <w:bCs/>
          <w:sz w:val="24"/>
          <w:szCs w:val="24"/>
        </w:rPr>
        <w:t>13. Расходы по статье «госпошлина» в размере 201,92 тыс. руб. Департамент признает экономически необоснованными, поскольку заявленная госпошлина за рассмотрение дел в судах не является экономически обоснованными расходами (в случае выигрыша может быть взыскана с проигравшей стороны, в случае неудовлетворения искового заявления – это расходы, связанные с хозяйственными рисками предпринимательской деятельности и необоснованностью требований).</w:t>
      </w:r>
    </w:p>
    <w:p w:rsidR="006458F3" w:rsidRPr="00BB133E" w:rsidRDefault="00F67214" w:rsidP="009E3545">
      <w:pPr>
        <w:ind w:firstLine="567"/>
        <w:jc w:val="both"/>
        <w:rPr>
          <w:bCs/>
          <w:sz w:val="24"/>
          <w:szCs w:val="24"/>
        </w:rPr>
      </w:pPr>
      <w:r w:rsidRPr="00BB133E">
        <w:rPr>
          <w:bCs/>
          <w:sz w:val="24"/>
          <w:szCs w:val="24"/>
        </w:rPr>
        <w:t>14. Расходы по статье «Материалы на содержание зданий и сооружений»</w:t>
      </w:r>
      <w:r w:rsidR="00AB548C" w:rsidRPr="00BB133E">
        <w:rPr>
          <w:bCs/>
          <w:sz w:val="24"/>
          <w:szCs w:val="24"/>
        </w:rPr>
        <w:t xml:space="preserve"> приняты Департаментом в размере 53,9 тыс. руб. на основании расчета организации. Расходы по статье «Материалы на текущий ремонт зданий и сооружений» в сумме 43,45 тыс. руб. Департамент признает экономически не обоснованными, поскольку по данной статье у организации отсутствую фактические расходы за предыдущие 4 года.</w:t>
      </w:r>
    </w:p>
    <w:p w:rsidR="00E9608B" w:rsidRPr="00892E69" w:rsidRDefault="00AB548C" w:rsidP="00E9608B">
      <w:pPr>
        <w:ind w:firstLine="567"/>
        <w:jc w:val="both"/>
        <w:rPr>
          <w:bCs/>
          <w:sz w:val="24"/>
          <w:szCs w:val="24"/>
        </w:rPr>
      </w:pPr>
      <w:r w:rsidRPr="00892E69">
        <w:rPr>
          <w:bCs/>
          <w:sz w:val="24"/>
          <w:szCs w:val="24"/>
        </w:rPr>
        <w:t xml:space="preserve">15. Расходы по статьям «Бумага» и «Вода питьевая» приняты Департаментом </w:t>
      </w:r>
      <w:r w:rsidR="00E9608B" w:rsidRPr="00892E69">
        <w:rPr>
          <w:bCs/>
          <w:sz w:val="24"/>
          <w:szCs w:val="24"/>
        </w:rPr>
        <w:t>в сумме 83,28 тыс. руб. и 40,97 тыс. руб. соответственно на основании фактических понесенных расходов АО «Объединенные электрические сети» по данной статье за 2020 год с учетом прогнозных индексов потребительских цен на 2021 и 2022 годы.</w:t>
      </w:r>
    </w:p>
    <w:p w:rsidR="00AB548C" w:rsidRPr="00892E69" w:rsidRDefault="00E9608B" w:rsidP="009E3545">
      <w:pPr>
        <w:ind w:firstLine="567"/>
        <w:jc w:val="both"/>
        <w:rPr>
          <w:bCs/>
          <w:sz w:val="24"/>
          <w:szCs w:val="24"/>
        </w:rPr>
      </w:pPr>
      <w:r w:rsidRPr="00892E69">
        <w:rPr>
          <w:bCs/>
          <w:sz w:val="24"/>
          <w:szCs w:val="24"/>
        </w:rPr>
        <w:t xml:space="preserve">16. Расходы по статьям «Технический осмотр автотранспорта, шиномонтаж» и «Производственные услуги (текущий ремонт)» приняты Департаментом на основании фактических расходов организации за 4 предыдущие года </w:t>
      </w:r>
      <w:r w:rsidR="008E2316">
        <w:rPr>
          <w:bCs/>
          <w:sz w:val="24"/>
          <w:szCs w:val="24"/>
        </w:rPr>
        <w:t xml:space="preserve">(2017-2020 гг.) </w:t>
      </w:r>
      <w:r w:rsidRPr="00892E69">
        <w:rPr>
          <w:bCs/>
          <w:sz w:val="24"/>
          <w:szCs w:val="24"/>
        </w:rPr>
        <w:t>с учетом фактических и прогнозны</w:t>
      </w:r>
      <w:r w:rsidR="00892E69" w:rsidRPr="00892E69">
        <w:rPr>
          <w:bCs/>
          <w:sz w:val="24"/>
          <w:szCs w:val="24"/>
        </w:rPr>
        <w:t>х индексов потребительских цен</w:t>
      </w:r>
      <w:r w:rsidRPr="00892E69">
        <w:rPr>
          <w:bCs/>
          <w:sz w:val="24"/>
          <w:szCs w:val="24"/>
        </w:rPr>
        <w:t xml:space="preserve"> 2018-2022 г</w:t>
      </w:r>
      <w:r w:rsidR="00892E69" w:rsidRPr="00892E69">
        <w:rPr>
          <w:bCs/>
          <w:sz w:val="24"/>
          <w:szCs w:val="24"/>
        </w:rPr>
        <w:t>г</w:t>
      </w:r>
      <w:r w:rsidRPr="00892E69">
        <w:rPr>
          <w:bCs/>
          <w:sz w:val="24"/>
          <w:szCs w:val="24"/>
        </w:rPr>
        <w:t>.</w:t>
      </w:r>
    </w:p>
    <w:p w:rsidR="00E9608B" w:rsidRPr="009208CC" w:rsidRDefault="00E9608B" w:rsidP="00E9608B">
      <w:pPr>
        <w:ind w:firstLine="567"/>
        <w:jc w:val="both"/>
        <w:rPr>
          <w:bCs/>
          <w:sz w:val="24"/>
          <w:szCs w:val="24"/>
        </w:rPr>
      </w:pPr>
      <w:r w:rsidRPr="009208CC">
        <w:rPr>
          <w:bCs/>
          <w:sz w:val="24"/>
          <w:szCs w:val="24"/>
        </w:rPr>
        <w:t>17. Расходы по статье «Проведение экспертизы промышленной безопасности грузоподъемных машин» приняты Департаментом в размере 99,5 тыс. руб.</w:t>
      </w:r>
      <w:r w:rsidR="009208CC" w:rsidRPr="009208CC">
        <w:rPr>
          <w:bCs/>
          <w:sz w:val="24"/>
          <w:szCs w:val="24"/>
        </w:rPr>
        <w:t>,</w:t>
      </w:r>
      <w:r w:rsidRPr="009208CC">
        <w:rPr>
          <w:bCs/>
          <w:sz w:val="24"/>
          <w:szCs w:val="24"/>
        </w:rPr>
        <w:t xml:space="preserve"> вместо заявленной величины 244,29 тыс. руб.</w:t>
      </w:r>
      <w:r w:rsidR="009208CC" w:rsidRPr="009208CC">
        <w:rPr>
          <w:bCs/>
          <w:sz w:val="24"/>
          <w:szCs w:val="24"/>
        </w:rPr>
        <w:t>,</w:t>
      </w:r>
      <w:r w:rsidRPr="009208CC">
        <w:rPr>
          <w:bCs/>
          <w:sz w:val="24"/>
          <w:szCs w:val="24"/>
        </w:rPr>
        <w:t xml:space="preserve"> на основании фактических понесенных </w:t>
      </w:r>
      <w:r w:rsidR="005377EA" w:rsidRPr="009208CC">
        <w:rPr>
          <w:bCs/>
          <w:sz w:val="24"/>
          <w:szCs w:val="24"/>
        </w:rPr>
        <w:t xml:space="preserve">организацией </w:t>
      </w:r>
      <w:r w:rsidRPr="009208CC">
        <w:rPr>
          <w:bCs/>
          <w:sz w:val="24"/>
          <w:szCs w:val="24"/>
        </w:rPr>
        <w:t xml:space="preserve">расходов по данной статье за 2020 год с учетом прогнозных индексов потребительских цен на 2021 и 2022 </w:t>
      </w:r>
      <w:r w:rsidRPr="009208CC">
        <w:rPr>
          <w:bCs/>
          <w:sz w:val="24"/>
          <w:szCs w:val="24"/>
        </w:rPr>
        <w:lastRenderedPageBreak/>
        <w:t>годы.</w:t>
      </w:r>
    </w:p>
    <w:p w:rsidR="005377EA" w:rsidRPr="009208CC" w:rsidRDefault="005377EA" w:rsidP="005377EA">
      <w:pPr>
        <w:ind w:firstLine="567"/>
        <w:jc w:val="both"/>
        <w:rPr>
          <w:bCs/>
          <w:sz w:val="24"/>
          <w:szCs w:val="24"/>
        </w:rPr>
      </w:pPr>
      <w:r w:rsidRPr="009208CC">
        <w:rPr>
          <w:bCs/>
          <w:sz w:val="24"/>
          <w:szCs w:val="24"/>
        </w:rPr>
        <w:t xml:space="preserve">18. </w:t>
      </w:r>
      <w:proofErr w:type="gramStart"/>
      <w:r w:rsidRPr="009208CC">
        <w:rPr>
          <w:bCs/>
          <w:sz w:val="24"/>
          <w:szCs w:val="24"/>
        </w:rPr>
        <w:t>Расходы по статье «Арендная плата»</w:t>
      </w:r>
      <w:r w:rsidR="009208CC" w:rsidRPr="009208CC">
        <w:rPr>
          <w:bCs/>
          <w:sz w:val="24"/>
          <w:szCs w:val="24"/>
        </w:rPr>
        <w:t>:</w:t>
      </w:r>
      <w:r w:rsidRPr="009208CC">
        <w:rPr>
          <w:bCs/>
          <w:sz w:val="24"/>
          <w:szCs w:val="24"/>
        </w:rPr>
        <w:t xml:space="preserve"> «- объекты электросетевого хозяйства» приняты в размере 946,62 тыс. руб.</w:t>
      </w:r>
      <w:r w:rsidR="009208CC" w:rsidRPr="009208CC">
        <w:rPr>
          <w:bCs/>
          <w:sz w:val="24"/>
          <w:szCs w:val="24"/>
        </w:rPr>
        <w:t>,</w:t>
      </w:r>
      <w:r w:rsidRPr="009208CC">
        <w:rPr>
          <w:bCs/>
          <w:sz w:val="24"/>
          <w:szCs w:val="24"/>
        </w:rPr>
        <w:t xml:space="preserve"> вместо заявленной величины – 1472,14 тыс. руб.</w:t>
      </w:r>
      <w:r w:rsidR="009208CC" w:rsidRPr="009208CC">
        <w:rPr>
          <w:bCs/>
          <w:sz w:val="24"/>
          <w:szCs w:val="24"/>
        </w:rPr>
        <w:t>, в</w:t>
      </w:r>
      <w:r w:rsidRPr="009208CC">
        <w:rPr>
          <w:bCs/>
          <w:sz w:val="24"/>
          <w:szCs w:val="24"/>
        </w:rPr>
        <w:t xml:space="preserve"> соответствии с договором аренды имущества с ООО «БизнесПроект» от 07.08.2012 № 109Ар), в том числе амортизационные отчисления – 836,68 тыс. руб., налог на имущество – 109,95 тыс. руб.</w:t>
      </w:r>
      <w:proofErr w:type="gramEnd"/>
    </w:p>
    <w:p w:rsidR="005377EA" w:rsidRPr="009208CC" w:rsidRDefault="005377EA" w:rsidP="005377EA">
      <w:pPr>
        <w:ind w:firstLine="567"/>
        <w:jc w:val="both"/>
        <w:rPr>
          <w:bCs/>
          <w:sz w:val="24"/>
          <w:szCs w:val="24"/>
        </w:rPr>
      </w:pPr>
      <w:proofErr w:type="gramStart"/>
      <w:r w:rsidRPr="009208CC">
        <w:rPr>
          <w:bCs/>
          <w:sz w:val="24"/>
          <w:szCs w:val="24"/>
        </w:rPr>
        <w:t>Расходы на аренду объектов электросетевого хозяйства определены Экспертной группой в соответствии с требованиями пп. 5) п. 28 Основ ценообразования, согласно которому расходы на аренду объектов электросетевого хозяйства определяются регулирующим органом исходя из величины амортизации, налога на имущество, налогов и других установленных законодательством Российской Федерации обязательных платежей, связанных с владением имуществом, переданным в аренду.</w:t>
      </w:r>
      <w:proofErr w:type="gramEnd"/>
    </w:p>
    <w:p w:rsidR="00E9608B" w:rsidRPr="009208CC" w:rsidRDefault="005377EA" w:rsidP="005377EA">
      <w:pPr>
        <w:ind w:firstLine="567"/>
        <w:jc w:val="both"/>
        <w:rPr>
          <w:bCs/>
          <w:sz w:val="24"/>
          <w:szCs w:val="24"/>
        </w:rPr>
      </w:pPr>
      <w:r w:rsidRPr="009208CC">
        <w:rPr>
          <w:bCs/>
          <w:sz w:val="24"/>
          <w:szCs w:val="24"/>
        </w:rPr>
        <w:t xml:space="preserve">Для определения величины амортизации в составе арендной платы применены положения п. 27 Основ ценообразования. По мнению Департамента, необходимо придерживаться системного подхода при формировании расходных статей в составе НВВ сетевых организаций, в </w:t>
      </w:r>
      <w:proofErr w:type="gramStart"/>
      <w:r w:rsidRPr="009208CC">
        <w:rPr>
          <w:bCs/>
          <w:sz w:val="24"/>
          <w:szCs w:val="24"/>
        </w:rPr>
        <w:t>связи</w:t>
      </w:r>
      <w:proofErr w:type="gramEnd"/>
      <w:r w:rsidRPr="009208CC">
        <w:rPr>
          <w:bCs/>
          <w:sz w:val="24"/>
          <w:szCs w:val="24"/>
        </w:rPr>
        <w:t xml:space="preserve"> с чем порядок определения величины амортизационных отчислений для включения в тарифы на услуги по передаче электрической энергии по статьям «Амортизация основных средств» и «Арендная плата» должен быть единым.</w:t>
      </w:r>
    </w:p>
    <w:p w:rsidR="005377EA" w:rsidRPr="009208CC" w:rsidRDefault="005377EA" w:rsidP="005377EA">
      <w:pPr>
        <w:ind w:firstLine="567"/>
        <w:jc w:val="both"/>
        <w:rPr>
          <w:bCs/>
          <w:sz w:val="24"/>
          <w:szCs w:val="24"/>
        </w:rPr>
      </w:pPr>
      <w:r w:rsidRPr="009208CC">
        <w:rPr>
          <w:bCs/>
          <w:sz w:val="24"/>
          <w:szCs w:val="24"/>
        </w:rPr>
        <w:t xml:space="preserve">19. </w:t>
      </w:r>
      <w:proofErr w:type="gramStart"/>
      <w:r w:rsidRPr="009208CC">
        <w:rPr>
          <w:bCs/>
          <w:sz w:val="24"/>
          <w:szCs w:val="24"/>
        </w:rPr>
        <w:t>Расходы по статье «Аренда земельных участков» учтены Департаментом в размере 316,739 тыс. руб. вместо заявленной величины 457,52 тыс. руб. и рассчитаны на основании заключенных договоров аренды земельных участков, фактических расходов АО «Объединенные электрические сети» по данным договорам за 2020 год и по учетной политике АО «Объединенные электрические сети» распределены в до</w:t>
      </w:r>
      <w:r w:rsidR="009208CC" w:rsidRPr="009208CC">
        <w:rPr>
          <w:bCs/>
          <w:sz w:val="24"/>
          <w:szCs w:val="24"/>
        </w:rPr>
        <w:t>ле косвенных расходов 2020 года</w:t>
      </w:r>
      <w:r w:rsidRPr="009208CC">
        <w:rPr>
          <w:bCs/>
          <w:sz w:val="24"/>
          <w:szCs w:val="24"/>
        </w:rPr>
        <w:t xml:space="preserve"> - 81,64%. При этом Департамент отмечает</w:t>
      </w:r>
      <w:proofErr w:type="gramEnd"/>
      <w:r w:rsidRPr="009208CC">
        <w:rPr>
          <w:bCs/>
          <w:sz w:val="24"/>
          <w:szCs w:val="24"/>
        </w:rPr>
        <w:t xml:space="preserve">, что расходы по договорам аренды земельных участков с </w:t>
      </w:r>
      <w:r w:rsidR="00AF5CE5" w:rsidRPr="009208CC">
        <w:rPr>
          <w:bCs/>
          <w:sz w:val="24"/>
          <w:szCs w:val="24"/>
        </w:rPr>
        <w:t xml:space="preserve">администрациями Приволжского муниципального района и Плесского городского поселения учтены без доли косвенных расходов, поскольку они полностью относятся на деятельность по передаче электрической энергии. Доля косвенных расходов применена к договорам аренды земельных участков с ООО «Виктория» </w:t>
      </w:r>
      <w:proofErr w:type="gramStart"/>
      <w:r w:rsidR="00AF5CE5" w:rsidRPr="009208CC">
        <w:rPr>
          <w:bCs/>
          <w:sz w:val="24"/>
          <w:szCs w:val="24"/>
        </w:rPr>
        <w:t>и ООО</w:t>
      </w:r>
      <w:proofErr w:type="gramEnd"/>
      <w:r w:rsidR="00AF5CE5" w:rsidRPr="009208CC">
        <w:rPr>
          <w:bCs/>
          <w:sz w:val="24"/>
          <w:szCs w:val="24"/>
        </w:rPr>
        <w:t xml:space="preserve"> «ПЖТ №2».</w:t>
      </w:r>
    </w:p>
    <w:p w:rsidR="005377EA" w:rsidRPr="009208CC" w:rsidRDefault="005377EA" w:rsidP="005377EA">
      <w:pPr>
        <w:ind w:firstLine="567"/>
        <w:jc w:val="both"/>
        <w:rPr>
          <w:bCs/>
          <w:sz w:val="24"/>
          <w:szCs w:val="24"/>
        </w:rPr>
      </w:pPr>
      <w:r w:rsidRPr="009208CC">
        <w:rPr>
          <w:bCs/>
          <w:sz w:val="24"/>
          <w:szCs w:val="24"/>
        </w:rPr>
        <w:t xml:space="preserve">27. Расходы по статье «Аренда </w:t>
      </w:r>
      <w:r w:rsidR="00AF5CE5" w:rsidRPr="009208CC">
        <w:rPr>
          <w:bCs/>
          <w:sz w:val="24"/>
          <w:szCs w:val="24"/>
        </w:rPr>
        <w:t>транспорта</w:t>
      </w:r>
      <w:r w:rsidRPr="009208CC">
        <w:rPr>
          <w:bCs/>
          <w:sz w:val="24"/>
          <w:szCs w:val="24"/>
        </w:rPr>
        <w:t xml:space="preserve">» </w:t>
      </w:r>
      <w:r w:rsidR="00AF5CE5" w:rsidRPr="009208CC">
        <w:rPr>
          <w:bCs/>
          <w:sz w:val="24"/>
          <w:szCs w:val="24"/>
        </w:rPr>
        <w:t>в размере 1</w:t>
      </w:r>
      <w:r w:rsidR="009208CC" w:rsidRPr="009208CC">
        <w:rPr>
          <w:bCs/>
          <w:sz w:val="24"/>
          <w:szCs w:val="24"/>
        </w:rPr>
        <w:t xml:space="preserve"> </w:t>
      </w:r>
      <w:r w:rsidR="00AF5CE5" w:rsidRPr="009208CC">
        <w:rPr>
          <w:bCs/>
          <w:sz w:val="24"/>
          <w:szCs w:val="24"/>
        </w:rPr>
        <w:t>139,67 тыс. руб. Департаментом признаны экономически необоснованными, поскольку включают в себя аренду автомобиля «премиум класса» Тойота Лэнд Круизер по договору от 28.09.2018 № 600 с ООО «Союз».</w:t>
      </w:r>
    </w:p>
    <w:p w:rsidR="003572B0" w:rsidRPr="009208CC" w:rsidRDefault="003572B0" w:rsidP="003572B0">
      <w:pPr>
        <w:ind w:firstLine="567"/>
        <w:jc w:val="both"/>
        <w:rPr>
          <w:bCs/>
          <w:sz w:val="24"/>
          <w:szCs w:val="24"/>
        </w:rPr>
      </w:pPr>
      <w:r w:rsidRPr="009208CC">
        <w:rPr>
          <w:bCs/>
          <w:sz w:val="24"/>
          <w:szCs w:val="24"/>
        </w:rPr>
        <w:t>28. По статье «Содержание и ТО лифтов, содержание общего имущества, целевой сбор на текущий ремонт в составе ежемесячных коммунальных платежей (Новая, 15)» и «</w:t>
      </w:r>
      <w:r w:rsidR="007D05A6" w:rsidRPr="009208CC">
        <w:rPr>
          <w:bCs/>
          <w:sz w:val="24"/>
          <w:szCs w:val="24"/>
        </w:rPr>
        <w:t xml:space="preserve">Взнос на капремонт собственника здания в составе ежемесячных коммунальных платежей (Новая,15)» </w:t>
      </w:r>
      <w:r w:rsidRPr="009208CC">
        <w:rPr>
          <w:bCs/>
          <w:sz w:val="24"/>
          <w:szCs w:val="24"/>
        </w:rPr>
        <w:t xml:space="preserve">Департаментом приняты расходы в размере 78,56 тыс. руб. </w:t>
      </w:r>
      <w:r w:rsidR="007D05A6" w:rsidRPr="009208CC">
        <w:rPr>
          <w:bCs/>
          <w:sz w:val="24"/>
          <w:szCs w:val="24"/>
        </w:rPr>
        <w:t xml:space="preserve">и 25,47 тыс. руб. соответственно </w:t>
      </w:r>
      <w:r w:rsidRPr="009208CC">
        <w:rPr>
          <w:bCs/>
          <w:sz w:val="24"/>
          <w:szCs w:val="24"/>
        </w:rPr>
        <w:t xml:space="preserve">на основании фактических затрат по счетам ТСН «Новая 15» за 2020 год пропорционально </w:t>
      </w:r>
      <w:r w:rsidR="009208CC" w:rsidRPr="009208CC">
        <w:rPr>
          <w:bCs/>
          <w:sz w:val="24"/>
          <w:szCs w:val="24"/>
        </w:rPr>
        <w:t xml:space="preserve">признанной Департаментом </w:t>
      </w:r>
      <w:r w:rsidRPr="009208CC">
        <w:rPr>
          <w:bCs/>
          <w:sz w:val="24"/>
          <w:szCs w:val="24"/>
        </w:rPr>
        <w:t xml:space="preserve">экономически обоснованной площади для административно-управленческого персонала – 300 кв. м., определенной в соответствии с санитарными правилами СП 2.2.3670-20 «Санитарно-эпидемиологические требования к условиям труда», утвержденными постановлением Главного государственного санитарного врача РФ от 02.12.2020 № 40, и фактической численности административно-управленческого персонала АО «Объединенные электрические сети» </w:t>
      </w:r>
      <w:r w:rsidR="009208CC" w:rsidRPr="009208CC">
        <w:rPr>
          <w:bCs/>
          <w:sz w:val="24"/>
          <w:szCs w:val="24"/>
        </w:rPr>
        <w:t xml:space="preserve">за 2020 год </w:t>
      </w:r>
      <w:r w:rsidRPr="009208CC">
        <w:rPr>
          <w:bCs/>
          <w:sz w:val="24"/>
          <w:szCs w:val="24"/>
        </w:rPr>
        <w:t>- 50 человек.</w:t>
      </w:r>
    </w:p>
    <w:p w:rsidR="005377EA" w:rsidRPr="00192125" w:rsidRDefault="007D05A6" w:rsidP="005377EA">
      <w:pPr>
        <w:ind w:firstLine="567"/>
        <w:jc w:val="both"/>
        <w:rPr>
          <w:bCs/>
          <w:sz w:val="24"/>
          <w:szCs w:val="24"/>
        </w:rPr>
      </w:pPr>
      <w:r w:rsidRPr="00192125">
        <w:rPr>
          <w:bCs/>
          <w:sz w:val="24"/>
          <w:szCs w:val="24"/>
        </w:rPr>
        <w:t>29. По статье «Корректировка НВВ, осуществляемая в связи с изменением (неисполнением) инвестиционной программы» Департамент учитывает корректировку в размере (-22</w:t>
      </w:r>
      <w:r w:rsidR="00192125" w:rsidRPr="00192125">
        <w:rPr>
          <w:bCs/>
          <w:sz w:val="24"/>
          <w:szCs w:val="24"/>
        </w:rPr>
        <w:t xml:space="preserve"> </w:t>
      </w:r>
      <w:r w:rsidRPr="00192125">
        <w:rPr>
          <w:bCs/>
          <w:sz w:val="24"/>
          <w:szCs w:val="24"/>
        </w:rPr>
        <w:t xml:space="preserve">293,10) тыс. руб., рассчитанную в </w:t>
      </w:r>
      <w:r w:rsidR="00505296" w:rsidRPr="00192125">
        <w:rPr>
          <w:bCs/>
          <w:sz w:val="24"/>
          <w:szCs w:val="24"/>
        </w:rPr>
        <w:t>соответствии с формулой 9 с учетом индексации по формуле 3 Методических указаний № 98-э.</w:t>
      </w:r>
    </w:p>
    <w:p w:rsidR="00505296" w:rsidRPr="00192125" w:rsidRDefault="00505296" w:rsidP="005377EA">
      <w:pPr>
        <w:ind w:firstLine="567"/>
        <w:jc w:val="both"/>
        <w:rPr>
          <w:bCs/>
          <w:sz w:val="24"/>
          <w:szCs w:val="24"/>
        </w:rPr>
      </w:pPr>
      <w:r w:rsidRPr="00192125">
        <w:rPr>
          <w:bCs/>
          <w:sz w:val="24"/>
          <w:szCs w:val="24"/>
        </w:rPr>
        <w:t>30. Расходы по статье «Оплата труда» приняты Департаментом в размере 270 518,02 тыс. руб.</w:t>
      </w:r>
      <w:r w:rsidR="00192125" w:rsidRPr="00192125">
        <w:rPr>
          <w:bCs/>
          <w:sz w:val="24"/>
          <w:szCs w:val="24"/>
        </w:rPr>
        <w:t>,</w:t>
      </w:r>
      <w:r w:rsidRPr="00192125">
        <w:rPr>
          <w:bCs/>
          <w:sz w:val="24"/>
          <w:szCs w:val="24"/>
        </w:rPr>
        <w:t xml:space="preserve"> вместо заявленной величины 305 297,71 тыс. руб.</w:t>
      </w:r>
      <w:r w:rsidR="00192125" w:rsidRPr="00192125">
        <w:rPr>
          <w:bCs/>
          <w:sz w:val="24"/>
          <w:szCs w:val="24"/>
        </w:rPr>
        <w:t>,</w:t>
      </w:r>
      <w:r w:rsidRPr="00192125">
        <w:rPr>
          <w:bCs/>
          <w:sz w:val="24"/>
          <w:szCs w:val="24"/>
        </w:rPr>
        <w:t xml:space="preserve"> на основании фактических понесенных организацией расходов по данной статье за 2020 год с учетом прогнозных индексов потребительских цен на 2021 и 2022 годы.</w:t>
      </w:r>
    </w:p>
    <w:p w:rsidR="00505296" w:rsidRPr="00192125" w:rsidRDefault="00505296" w:rsidP="005377EA">
      <w:pPr>
        <w:ind w:firstLine="567"/>
        <w:jc w:val="both"/>
        <w:rPr>
          <w:bCs/>
          <w:sz w:val="24"/>
          <w:szCs w:val="24"/>
        </w:rPr>
      </w:pPr>
      <w:r w:rsidRPr="00192125">
        <w:rPr>
          <w:bCs/>
          <w:sz w:val="24"/>
          <w:szCs w:val="24"/>
        </w:rPr>
        <w:t>30. Расходы по статье «Обслуживание программного обеспечения» приняты Департаментом в размере 11,1 тыс. руб.</w:t>
      </w:r>
      <w:r w:rsidR="00192125" w:rsidRPr="00192125">
        <w:rPr>
          <w:bCs/>
          <w:sz w:val="24"/>
          <w:szCs w:val="24"/>
        </w:rPr>
        <w:t>,</w:t>
      </w:r>
      <w:r w:rsidRPr="00192125">
        <w:rPr>
          <w:bCs/>
          <w:sz w:val="24"/>
          <w:szCs w:val="24"/>
        </w:rPr>
        <w:t xml:space="preserve"> вместо заявленной величины 904,3 тыс. руб.</w:t>
      </w:r>
      <w:r w:rsidR="00192125" w:rsidRPr="00192125">
        <w:rPr>
          <w:bCs/>
          <w:sz w:val="24"/>
          <w:szCs w:val="24"/>
        </w:rPr>
        <w:t>,</w:t>
      </w:r>
      <w:r w:rsidRPr="00192125">
        <w:rPr>
          <w:bCs/>
          <w:sz w:val="24"/>
          <w:szCs w:val="24"/>
        </w:rPr>
        <w:t xml:space="preserve"> на основании фактических понесенных организацией расходов по данной статье за 2020 год с учетом прогнозных индексов потребительских цен на 2021 и 2022 годы.</w:t>
      </w:r>
    </w:p>
    <w:p w:rsidR="00554B20" w:rsidRPr="00EA2F72" w:rsidRDefault="00554B20" w:rsidP="00C2019E">
      <w:pPr>
        <w:ind w:firstLine="567"/>
        <w:jc w:val="both"/>
        <w:rPr>
          <w:bCs/>
          <w:sz w:val="24"/>
          <w:szCs w:val="24"/>
        </w:rPr>
      </w:pPr>
      <w:r w:rsidRPr="00EA2F72">
        <w:rPr>
          <w:bCs/>
          <w:sz w:val="24"/>
          <w:szCs w:val="24"/>
        </w:rPr>
        <w:t>31. Расходы по статье «Юридические услуги» в размере 1</w:t>
      </w:r>
      <w:r w:rsidR="00EA2F72" w:rsidRPr="00EA2F72">
        <w:rPr>
          <w:bCs/>
          <w:sz w:val="24"/>
          <w:szCs w:val="24"/>
        </w:rPr>
        <w:t xml:space="preserve"> </w:t>
      </w:r>
      <w:r w:rsidRPr="00EA2F72">
        <w:rPr>
          <w:bCs/>
          <w:sz w:val="24"/>
          <w:szCs w:val="24"/>
        </w:rPr>
        <w:t xml:space="preserve">848,22 тыс. руб. Департаментом </w:t>
      </w:r>
      <w:r w:rsidRPr="00EA2F72">
        <w:rPr>
          <w:bCs/>
          <w:sz w:val="24"/>
          <w:szCs w:val="24"/>
        </w:rPr>
        <w:lastRenderedPageBreak/>
        <w:t>признаны экономически необоснованными, поскольку в материалах тарифного дела отсутству</w:t>
      </w:r>
      <w:r w:rsidR="00EA2F72" w:rsidRPr="00EA2F72">
        <w:rPr>
          <w:bCs/>
          <w:sz w:val="24"/>
          <w:szCs w:val="24"/>
        </w:rPr>
        <w:t>ю</w:t>
      </w:r>
      <w:r w:rsidRPr="00EA2F72">
        <w:rPr>
          <w:bCs/>
          <w:sz w:val="24"/>
          <w:szCs w:val="24"/>
        </w:rPr>
        <w:t xml:space="preserve">т подтверждающие документы об отсутствии в </w:t>
      </w:r>
      <w:r w:rsidR="00AC4768" w:rsidRPr="00EA2F72">
        <w:rPr>
          <w:bCs/>
          <w:sz w:val="24"/>
          <w:szCs w:val="24"/>
        </w:rPr>
        <w:t>штате организации юриста. Штатное расписание в материалах тарифного дела не представлено. Кроме того, фактические затраты по данной статье за 2020 год у организации отсутствуют.</w:t>
      </w:r>
    </w:p>
    <w:p w:rsidR="00AC4768" w:rsidRPr="005542E0" w:rsidRDefault="00AC4768" w:rsidP="00AC4768">
      <w:pPr>
        <w:ind w:firstLine="567"/>
        <w:jc w:val="both"/>
        <w:rPr>
          <w:bCs/>
          <w:sz w:val="24"/>
          <w:szCs w:val="24"/>
        </w:rPr>
      </w:pPr>
      <w:r w:rsidRPr="005542E0">
        <w:rPr>
          <w:bCs/>
          <w:sz w:val="24"/>
          <w:szCs w:val="24"/>
        </w:rPr>
        <w:t>32. Расходы по статье «Оплата услуг нотариуса, адвоката» приняты Департаментом в размере 46,03 тыс. руб. на основании фактических понесенных организацией расходов по данной статье за 2020 год с учетом прогнозных индексов потребительских цен на 2021 и 2022 годы.</w:t>
      </w:r>
    </w:p>
    <w:p w:rsidR="00AC4768" w:rsidRPr="00396D09" w:rsidRDefault="00AC4768" w:rsidP="00C2019E">
      <w:pPr>
        <w:ind w:firstLine="567"/>
        <w:jc w:val="both"/>
        <w:rPr>
          <w:bCs/>
          <w:sz w:val="24"/>
          <w:szCs w:val="24"/>
        </w:rPr>
      </w:pPr>
      <w:r w:rsidRPr="00396D09">
        <w:rPr>
          <w:bCs/>
          <w:sz w:val="24"/>
          <w:szCs w:val="24"/>
        </w:rPr>
        <w:t>33. Расходы по статье «Прочие расходы (услуги профессионального регистратора)» приняты Департаментом в размере 15,29 тыс. руб. в соответствии с расчетом организации в доле косвенных расходов 2020 года  - 81,64%.</w:t>
      </w:r>
    </w:p>
    <w:p w:rsidR="00031934" w:rsidRPr="00396D09" w:rsidRDefault="00031934" w:rsidP="00031934">
      <w:pPr>
        <w:ind w:firstLine="567"/>
        <w:jc w:val="both"/>
        <w:rPr>
          <w:bCs/>
          <w:sz w:val="24"/>
          <w:szCs w:val="24"/>
        </w:rPr>
      </w:pPr>
      <w:r w:rsidRPr="00396D09">
        <w:rPr>
          <w:bCs/>
          <w:sz w:val="24"/>
          <w:szCs w:val="24"/>
        </w:rPr>
        <w:t>34. Расходы по статье «Энергия на хозяйственные нужды (тепловая)» приняты Департаментом в размере 874,48 тыс. руб.</w:t>
      </w:r>
      <w:r w:rsidR="00396D09" w:rsidRPr="00396D09">
        <w:rPr>
          <w:bCs/>
          <w:sz w:val="24"/>
          <w:szCs w:val="24"/>
        </w:rPr>
        <w:t>,</w:t>
      </w:r>
      <w:r w:rsidRPr="00396D09">
        <w:rPr>
          <w:bCs/>
          <w:sz w:val="24"/>
          <w:szCs w:val="24"/>
        </w:rPr>
        <w:t xml:space="preserve"> вместо заявленной величины 1</w:t>
      </w:r>
      <w:r w:rsidR="00396D09" w:rsidRPr="00396D09">
        <w:rPr>
          <w:bCs/>
          <w:sz w:val="24"/>
          <w:szCs w:val="24"/>
        </w:rPr>
        <w:t xml:space="preserve"> </w:t>
      </w:r>
      <w:r w:rsidRPr="00396D09">
        <w:rPr>
          <w:bCs/>
          <w:sz w:val="24"/>
          <w:szCs w:val="24"/>
        </w:rPr>
        <w:t>868,54 тыс. руб.</w:t>
      </w:r>
      <w:r w:rsidR="00396D09" w:rsidRPr="00396D09">
        <w:rPr>
          <w:bCs/>
          <w:sz w:val="24"/>
          <w:szCs w:val="24"/>
        </w:rPr>
        <w:t>,</w:t>
      </w:r>
      <w:r w:rsidRPr="00396D09">
        <w:rPr>
          <w:bCs/>
          <w:sz w:val="24"/>
          <w:szCs w:val="24"/>
        </w:rPr>
        <w:t xml:space="preserve"> на основании фактических понесенных организацией расходов по данной статье за 2020 год с учетом прогнозных индексов цен на 2021 и 2022 годы.</w:t>
      </w:r>
    </w:p>
    <w:p w:rsidR="009E3545" w:rsidRPr="00396D09" w:rsidRDefault="00E80D8D" w:rsidP="00C2019E">
      <w:pPr>
        <w:ind w:firstLine="567"/>
        <w:jc w:val="both"/>
        <w:rPr>
          <w:bCs/>
          <w:sz w:val="24"/>
          <w:szCs w:val="24"/>
        </w:rPr>
      </w:pPr>
      <w:r w:rsidRPr="00396D09">
        <w:rPr>
          <w:bCs/>
          <w:sz w:val="24"/>
          <w:szCs w:val="24"/>
        </w:rPr>
        <w:t>3</w:t>
      </w:r>
      <w:r w:rsidR="00C30FD7" w:rsidRPr="00396D09">
        <w:rPr>
          <w:bCs/>
          <w:sz w:val="24"/>
          <w:szCs w:val="24"/>
        </w:rPr>
        <w:t xml:space="preserve">5. </w:t>
      </w:r>
      <w:proofErr w:type="gramStart"/>
      <w:r w:rsidR="00C30FD7" w:rsidRPr="00396D09">
        <w:rPr>
          <w:bCs/>
          <w:sz w:val="24"/>
          <w:szCs w:val="24"/>
        </w:rPr>
        <w:t xml:space="preserve">Расходы по статье «Инструмент производственный» приняты </w:t>
      </w:r>
      <w:r w:rsidR="00396D09" w:rsidRPr="00396D09">
        <w:rPr>
          <w:bCs/>
          <w:sz w:val="24"/>
          <w:szCs w:val="24"/>
        </w:rPr>
        <w:t>Департаментом</w:t>
      </w:r>
      <w:r w:rsidR="00C30FD7" w:rsidRPr="00396D09">
        <w:rPr>
          <w:bCs/>
          <w:sz w:val="24"/>
          <w:szCs w:val="24"/>
        </w:rPr>
        <w:t xml:space="preserve"> в размере </w:t>
      </w:r>
      <w:r w:rsidRPr="00396D09">
        <w:rPr>
          <w:bCs/>
          <w:sz w:val="24"/>
          <w:szCs w:val="24"/>
        </w:rPr>
        <w:t>16,69</w:t>
      </w:r>
      <w:r w:rsidR="00C30FD7" w:rsidRPr="00396D09">
        <w:rPr>
          <w:bCs/>
          <w:sz w:val="24"/>
          <w:szCs w:val="24"/>
        </w:rPr>
        <w:t xml:space="preserve"> тыс. руб. (клещи токоизмерительные СЕМ DT-</w:t>
      </w:r>
      <w:r w:rsidR="00332FA4" w:rsidRPr="00396D09">
        <w:rPr>
          <w:bCs/>
          <w:sz w:val="24"/>
          <w:szCs w:val="24"/>
        </w:rPr>
        <w:t>3348</w:t>
      </w:r>
      <w:r w:rsidR="00C30FD7" w:rsidRPr="00396D09">
        <w:rPr>
          <w:bCs/>
          <w:sz w:val="24"/>
          <w:szCs w:val="24"/>
        </w:rPr>
        <w:t xml:space="preserve">), вместо заявленной величины – </w:t>
      </w:r>
      <w:r w:rsidRPr="00396D09">
        <w:rPr>
          <w:bCs/>
          <w:sz w:val="24"/>
          <w:szCs w:val="24"/>
        </w:rPr>
        <w:t>724,19</w:t>
      </w:r>
      <w:r w:rsidR="00C30FD7" w:rsidRPr="00396D09">
        <w:rPr>
          <w:bCs/>
          <w:sz w:val="24"/>
          <w:szCs w:val="24"/>
        </w:rPr>
        <w:t xml:space="preserve"> тыс. руб. </w:t>
      </w:r>
      <w:r w:rsidR="00396D09" w:rsidRPr="00396D09">
        <w:rPr>
          <w:bCs/>
          <w:sz w:val="24"/>
          <w:szCs w:val="24"/>
        </w:rPr>
        <w:t>Департаментом</w:t>
      </w:r>
      <w:r w:rsidR="00C30FD7" w:rsidRPr="00396D09">
        <w:rPr>
          <w:bCs/>
          <w:sz w:val="24"/>
          <w:szCs w:val="24"/>
        </w:rPr>
        <w:t xml:space="preserve"> исключены расходы на приобретение двух приборов энергетика (СЕ602М-120ПК) для осуществления инструментальной проверки приборов учета электрической энергии, так как инструментальная проверка по п. 170 Основных положений функционирования розничных рынков не носит обязательный характер.</w:t>
      </w:r>
      <w:proofErr w:type="gramEnd"/>
      <w:r w:rsidR="00C30FD7" w:rsidRPr="00396D09">
        <w:rPr>
          <w:bCs/>
          <w:sz w:val="24"/>
          <w:szCs w:val="24"/>
        </w:rPr>
        <w:t xml:space="preserve"> Она также может осуществляться гарантирующим поставщиком, имеющим необходимое оборудование. Кроме того, согласно учетной политике организации указанный прибор относится к основным средствам, расходы по которым списываются на себестоимость через амортизационные отчисления.</w:t>
      </w:r>
    </w:p>
    <w:p w:rsidR="00332FA4" w:rsidRPr="00A45CD1" w:rsidRDefault="00497A2E" w:rsidP="00332FA4">
      <w:pPr>
        <w:ind w:firstLine="567"/>
        <w:jc w:val="both"/>
        <w:rPr>
          <w:bCs/>
          <w:sz w:val="24"/>
          <w:szCs w:val="24"/>
        </w:rPr>
      </w:pPr>
      <w:r w:rsidRPr="00A45CD1">
        <w:rPr>
          <w:bCs/>
          <w:sz w:val="24"/>
          <w:szCs w:val="24"/>
        </w:rPr>
        <w:t>3</w:t>
      </w:r>
      <w:r w:rsidR="00332FA4" w:rsidRPr="00A45CD1">
        <w:rPr>
          <w:bCs/>
          <w:sz w:val="24"/>
          <w:szCs w:val="24"/>
        </w:rPr>
        <w:t xml:space="preserve">6. Затраты на приобретение бланочной продукции для работы с приборами учета учтены Департаментом в размере </w:t>
      </w:r>
      <w:r w:rsidRPr="00A45CD1">
        <w:rPr>
          <w:bCs/>
          <w:sz w:val="24"/>
          <w:szCs w:val="24"/>
        </w:rPr>
        <w:t>39,15</w:t>
      </w:r>
      <w:r w:rsidR="00332FA4" w:rsidRPr="00A45CD1">
        <w:rPr>
          <w:bCs/>
          <w:sz w:val="24"/>
          <w:szCs w:val="24"/>
        </w:rPr>
        <w:t xml:space="preserve"> тыс. руб.</w:t>
      </w:r>
      <w:r w:rsidR="00A45CD1" w:rsidRPr="00A45CD1">
        <w:rPr>
          <w:bCs/>
          <w:sz w:val="24"/>
          <w:szCs w:val="24"/>
        </w:rPr>
        <w:t>,</w:t>
      </w:r>
      <w:r w:rsidR="00AB548C" w:rsidRPr="00A45CD1">
        <w:rPr>
          <w:bCs/>
          <w:sz w:val="24"/>
          <w:szCs w:val="24"/>
        </w:rPr>
        <w:t xml:space="preserve"> </w:t>
      </w:r>
      <w:r w:rsidR="00332FA4" w:rsidRPr="00A45CD1">
        <w:rPr>
          <w:bCs/>
          <w:sz w:val="24"/>
          <w:szCs w:val="24"/>
        </w:rPr>
        <w:t>вместо заявленной величины –</w:t>
      </w:r>
      <w:r w:rsidRPr="00A45CD1">
        <w:rPr>
          <w:bCs/>
          <w:sz w:val="24"/>
          <w:szCs w:val="24"/>
        </w:rPr>
        <w:t>653,13</w:t>
      </w:r>
      <w:r w:rsidR="00332FA4" w:rsidRPr="00A45CD1">
        <w:rPr>
          <w:bCs/>
          <w:sz w:val="24"/>
          <w:szCs w:val="24"/>
        </w:rPr>
        <w:t xml:space="preserve"> тыс. руб.</w:t>
      </w:r>
      <w:r w:rsidR="00A45CD1" w:rsidRPr="00A45CD1">
        <w:rPr>
          <w:bCs/>
          <w:sz w:val="24"/>
          <w:szCs w:val="24"/>
        </w:rPr>
        <w:t>,</w:t>
      </w:r>
      <w:r w:rsidR="00332FA4" w:rsidRPr="00A45CD1">
        <w:rPr>
          <w:bCs/>
          <w:sz w:val="24"/>
          <w:szCs w:val="24"/>
        </w:rPr>
        <w:t xml:space="preserve"> на основании фактических затрат </w:t>
      </w:r>
      <w:r w:rsidR="009726C9" w:rsidRPr="00A45CD1">
        <w:rPr>
          <w:bCs/>
          <w:sz w:val="24"/>
          <w:szCs w:val="24"/>
        </w:rPr>
        <w:t>АО «Объединенные электрические сети»</w:t>
      </w:r>
      <w:r w:rsidR="00332FA4" w:rsidRPr="00A45CD1">
        <w:rPr>
          <w:bCs/>
          <w:sz w:val="24"/>
          <w:szCs w:val="24"/>
        </w:rPr>
        <w:t xml:space="preserve"> по данной статье в 2020 году и с учетом прогнозных индексов потребительских цен на 2021 и 2022 годы.</w:t>
      </w:r>
    </w:p>
    <w:p w:rsidR="006B0DB8" w:rsidRPr="00A45CD1" w:rsidRDefault="00497A2E" w:rsidP="00332FA4">
      <w:pPr>
        <w:ind w:firstLine="567"/>
        <w:jc w:val="both"/>
        <w:rPr>
          <w:bCs/>
          <w:sz w:val="24"/>
          <w:szCs w:val="24"/>
        </w:rPr>
      </w:pPr>
      <w:r w:rsidRPr="00A45CD1">
        <w:rPr>
          <w:bCs/>
          <w:sz w:val="24"/>
          <w:szCs w:val="24"/>
        </w:rPr>
        <w:t>3</w:t>
      </w:r>
      <w:r w:rsidR="006B0DB8" w:rsidRPr="00A45CD1">
        <w:rPr>
          <w:bCs/>
          <w:sz w:val="24"/>
          <w:szCs w:val="24"/>
        </w:rPr>
        <w:t xml:space="preserve">7. Затраты по установке контрольного пофидерного учета на фидерах (трансформаторах) 0,4 кВ в трансформаторных подстанциях, заявленные в размере </w:t>
      </w:r>
      <w:r w:rsidRPr="00A45CD1">
        <w:rPr>
          <w:bCs/>
          <w:sz w:val="24"/>
          <w:szCs w:val="24"/>
        </w:rPr>
        <w:t>1451,12</w:t>
      </w:r>
      <w:r w:rsidR="006B0DB8" w:rsidRPr="00A45CD1">
        <w:rPr>
          <w:bCs/>
          <w:sz w:val="24"/>
          <w:szCs w:val="24"/>
        </w:rPr>
        <w:t xml:space="preserve"> тыс. руб. Департамент считает экономически не обоснованными, поскольку у организации отсутствует </w:t>
      </w:r>
      <w:r w:rsidR="0056093F" w:rsidRPr="00A45CD1">
        <w:rPr>
          <w:bCs/>
          <w:sz w:val="24"/>
          <w:szCs w:val="24"/>
        </w:rPr>
        <w:t xml:space="preserve">подтвержденные расходы по данной статье за предыдущие 4 года, отсутствует оценка эффективности предлагаемых расходов. Кроме того, указанные расходы не являются обязательными для оказания регулируемой деятельности. </w:t>
      </w:r>
      <w:r w:rsidR="00B515CA" w:rsidRPr="00A45CD1">
        <w:rPr>
          <w:bCs/>
          <w:sz w:val="24"/>
          <w:szCs w:val="24"/>
        </w:rPr>
        <w:t xml:space="preserve">Мероприятия по выявлению «очагов потерь» направлено на снижение коммерческих потерь, финансирование которых за счет оказания услуг по передаче электрической энергии действующим законодательством не предусмотрено. </w:t>
      </w:r>
      <w:r w:rsidR="0056093F" w:rsidRPr="00A45CD1">
        <w:rPr>
          <w:bCs/>
          <w:sz w:val="24"/>
          <w:szCs w:val="24"/>
        </w:rPr>
        <w:t>Департамент предлагает проведение данных работ осуществлять из экономии потерь электрической энергии от выявления безучетного и бездоговорного потребления.</w:t>
      </w:r>
    </w:p>
    <w:p w:rsidR="0016665D" w:rsidRPr="00A45CD1" w:rsidRDefault="0016665D" w:rsidP="00332FA4">
      <w:pPr>
        <w:ind w:firstLine="567"/>
        <w:jc w:val="both"/>
        <w:rPr>
          <w:bCs/>
          <w:sz w:val="24"/>
          <w:szCs w:val="24"/>
        </w:rPr>
      </w:pPr>
      <w:r w:rsidRPr="00A45CD1">
        <w:rPr>
          <w:bCs/>
          <w:sz w:val="24"/>
          <w:szCs w:val="24"/>
        </w:rPr>
        <w:t>38. Расходы по статье «Поверка средств измерений» приняты Департаментом в размере 184,53 тыс. руб. в соответствии с расчетом организации.</w:t>
      </w:r>
    </w:p>
    <w:p w:rsidR="0016665D" w:rsidRPr="001D6A4C" w:rsidRDefault="0016665D" w:rsidP="00332FA4">
      <w:pPr>
        <w:ind w:firstLine="567"/>
        <w:jc w:val="both"/>
        <w:rPr>
          <w:bCs/>
          <w:sz w:val="24"/>
          <w:szCs w:val="24"/>
        </w:rPr>
      </w:pPr>
      <w:r w:rsidRPr="001D6A4C">
        <w:rPr>
          <w:bCs/>
          <w:sz w:val="24"/>
          <w:szCs w:val="24"/>
        </w:rPr>
        <w:t>39. Расходы по статье «Ремонт электрических сетей, выполняемый подрядным способом», учтены Департаментом в размере 51</w:t>
      </w:r>
      <w:r w:rsidR="00A45CD1" w:rsidRPr="001D6A4C">
        <w:rPr>
          <w:bCs/>
          <w:sz w:val="24"/>
          <w:szCs w:val="24"/>
        </w:rPr>
        <w:t xml:space="preserve"> </w:t>
      </w:r>
      <w:r w:rsidRPr="001D6A4C">
        <w:rPr>
          <w:bCs/>
          <w:sz w:val="24"/>
          <w:szCs w:val="24"/>
        </w:rPr>
        <w:t>707,37 тыс. руб.</w:t>
      </w:r>
      <w:r w:rsidR="00A45CD1" w:rsidRPr="001D6A4C">
        <w:rPr>
          <w:bCs/>
          <w:sz w:val="24"/>
          <w:szCs w:val="24"/>
        </w:rPr>
        <w:t>,</w:t>
      </w:r>
      <w:r w:rsidRPr="001D6A4C">
        <w:rPr>
          <w:bCs/>
          <w:sz w:val="24"/>
          <w:szCs w:val="24"/>
        </w:rPr>
        <w:t xml:space="preserve"> вместо заявленной величины – 160</w:t>
      </w:r>
      <w:r w:rsidR="00A45CD1" w:rsidRPr="001D6A4C">
        <w:rPr>
          <w:bCs/>
          <w:sz w:val="24"/>
          <w:szCs w:val="24"/>
        </w:rPr>
        <w:t xml:space="preserve"> </w:t>
      </w:r>
      <w:r w:rsidRPr="001D6A4C">
        <w:rPr>
          <w:bCs/>
          <w:sz w:val="24"/>
          <w:szCs w:val="24"/>
        </w:rPr>
        <w:t>604,61 тыс. руб.</w:t>
      </w:r>
      <w:r w:rsidR="00A45CD1" w:rsidRPr="001D6A4C">
        <w:rPr>
          <w:bCs/>
          <w:sz w:val="24"/>
          <w:szCs w:val="24"/>
        </w:rPr>
        <w:t>,</w:t>
      </w:r>
      <w:r w:rsidRPr="001D6A4C">
        <w:rPr>
          <w:bCs/>
          <w:sz w:val="24"/>
          <w:szCs w:val="24"/>
        </w:rPr>
        <w:t xml:space="preserve"> поскольку основные заявленные работы по ремонту электрических сетей по</w:t>
      </w:r>
      <w:r w:rsidR="00A45CD1" w:rsidRPr="001D6A4C">
        <w:rPr>
          <w:bCs/>
          <w:sz w:val="24"/>
          <w:szCs w:val="24"/>
        </w:rPr>
        <w:t xml:space="preserve"> своей</w:t>
      </w:r>
      <w:r w:rsidRPr="001D6A4C">
        <w:rPr>
          <w:bCs/>
          <w:sz w:val="24"/>
          <w:szCs w:val="24"/>
        </w:rPr>
        <w:t xml:space="preserve"> сути </w:t>
      </w:r>
      <w:r w:rsidR="00A45CD1" w:rsidRPr="001D6A4C">
        <w:rPr>
          <w:bCs/>
          <w:sz w:val="24"/>
          <w:szCs w:val="24"/>
        </w:rPr>
        <w:t>могут быть проведены в рамках</w:t>
      </w:r>
      <w:r w:rsidRPr="001D6A4C">
        <w:rPr>
          <w:bCs/>
          <w:sz w:val="24"/>
          <w:szCs w:val="24"/>
        </w:rPr>
        <w:t xml:space="preserve"> реконструкци</w:t>
      </w:r>
      <w:r w:rsidR="00A45CD1" w:rsidRPr="001D6A4C">
        <w:rPr>
          <w:bCs/>
          <w:sz w:val="24"/>
          <w:szCs w:val="24"/>
        </w:rPr>
        <w:t>и основных средств и, по мнению Департамента, экономически обоснованно их финансирование за счет амортизационных отчислений, учитываемых при установлении регулируемых тарифов для организации</w:t>
      </w:r>
      <w:r w:rsidR="001D6A4C" w:rsidRPr="001D6A4C">
        <w:rPr>
          <w:bCs/>
          <w:sz w:val="24"/>
          <w:szCs w:val="24"/>
        </w:rPr>
        <w:t xml:space="preserve"> на 2022-2026гг.</w:t>
      </w:r>
      <w:r w:rsidR="00A45CD1" w:rsidRPr="001D6A4C">
        <w:rPr>
          <w:bCs/>
          <w:sz w:val="24"/>
          <w:szCs w:val="24"/>
        </w:rPr>
        <w:t>,</w:t>
      </w:r>
      <w:r w:rsidR="001D6A4C" w:rsidRPr="001D6A4C">
        <w:rPr>
          <w:bCs/>
          <w:sz w:val="24"/>
          <w:szCs w:val="24"/>
        </w:rPr>
        <w:t xml:space="preserve"> </w:t>
      </w:r>
      <w:r w:rsidR="00A45CD1" w:rsidRPr="001D6A4C">
        <w:rPr>
          <w:bCs/>
          <w:sz w:val="24"/>
          <w:szCs w:val="24"/>
        </w:rPr>
        <w:t>которые не были заявлены организацией как источник финансирования мероприятий</w:t>
      </w:r>
      <w:r w:rsidRPr="001D6A4C">
        <w:rPr>
          <w:bCs/>
          <w:sz w:val="24"/>
          <w:szCs w:val="24"/>
        </w:rPr>
        <w:t xml:space="preserve"> утвержденной в установленном порядке инвестиционной программы АО «Объединенные электрические сети» </w:t>
      </w:r>
      <w:r w:rsidR="00A45CD1" w:rsidRPr="001D6A4C">
        <w:rPr>
          <w:bCs/>
          <w:sz w:val="24"/>
          <w:szCs w:val="24"/>
        </w:rPr>
        <w:t>на 2022-2026гг.</w:t>
      </w:r>
    </w:p>
    <w:p w:rsidR="00E52C18" w:rsidRPr="00D63C96" w:rsidRDefault="0016665D" w:rsidP="00E52C18">
      <w:pPr>
        <w:ind w:firstLine="567"/>
        <w:jc w:val="both"/>
        <w:rPr>
          <w:bCs/>
          <w:sz w:val="24"/>
          <w:szCs w:val="24"/>
        </w:rPr>
      </w:pPr>
      <w:r w:rsidRPr="00D63C96">
        <w:rPr>
          <w:bCs/>
          <w:sz w:val="24"/>
          <w:szCs w:val="24"/>
        </w:rPr>
        <w:t>4</w:t>
      </w:r>
      <w:r w:rsidR="00E52C18" w:rsidRPr="00D63C96">
        <w:rPr>
          <w:bCs/>
          <w:sz w:val="24"/>
          <w:szCs w:val="24"/>
        </w:rPr>
        <w:t>0. По</w:t>
      </w:r>
      <w:r w:rsidR="00E52C18" w:rsidRPr="00D63C96">
        <w:t xml:space="preserve"> </w:t>
      </w:r>
      <w:r w:rsidR="00E52C18" w:rsidRPr="00D63C96">
        <w:rPr>
          <w:bCs/>
          <w:sz w:val="24"/>
          <w:szCs w:val="24"/>
        </w:rPr>
        <w:t>статье «Финансирование мероприятий по энергосбережению»</w:t>
      </w:r>
      <w:r w:rsidR="0032433B" w:rsidRPr="00D63C96">
        <w:rPr>
          <w:bCs/>
          <w:sz w:val="24"/>
          <w:szCs w:val="24"/>
        </w:rPr>
        <w:t xml:space="preserve"> </w:t>
      </w:r>
      <w:r w:rsidR="00E52C18" w:rsidRPr="00D63C96">
        <w:rPr>
          <w:bCs/>
          <w:sz w:val="24"/>
          <w:szCs w:val="24"/>
        </w:rPr>
        <w:t xml:space="preserve">заявлены расходы на финансирование мероприятий по энергосбережению и повышению надежности электроснабжения в размере </w:t>
      </w:r>
      <w:r w:rsidR="003D1708" w:rsidRPr="00D63C96">
        <w:rPr>
          <w:bCs/>
          <w:sz w:val="24"/>
          <w:szCs w:val="24"/>
        </w:rPr>
        <w:t>8</w:t>
      </w:r>
      <w:r w:rsidR="00D63C96" w:rsidRPr="00D63C96">
        <w:rPr>
          <w:bCs/>
          <w:sz w:val="24"/>
          <w:szCs w:val="24"/>
        </w:rPr>
        <w:t xml:space="preserve"> </w:t>
      </w:r>
      <w:r w:rsidR="003D1708" w:rsidRPr="00D63C96">
        <w:rPr>
          <w:bCs/>
          <w:sz w:val="24"/>
          <w:szCs w:val="24"/>
        </w:rPr>
        <w:t>606,4</w:t>
      </w:r>
      <w:r w:rsidR="00E52C18" w:rsidRPr="00D63C96">
        <w:rPr>
          <w:bCs/>
          <w:sz w:val="24"/>
          <w:szCs w:val="24"/>
        </w:rPr>
        <w:t xml:space="preserve"> тыс. руб., в том числе:</w:t>
      </w:r>
    </w:p>
    <w:p w:rsidR="00A41B4C" w:rsidRPr="00D63C96" w:rsidRDefault="00A41B4C" w:rsidP="00A41B4C">
      <w:pPr>
        <w:ind w:firstLine="567"/>
        <w:jc w:val="both"/>
        <w:rPr>
          <w:bCs/>
          <w:sz w:val="24"/>
          <w:szCs w:val="24"/>
        </w:rPr>
      </w:pPr>
      <w:r w:rsidRPr="00D63C96">
        <w:rPr>
          <w:bCs/>
          <w:sz w:val="24"/>
          <w:szCs w:val="24"/>
        </w:rPr>
        <w:t>- замена силовых трансформаторов для снижения технических потерь электроэнергии и исключения недогруза трансформаторов</w:t>
      </w:r>
      <w:r w:rsidRPr="00D63C96">
        <w:rPr>
          <w:bCs/>
          <w:sz w:val="24"/>
          <w:szCs w:val="24"/>
        </w:rPr>
        <w:tab/>
        <w:t xml:space="preserve"> - </w:t>
      </w:r>
      <w:r w:rsidR="003D1708" w:rsidRPr="00D63C96">
        <w:rPr>
          <w:bCs/>
          <w:sz w:val="24"/>
          <w:szCs w:val="24"/>
        </w:rPr>
        <w:t>8</w:t>
      </w:r>
      <w:r w:rsidR="00D63C96" w:rsidRPr="00D63C96">
        <w:rPr>
          <w:bCs/>
          <w:sz w:val="24"/>
          <w:szCs w:val="24"/>
        </w:rPr>
        <w:t xml:space="preserve"> </w:t>
      </w:r>
      <w:r w:rsidR="003D1708" w:rsidRPr="00D63C96">
        <w:rPr>
          <w:bCs/>
          <w:sz w:val="24"/>
          <w:szCs w:val="24"/>
        </w:rPr>
        <w:t>597</w:t>
      </w:r>
      <w:r w:rsidRPr="00D63C96">
        <w:rPr>
          <w:bCs/>
          <w:sz w:val="24"/>
          <w:szCs w:val="24"/>
        </w:rPr>
        <w:t>,00 тыс. руб.</w:t>
      </w:r>
    </w:p>
    <w:p w:rsidR="00A41B4C" w:rsidRPr="00D63C96" w:rsidRDefault="00A41B4C" w:rsidP="00A41B4C">
      <w:pPr>
        <w:ind w:firstLine="567"/>
        <w:jc w:val="both"/>
        <w:rPr>
          <w:bCs/>
          <w:sz w:val="24"/>
          <w:szCs w:val="24"/>
        </w:rPr>
      </w:pPr>
      <w:r w:rsidRPr="00D63C96">
        <w:rPr>
          <w:bCs/>
          <w:sz w:val="24"/>
          <w:szCs w:val="24"/>
        </w:rPr>
        <w:t>- замена осветительных устрой</w:t>
      </w:r>
      <w:proofErr w:type="gramStart"/>
      <w:r w:rsidRPr="00D63C96">
        <w:rPr>
          <w:bCs/>
          <w:sz w:val="24"/>
          <w:szCs w:val="24"/>
        </w:rPr>
        <w:t>ств в зд</w:t>
      </w:r>
      <w:proofErr w:type="gramEnd"/>
      <w:r w:rsidRPr="00D63C96">
        <w:rPr>
          <w:bCs/>
          <w:sz w:val="24"/>
          <w:szCs w:val="24"/>
        </w:rPr>
        <w:t xml:space="preserve">аниях трансформаторных подстанций на </w:t>
      </w:r>
      <w:r w:rsidRPr="00D63C96">
        <w:rPr>
          <w:bCs/>
          <w:sz w:val="24"/>
          <w:szCs w:val="24"/>
        </w:rPr>
        <w:lastRenderedPageBreak/>
        <w:t xml:space="preserve">осветительные устройства с использованием светодиодов – </w:t>
      </w:r>
      <w:r w:rsidR="003D1708" w:rsidRPr="00D63C96">
        <w:rPr>
          <w:bCs/>
          <w:sz w:val="24"/>
          <w:szCs w:val="24"/>
        </w:rPr>
        <w:t>9,4</w:t>
      </w:r>
      <w:r w:rsidRPr="00D63C96">
        <w:rPr>
          <w:bCs/>
          <w:sz w:val="24"/>
          <w:szCs w:val="24"/>
        </w:rPr>
        <w:t xml:space="preserve"> тыс. руб.</w:t>
      </w:r>
    </w:p>
    <w:p w:rsidR="00FD0839" w:rsidRPr="00165B61" w:rsidRDefault="00D63C96" w:rsidP="00A41B4C">
      <w:pPr>
        <w:ind w:firstLine="567"/>
        <w:jc w:val="both"/>
        <w:rPr>
          <w:bCs/>
          <w:sz w:val="24"/>
          <w:szCs w:val="24"/>
        </w:rPr>
      </w:pPr>
      <w:r w:rsidRPr="00165B61">
        <w:rPr>
          <w:bCs/>
          <w:sz w:val="24"/>
          <w:szCs w:val="24"/>
        </w:rPr>
        <w:t>Департамент</w:t>
      </w:r>
      <w:r w:rsidR="00E52C18" w:rsidRPr="00165B61">
        <w:rPr>
          <w:bCs/>
          <w:sz w:val="24"/>
          <w:szCs w:val="24"/>
        </w:rPr>
        <w:t xml:space="preserve"> учитывает по данной статье расходы на замену осветительных устройств ТП на </w:t>
      </w:r>
      <w:proofErr w:type="gramStart"/>
      <w:r w:rsidR="00E52C18" w:rsidRPr="00165B61">
        <w:rPr>
          <w:bCs/>
          <w:sz w:val="24"/>
          <w:szCs w:val="24"/>
        </w:rPr>
        <w:t>светодиодные</w:t>
      </w:r>
      <w:proofErr w:type="gramEnd"/>
      <w:r w:rsidR="00E52C18" w:rsidRPr="00165B61">
        <w:rPr>
          <w:bCs/>
          <w:sz w:val="24"/>
          <w:szCs w:val="24"/>
        </w:rPr>
        <w:t xml:space="preserve"> на основании представленного в материалах тарифного дела расчета и</w:t>
      </w:r>
      <w:r w:rsidR="005C547A" w:rsidRPr="00165B61">
        <w:rPr>
          <w:bCs/>
          <w:sz w:val="24"/>
          <w:szCs w:val="24"/>
        </w:rPr>
        <w:t xml:space="preserve"> относит их в состав подконтрольных расходов в раздел «Вспомогательные материалы» с распределением на 5 лет долгосрочного периода регулирования, а также </w:t>
      </w:r>
      <w:r w:rsidR="00E52C18" w:rsidRPr="00165B61">
        <w:rPr>
          <w:bCs/>
          <w:sz w:val="24"/>
          <w:szCs w:val="24"/>
        </w:rPr>
        <w:t>отмечает, что работы по замене трансформаторов по своей сути являются капитальными вложениями и должны входить в раздел «Энергосбережение» инвестиционной программ</w:t>
      </w:r>
      <w:r w:rsidR="005C547A" w:rsidRPr="00165B61">
        <w:rPr>
          <w:bCs/>
          <w:sz w:val="24"/>
          <w:szCs w:val="24"/>
        </w:rPr>
        <w:t xml:space="preserve">ы, утвержденной </w:t>
      </w:r>
      <w:r w:rsidR="00631A2F" w:rsidRPr="00165B61">
        <w:rPr>
          <w:bCs/>
          <w:sz w:val="24"/>
          <w:szCs w:val="24"/>
        </w:rPr>
        <w:t>в установленном законом порядке, либо списываться на расходы через амортизационные отчисления.</w:t>
      </w:r>
    </w:p>
    <w:p w:rsidR="003D1708" w:rsidRPr="00914977" w:rsidRDefault="003D1708" w:rsidP="00A41B4C">
      <w:pPr>
        <w:ind w:firstLine="567"/>
        <w:jc w:val="both"/>
        <w:rPr>
          <w:bCs/>
          <w:sz w:val="24"/>
          <w:szCs w:val="24"/>
        </w:rPr>
      </w:pPr>
      <w:r w:rsidRPr="00914977">
        <w:rPr>
          <w:bCs/>
          <w:sz w:val="24"/>
          <w:szCs w:val="24"/>
        </w:rPr>
        <w:t>41. Расходы по статье «Корректировка неподконтрольных расходов» в части «аренда земельных участков» Департамент учитывает расходы в размере 378,87</w:t>
      </w:r>
      <w:r w:rsidR="00A56F04" w:rsidRPr="00914977">
        <w:rPr>
          <w:bCs/>
          <w:sz w:val="24"/>
          <w:szCs w:val="24"/>
        </w:rPr>
        <w:t xml:space="preserve"> тыс. руб. на основании расчета организации.</w:t>
      </w:r>
    </w:p>
    <w:p w:rsidR="00A56F04" w:rsidRPr="00914977" w:rsidRDefault="00A56F04" w:rsidP="00A56F04">
      <w:pPr>
        <w:ind w:firstLine="567"/>
        <w:jc w:val="both"/>
        <w:rPr>
          <w:bCs/>
          <w:sz w:val="24"/>
          <w:szCs w:val="24"/>
        </w:rPr>
      </w:pPr>
      <w:r w:rsidRPr="00914977">
        <w:rPr>
          <w:bCs/>
          <w:sz w:val="24"/>
          <w:szCs w:val="24"/>
        </w:rPr>
        <w:t>42. Расходы по статье «Обследование зданий и сооружений старше 25 лет» приняты Департаментом в размере 682,63 тыс. руб. в соответствии с расчетом организации.</w:t>
      </w:r>
    </w:p>
    <w:p w:rsidR="00A56F04" w:rsidRPr="00914977" w:rsidRDefault="00A56F04" w:rsidP="00A56F04">
      <w:pPr>
        <w:ind w:firstLine="567"/>
        <w:jc w:val="both"/>
        <w:rPr>
          <w:bCs/>
          <w:sz w:val="24"/>
          <w:szCs w:val="24"/>
        </w:rPr>
      </w:pPr>
      <w:r w:rsidRPr="00914977">
        <w:rPr>
          <w:bCs/>
          <w:sz w:val="24"/>
          <w:szCs w:val="24"/>
        </w:rPr>
        <w:t>43. Расходы по статье «Командировочные расходы» приняты Департаментом в размере 79,96 тыс. руб.</w:t>
      </w:r>
      <w:r w:rsidR="00914977" w:rsidRPr="00914977">
        <w:rPr>
          <w:bCs/>
          <w:sz w:val="24"/>
          <w:szCs w:val="24"/>
        </w:rPr>
        <w:t>,</w:t>
      </w:r>
      <w:r w:rsidRPr="00914977">
        <w:rPr>
          <w:bCs/>
          <w:sz w:val="24"/>
          <w:szCs w:val="24"/>
        </w:rPr>
        <w:t xml:space="preserve"> вместо заявленной величины 165,0 тыс. руб.</w:t>
      </w:r>
      <w:r w:rsidR="00914977" w:rsidRPr="00914977">
        <w:rPr>
          <w:bCs/>
          <w:sz w:val="24"/>
          <w:szCs w:val="24"/>
        </w:rPr>
        <w:t>,</w:t>
      </w:r>
      <w:r w:rsidRPr="00914977">
        <w:rPr>
          <w:bCs/>
          <w:sz w:val="24"/>
          <w:szCs w:val="24"/>
        </w:rPr>
        <w:t xml:space="preserve"> на основании фактических расходов организации за 4 предыдущие года с учетом фактических и прогнозных индексов потребительских цен 2018-2022 г</w:t>
      </w:r>
      <w:r w:rsidR="00914977" w:rsidRPr="00914977">
        <w:rPr>
          <w:bCs/>
          <w:sz w:val="24"/>
          <w:szCs w:val="24"/>
        </w:rPr>
        <w:t>г.</w:t>
      </w:r>
    </w:p>
    <w:p w:rsidR="00A56F04" w:rsidRPr="005E347B" w:rsidRDefault="00A56F04" w:rsidP="00A56F04">
      <w:pPr>
        <w:ind w:firstLine="567"/>
        <w:jc w:val="both"/>
        <w:rPr>
          <w:bCs/>
          <w:sz w:val="24"/>
          <w:szCs w:val="24"/>
        </w:rPr>
      </w:pPr>
      <w:r w:rsidRPr="005E347B">
        <w:rPr>
          <w:bCs/>
          <w:sz w:val="24"/>
          <w:szCs w:val="24"/>
        </w:rPr>
        <w:t>44. Расходы по статье «Представительские расходы» в размере 101,0 тыс. руб. Департамент считает экономически не обоснованными, поскольку данные виды расходов не являются обязательными при оказании услуг по передаче электрической энергии.</w:t>
      </w:r>
    </w:p>
    <w:p w:rsidR="00B44707" w:rsidRPr="005E347B" w:rsidRDefault="00B44707" w:rsidP="00B44707">
      <w:pPr>
        <w:ind w:firstLine="567"/>
        <w:jc w:val="both"/>
        <w:rPr>
          <w:bCs/>
          <w:sz w:val="24"/>
          <w:szCs w:val="24"/>
        </w:rPr>
      </w:pPr>
      <w:r w:rsidRPr="005E347B">
        <w:rPr>
          <w:bCs/>
          <w:sz w:val="24"/>
          <w:szCs w:val="24"/>
        </w:rPr>
        <w:t>44. Расходы по статье «Аудит финансово-хозяйственной деятельности» приняты Департаментом в размере 60,23 тыс. руб.</w:t>
      </w:r>
      <w:r w:rsidR="005E347B" w:rsidRPr="005E347B">
        <w:rPr>
          <w:bCs/>
          <w:sz w:val="24"/>
          <w:szCs w:val="24"/>
        </w:rPr>
        <w:t>,</w:t>
      </w:r>
      <w:r w:rsidRPr="005E347B">
        <w:rPr>
          <w:bCs/>
          <w:sz w:val="24"/>
          <w:szCs w:val="24"/>
        </w:rPr>
        <w:t xml:space="preserve"> вместо заявленной величины 150,0 тыс. руб.</w:t>
      </w:r>
      <w:r w:rsidR="005E347B" w:rsidRPr="005E347B">
        <w:rPr>
          <w:bCs/>
          <w:sz w:val="24"/>
          <w:szCs w:val="24"/>
        </w:rPr>
        <w:t>,</w:t>
      </w:r>
      <w:r w:rsidRPr="005E347B">
        <w:rPr>
          <w:bCs/>
          <w:sz w:val="24"/>
          <w:szCs w:val="24"/>
        </w:rPr>
        <w:t xml:space="preserve"> на основании фактических расходов организации за 2020 год с учетом прогнозных индексов потребительских цен на 2021 и 2022 годы.</w:t>
      </w:r>
    </w:p>
    <w:p w:rsidR="00B44707" w:rsidRPr="005E347B" w:rsidRDefault="00B44707" w:rsidP="00B44707">
      <w:pPr>
        <w:ind w:firstLine="567"/>
        <w:jc w:val="both"/>
        <w:rPr>
          <w:bCs/>
          <w:sz w:val="24"/>
          <w:szCs w:val="24"/>
        </w:rPr>
      </w:pPr>
      <w:r w:rsidRPr="005E347B">
        <w:rPr>
          <w:bCs/>
          <w:sz w:val="24"/>
          <w:szCs w:val="24"/>
        </w:rPr>
        <w:t>45. Расходы по статье «Услуги банка» приняты Департаментом в размере 158,59 тыс. руб.</w:t>
      </w:r>
      <w:r w:rsidR="005E347B">
        <w:rPr>
          <w:bCs/>
          <w:sz w:val="24"/>
          <w:szCs w:val="24"/>
        </w:rPr>
        <w:t>,</w:t>
      </w:r>
      <w:r w:rsidRPr="005E347B">
        <w:rPr>
          <w:bCs/>
          <w:sz w:val="24"/>
          <w:szCs w:val="24"/>
        </w:rPr>
        <w:t xml:space="preserve"> вместо заявленной величины 413,4 тыс. руб.</w:t>
      </w:r>
      <w:r w:rsidR="005E347B">
        <w:rPr>
          <w:bCs/>
          <w:sz w:val="24"/>
          <w:szCs w:val="24"/>
        </w:rPr>
        <w:t>,</w:t>
      </w:r>
      <w:r w:rsidRPr="005E347B">
        <w:rPr>
          <w:bCs/>
          <w:sz w:val="24"/>
          <w:szCs w:val="24"/>
        </w:rPr>
        <w:t xml:space="preserve"> на основании фактических расходов организации за 2020 год с учетом прогнозных индексов потребительских цен на 2021 и 2022 годы.</w:t>
      </w:r>
    </w:p>
    <w:p w:rsidR="00E17B70" w:rsidRPr="005E347B" w:rsidRDefault="00E17B70" w:rsidP="00E17B70">
      <w:pPr>
        <w:ind w:firstLine="567"/>
        <w:jc w:val="both"/>
        <w:rPr>
          <w:bCs/>
          <w:sz w:val="24"/>
          <w:szCs w:val="24"/>
        </w:rPr>
      </w:pPr>
      <w:r w:rsidRPr="005E347B">
        <w:rPr>
          <w:bCs/>
          <w:sz w:val="24"/>
          <w:szCs w:val="24"/>
        </w:rPr>
        <w:t>46. Расходы по статье «Амортизация основных средств» приняты Департаментом в размере 90 610,57 тыс. руб.</w:t>
      </w:r>
      <w:r w:rsidR="005E347B" w:rsidRPr="005E347B">
        <w:rPr>
          <w:bCs/>
          <w:sz w:val="24"/>
          <w:szCs w:val="24"/>
        </w:rPr>
        <w:t>,</w:t>
      </w:r>
      <w:r w:rsidRPr="005E347B">
        <w:rPr>
          <w:bCs/>
          <w:sz w:val="24"/>
          <w:szCs w:val="24"/>
        </w:rPr>
        <w:t xml:space="preserve"> вместо заявленной величины – 91 408,84 тыс. руб. Расходы определены на основании расчета амортизации основных средств АО «Объединенные электрические сети» на 2022 год, на максимальны</w:t>
      </w:r>
      <w:r w:rsidR="005E347B" w:rsidRPr="005E347B">
        <w:rPr>
          <w:bCs/>
          <w:sz w:val="24"/>
          <w:szCs w:val="24"/>
        </w:rPr>
        <w:t>е сроки полезного использования</w:t>
      </w:r>
      <w:r w:rsidRPr="005E347B">
        <w:rPr>
          <w:bCs/>
          <w:sz w:val="24"/>
          <w:szCs w:val="24"/>
        </w:rPr>
        <w:t>.</w:t>
      </w:r>
    </w:p>
    <w:p w:rsidR="00B44707" w:rsidRPr="005E347B" w:rsidRDefault="00E17B70" w:rsidP="00E17B70">
      <w:pPr>
        <w:ind w:firstLine="567"/>
        <w:jc w:val="both"/>
        <w:rPr>
          <w:bCs/>
          <w:sz w:val="24"/>
          <w:szCs w:val="24"/>
        </w:rPr>
      </w:pPr>
      <w:r w:rsidRPr="005E347B">
        <w:rPr>
          <w:bCs/>
          <w:sz w:val="24"/>
          <w:szCs w:val="24"/>
        </w:rPr>
        <w:t xml:space="preserve">Расходы по данной статье определены </w:t>
      </w:r>
      <w:r w:rsidR="005E347B" w:rsidRPr="005E347B">
        <w:rPr>
          <w:bCs/>
          <w:sz w:val="24"/>
          <w:szCs w:val="24"/>
        </w:rPr>
        <w:t>Департаментом</w:t>
      </w:r>
      <w:r w:rsidRPr="005E347B">
        <w:rPr>
          <w:bCs/>
          <w:sz w:val="24"/>
          <w:szCs w:val="24"/>
        </w:rPr>
        <w:t xml:space="preserve"> с учетом требований п. 27 Основ ценообразования в области регулируемых цен (тарифов) в электроэнергетике (далее – Основы ценообразования), утвержденных постановлением Правительства РФ от 29.12.2011 № 1178, а именно, как сумма отношений стоимости амортизируемых активов АО «Объединенные электрические сети» к сроку полезного использования таких активов. При этом срок полезного использования активов и отнесение активов к соответствующей амортизационной группе определены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РФ от 01.01.2002 № 1.</w:t>
      </w:r>
    </w:p>
    <w:p w:rsidR="00C0105B" w:rsidRPr="00DA3718" w:rsidRDefault="00C0105B" w:rsidP="00C0105B">
      <w:pPr>
        <w:ind w:firstLine="567"/>
        <w:jc w:val="both"/>
        <w:rPr>
          <w:bCs/>
          <w:sz w:val="24"/>
          <w:szCs w:val="24"/>
        </w:rPr>
      </w:pPr>
      <w:r w:rsidRPr="00DA3718">
        <w:rPr>
          <w:bCs/>
          <w:sz w:val="24"/>
          <w:szCs w:val="24"/>
        </w:rPr>
        <w:t>47. Расходы по статье «Транспортный налог» приняты Департаментом в размере 314,33 тыс. руб.</w:t>
      </w:r>
      <w:r w:rsidR="00DA3718" w:rsidRPr="00DA3718">
        <w:rPr>
          <w:bCs/>
          <w:sz w:val="24"/>
          <w:szCs w:val="24"/>
        </w:rPr>
        <w:t>,</w:t>
      </w:r>
      <w:r w:rsidRPr="00DA3718">
        <w:rPr>
          <w:bCs/>
          <w:sz w:val="24"/>
          <w:szCs w:val="24"/>
        </w:rPr>
        <w:t xml:space="preserve"> вместо заявленной величины – 382 тыс. руб. Департаментом признан экономически не обоснованным транспортный налог на автомобили «премиум» класса </w:t>
      </w:r>
      <w:proofErr w:type="spellStart"/>
      <w:r w:rsidRPr="00DA3718">
        <w:rPr>
          <w:bCs/>
          <w:sz w:val="24"/>
          <w:szCs w:val="24"/>
        </w:rPr>
        <w:t>Land</w:t>
      </w:r>
      <w:proofErr w:type="spellEnd"/>
      <w:r w:rsidRPr="00DA3718">
        <w:rPr>
          <w:bCs/>
          <w:sz w:val="24"/>
          <w:szCs w:val="24"/>
        </w:rPr>
        <w:t xml:space="preserve"> </w:t>
      </w:r>
      <w:proofErr w:type="spellStart"/>
      <w:r w:rsidRPr="00DA3718">
        <w:rPr>
          <w:bCs/>
          <w:sz w:val="24"/>
          <w:szCs w:val="24"/>
        </w:rPr>
        <w:t>Rover</w:t>
      </w:r>
      <w:proofErr w:type="spellEnd"/>
      <w:r w:rsidRPr="00DA3718">
        <w:rPr>
          <w:bCs/>
          <w:sz w:val="24"/>
          <w:szCs w:val="24"/>
        </w:rPr>
        <w:t xml:space="preserve"> </w:t>
      </w:r>
      <w:proofErr w:type="spellStart"/>
      <w:r w:rsidRPr="00DA3718">
        <w:rPr>
          <w:bCs/>
          <w:sz w:val="24"/>
          <w:szCs w:val="24"/>
        </w:rPr>
        <w:t>Range</w:t>
      </w:r>
      <w:proofErr w:type="spellEnd"/>
      <w:r w:rsidRPr="00DA3718">
        <w:rPr>
          <w:bCs/>
          <w:sz w:val="24"/>
          <w:szCs w:val="24"/>
        </w:rPr>
        <w:t xml:space="preserve"> </w:t>
      </w:r>
      <w:proofErr w:type="spellStart"/>
      <w:r w:rsidRPr="00DA3718">
        <w:rPr>
          <w:bCs/>
          <w:sz w:val="24"/>
          <w:szCs w:val="24"/>
        </w:rPr>
        <w:t>Rover</w:t>
      </w:r>
      <w:proofErr w:type="spellEnd"/>
      <w:r w:rsidRPr="00DA3718">
        <w:rPr>
          <w:bCs/>
          <w:sz w:val="24"/>
          <w:szCs w:val="24"/>
        </w:rPr>
        <w:t xml:space="preserve"> VIN:SALLMAME4AA328194  и Вольво ХС90 VIN:YVICM713691513343.</w:t>
      </w:r>
    </w:p>
    <w:p w:rsidR="00C0105B" w:rsidRPr="002213FF" w:rsidRDefault="00C0105B" w:rsidP="00C0105B">
      <w:pPr>
        <w:ind w:firstLine="567"/>
        <w:jc w:val="both"/>
        <w:rPr>
          <w:bCs/>
          <w:sz w:val="24"/>
          <w:szCs w:val="24"/>
        </w:rPr>
      </w:pPr>
      <w:r w:rsidRPr="002213FF">
        <w:rPr>
          <w:bCs/>
          <w:sz w:val="24"/>
          <w:szCs w:val="24"/>
        </w:rPr>
        <w:t xml:space="preserve">48. </w:t>
      </w:r>
      <w:proofErr w:type="gramStart"/>
      <w:r w:rsidRPr="002213FF">
        <w:rPr>
          <w:bCs/>
          <w:sz w:val="24"/>
          <w:szCs w:val="24"/>
        </w:rPr>
        <w:t>По статье «Расходы на формирование резервов по сомнительным долгам» АО «Объединенные электрические сети» заявило расходы в сумме 2</w:t>
      </w:r>
      <w:r w:rsidR="002213FF" w:rsidRPr="002213FF">
        <w:rPr>
          <w:bCs/>
          <w:sz w:val="24"/>
          <w:szCs w:val="24"/>
        </w:rPr>
        <w:t xml:space="preserve"> </w:t>
      </w:r>
      <w:r w:rsidRPr="002213FF">
        <w:rPr>
          <w:bCs/>
          <w:sz w:val="24"/>
          <w:szCs w:val="24"/>
        </w:rPr>
        <w:t>510,00 тыс. руб., в том числе: заявлен резерв по сомнительным долгам на 31.12.2020 по виду деятельности «Передача» в сумме 1895,0 тыс. руб. и списанная дебиторская задолженность по виду деятельности «Передача» 615,0 тыс. руб. за период с 2017 по 2020 год.</w:t>
      </w:r>
      <w:proofErr w:type="gramEnd"/>
    </w:p>
    <w:p w:rsidR="00C0105B" w:rsidRPr="002213FF" w:rsidRDefault="00C0105B" w:rsidP="00C0105B">
      <w:pPr>
        <w:ind w:firstLine="567"/>
        <w:jc w:val="both"/>
        <w:rPr>
          <w:bCs/>
          <w:sz w:val="24"/>
          <w:szCs w:val="24"/>
        </w:rPr>
      </w:pPr>
      <w:r w:rsidRPr="002213FF">
        <w:rPr>
          <w:bCs/>
          <w:sz w:val="24"/>
          <w:szCs w:val="24"/>
        </w:rPr>
        <w:t>В соответствии с п. 30 Основ ценообразования Департамент указанные расходы признает экономически необоснованными, поскольк</w:t>
      </w:r>
      <w:proofErr w:type="gramStart"/>
      <w:r w:rsidRPr="002213FF">
        <w:rPr>
          <w:bCs/>
          <w:sz w:val="24"/>
          <w:szCs w:val="24"/>
        </w:rPr>
        <w:t>у у АО</w:t>
      </w:r>
      <w:proofErr w:type="gramEnd"/>
      <w:r w:rsidRPr="002213FF">
        <w:rPr>
          <w:bCs/>
          <w:sz w:val="24"/>
          <w:szCs w:val="24"/>
        </w:rPr>
        <w:t xml:space="preserve"> «Объединенные электрические сети» отсутствуют прямые договора с </w:t>
      </w:r>
      <w:r w:rsidR="002213FF" w:rsidRPr="002213FF">
        <w:rPr>
          <w:bCs/>
          <w:sz w:val="24"/>
          <w:szCs w:val="24"/>
        </w:rPr>
        <w:t xml:space="preserve">конечными </w:t>
      </w:r>
      <w:r w:rsidRPr="002213FF">
        <w:rPr>
          <w:bCs/>
          <w:sz w:val="24"/>
          <w:szCs w:val="24"/>
        </w:rPr>
        <w:t>потребителями на оказание услуг по передаче электрической энергии, соответственно</w:t>
      </w:r>
      <w:r w:rsidR="002213FF" w:rsidRPr="002213FF">
        <w:rPr>
          <w:bCs/>
          <w:sz w:val="24"/>
          <w:szCs w:val="24"/>
        </w:rPr>
        <w:t>,</w:t>
      </w:r>
      <w:r w:rsidRPr="002213FF">
        <w:rPr>
          <w:bCs/>
          <w:sz w:val="24"/>
          <w:szCs w:val="24"/>
        </w:rPr>
        <w:t xml:space="preserve"> отсутствует необходимость формирования планового резерва по сомнительным долгам по регулируемому виду деятельности «Передача электрической </w:t>
      </w:r>
      <w:r w:rsidRPr="002213FF">
        <w:rPr>
          <w:bCs/>
          <w:sz w:val="24"/>
          <w:szCs w:val="24"/>
        </w:rPr>
        <w:lastRenderedPageBreak/>
        <w:t xml:space="preserve">энергии». Списанная дебиторская задолженность в размере </w:t>
      </w:r>
      <w:r w:rsidR="00DB2CBC" w:rsidRPr="002213FF">
        <w:rPr>
          <w:bCs/>
          <w:sz w:val="24"/>
          <w:szCs w:val="24"/>
        </w:rPr>
        <w:t>615,0</w:t>
      </w:r>
      <w:r w:rsidRPr="002213FF">
        <w:rPr>
          <w:bCs/>
          <w:sz w:val="24"/>
          <w:szCs w:val="24"/>
        </w:rPr>
        <w:t xml:space="preserve"> тыс. руб. за 2017 </w:t>
      </w:r>
      <w:r w:rsidR="00DB2CBC" w:rsidRPr="002213FF">
        <w:rPr>
          <w:bCs/>
          <w:sz w:val="24"/>
          <w:szCs w:val="24"/>
        </w:rPr>
        <w:t>-</w:t>
      </w:r>
      <w:r w:rsidRPr="002213FF">
        <w:rPr>
          <w:bCs/>
          <w:sz w:val="24"/>
          <w:szCs w:val="24"/>
        </w:rPr>
        <w:t xml:space="preserve"> 2020 годы является задолженностью </w:t>
      </w:r>
      <w:r w:rsidR="002213FF" w:rsidRPr="002213FF">
        <w:rPr>
          <w:bCs/>
          <w:sz w:val="24"/>
          <w:szCs w:val="24"/>
        </w:rPr>
        <w:t>за бездоговорное потребление, по договорам технологического присоединения,</w:t>
      </w:r>
      <w:r w:rsidRPr="002213FF">
        <w:rPr>
          <w:bCs/>
          <w:sz w:val="24"/>
          <w:szCs w:val="24"/>
        </w:rPr>
        <w:t xml:space="preserve"> </w:t>
      </w:r>
      <w:r w:rsidR="002213FF" w:rsidRPr="002213FF">
        <w:rPr>
          <w:bCs/>
          <w:sz w:val="24"/>
          <w:szCs w:val="24"/>
        </w:rPr>
        <w:t>проценты по суду</w:t>
      </w:r>
      <w:r w:rsidRPr="002213FF">
        <w:rPr>
          <w:bCs/>
          <w:sz w:val="24"/>
          <w:szCs w:val="24"/>
        </w:rPr>
        <w:t xml:space="preserve">, которые </w:t>
      </w:r>
      <w:r w:rsidR="002213FF" w:rsidRPr="002213FF">
        <w:rPr>
          <w:bCs/>
          <w:sz w:val="24"/>
          <w:szCs w:val="24"/>
        </w:rPr>
        <w:t>прямо</w:t>
      </w:r>
      <w:r w:rsidRPr="002213FF">
        <w:rPr>
          <w:bCs/>
          <w:sz w:val="24"/>
          <w:szCs w:val="24"/>
        </w:rPr>
        <w:t xml:space="preserve"> не относятся к выручке по передаче электрической энергии.</w:t>
      </w:r>
    </w:p>
    <w:p w:rsidR="00DB2CBC" w:rsidRPr="00CE5D05" w:rsidRDefault="00DB2CBC" w:rsidP="00DB2CBC">
      <w:pPr>
        <w:ind w:firstLine="567"/>
        <w:jc w:val="both"/>
        <w:rPr>
          <w:bCs/>
          <w:sz w:val="24"/>
          <w:szCs w:val="24"/>
        </w:rPr>
      </w:pPr>
      <w:r w:rsidRPr="00CE5D05">
        <w:rPr>
          <w:bCs/>
          <w:sz w:val="24"/>
          <w:szCs w:val="24"/>
        </w:rPr>
        <w:t xml:space="preserve">49. Расходы по статье «Активы до 40 000 руб. (прочие)» приняты Департаментом в заявленной величине 55,75 тыс. руб. на основании фактических расходов организации за </w:t>
      </w:r>
      <w:r w:rsidR="00002B82" w:rsidRPr="00CE5D05">
        <w:rPr>
          <w:bCs/>
          <w:sz w:val="24"/>
          <w:szCs w:val="24"/>
        </w:rPr>
        <w:t>2020 год</w:t>
      </w:r>
      <w:r w:rsidRPr="00CE5D05">
        <w:rPr>
          <w:bCs/>
          <w:sz w:val="24"/>
          <w:szCs w:val="24"/>
        </w:rPr>
        <w:t xml:space="preserve"> с учетом прогнозных индексов потребительских цен </w:t>
      </w:r>
      <w:r w:rsidR="00002B82" w:rsidRPr="00CE5D05">
        <w:rPr>
          <w:bCs/>
          <w:sz w:val="24"/>
          <w:szCs w:val="24"/>
        </w:rPr>
        <w:t>на 2021 и 2022 годы</w:t>
      </w:r>
      <w:r w:rsidRPr="00CE5D05">
        <w:rPr>
          <w:bCs/>
          <w:sz w:val="24"/>
          <w:szCs w:val="24"/>
        </w:rPr>
        <w:t>.</w:t>
      </w:r>
    </w:p>
    <w:p w:rsidR="00DB2CBC" w:rsidRPr="00CE5D05" w:rsidRDefault="00DB2CBC" w:rsidP="00DB2CBC">
      <w:pPr>
        <w:ind w:firstLine="567"/>
        <w:jc w:val="both"/>
        <w:rPr>
          <w:bCs/>
          <w:sz w:val="24"/>
          <w:szCs w:val="24"/>
        </w:rPr>
      </w:pPr>
      <w:r w:rsidRPr="00CE5D05">
        <w:rPr>
          <w:bCs/>
          <w:sz w:val="24"/>
          <w:szCs w:val="24"/>
        </w:rPr>
        <w:t>50. Расходы по статье «Расходы на охрану и пожарную безопасность» приняты Департаментом в размере 607,2 тыс. руб.</w:t>
      </w:r>
      <w:r w:rsidR="00CE5D05" w:rsidRPr="00CE5D05">
        <w:rPr>
          <w:bCs/>
          <w:sz w:val="24"/>
          <w:szCs w:val="24"/>
        </w:rPr>
        <w:t>,</w:t>
      </w:r>
      <w:r w:rsidRPr="00CE5D05">
        <w:rPr>
          <w:bCs/>
          <w:sz w:val="24"/>
          <w:szCs w:val="24"/>
        </w:rPr>
        <w:t xml:space="preserve"> вместо заявленной величины 1</w:t>
      </w:r>
      <w:r w:rsidR="00CE5D05" w:rsidRPr="00CE5D05">
        <w:rPr>
          <w:bCs/>
          <w:sz w:val="24"/>
          <w:szCs w:val="24"/>
        </w:rPr>
        <w:t xml:space="preserve"> </w:t>
      </w:r>
      <w:r w:rsidRPr="00CE5D05">
        <w:rPr>
          <w:bCs/>
          <w:sz w:val="24"/>
          <w:szCs w:val="24"/>
        </w:rPr>
        <w:t>270,97 тыс. руб.</w:t>
      </w:r>
      <w:r w:rsidR="00CE5D05" w:rsidRPr="00CE5D05">
        <w:rPr>
          <w:bCs/>
          <w:sz w:val="24"/>
          <w:szCs w:val="24"/>
        </w:rPr>
        <w:t>,</w:t>
      </w:r>
      <w:r w:rsidRPr="00CE5D05">
        <w:rPr>
          <w:bCs/>
          <w:sz w:val="24"/>
          <w:szCs w:val="24"/>
        </w:rPr>
        <w:t xml:space="preserve"> на основании фактических расходов организации за 2020 год с учетом прогнозных индексов потребительских цен на 2021 и 2022 годы.</w:t>
      </w:r>
    </w:p>
    <w:p w:rsidR="009D2B0C" w:rsidRPr="001D2AC4" w:rsidRDefault="009D2B0C" w:rsidP="009D2B0C">
      <w:pPr>
        <w:ind w:firstLine="567"/>
        <w:jc w:val="both"/>
        <w:rPr>
          <w:bCs/>
          <w:sz w:val="24"/>
          <w:szCs w:val="24"/>
        </w:rPr>
      </w:pPr>
      <w:r w:rsidRPr="001D2AC4">
        <w:rPr>
          <w:bCs/>
          <w:sz w:val="24"/>
          <w:szCs w:val="24"/>
        </w:rPr>
        <w:t>Ассоциация «НП Совет рынка» в отношен</w:t>
      </w:r>
      <w:proofErr w:type="gramStart"/>
      <w:r w:rsidRPr="001D2AC4">
        <w:rPr>
          <w:bCs/>
          <w:sz w:val="24"/>
          <w:szCs w:val="24"/>
        </w:rPr>
        <w:t xml:space="preserve">ии </w:t>
      </w:r>
      <w:r w:rsidR="00CE5D05" w:rsidRPr="00CE5D05">
        <w:rPr>
          <w:bCs/>
          <w:sz w:val="24"/>
          <w:szCs w:val="24"/>
        </w:rPr>
        <w:t>АО</w:t>
      </w:r>
      <w:proofErr w:type="gramEnd"/>
      <w:r w:rsidR="00CE5D05" w:rsidRPr="00CE5D05">
        <w:rPr>
          <w:bCs/>
          <w:sz w:val="24"/>
          <w:szCs w:val="24"/>
        </w:rPr>
        <w:t xml:space="preserve"> «Объединенные электрические сети» </w:t>
      </w:r>
      <w:r w:rsidRPr="001D2AC4">
        <w:rPr>
          <w:bCs/>
          <w:sz w:val="24"/>
          <w:szCs w:val="24"/>
        </w:rPr>
        <w:t>голосует по данному вопросу «против», поскольку не представлены материалы по рассматриваемому вопросу.</w:t>
      </w:r>
    </w:p>
    <w:p w:rsidR="009D2B0C" w:rsidRPr="001D2AC4" w:rsidRDefault="009D2B0C" w:rsidP="009D2B0C">
      <w:pPr>
        <w:ind w:firstLine="567"/>
        <w:jc w:val="both"/>
        <w:rPr>
          <w:bCs/>
          <w:sz w:val="24"/>
          <w:szCs w:val="24"/>
        </w:rPr>
      </w:pPr>
      <w:r w:rsidRPr="001D2AC4">
        <w:rPr>
          <w:bCs/>
          <w:sz w:val="24"/>
          <w:szCs w:val="24"/>
        </w:rPr>
        <w:t xml:space="preserve">Департамент отмечает, что расчетные материалы по </w:t>
      </w:r>
      <w:r w:rsidR="00CE5D05" w:rsidRPr="00CE5D05">
        <w:rPr>
          <w:bCs/>
          <w:sz w:val="24"/>
          <w:szCs w:val="24"/>
        </w:rPr>
        <w:t xml:space="preserve">АО «Объединенные электрические сети» </w:t>
      </w:r>
      <w:r w:rsidRPr="001D2AC4">
        <w:rPr>
          <w:bCs/>
          <w:sz w:val="24"/>
          <w:szCs w:val="24"/>
        </w:rPr>
        <w:t xml:space="preserve"> были направлены в адрес Ассоциации «НП Совет рынка» до заседания Правления Департамента.</w:t>
      </w:r>
    </w:p>
    <w:p w:rsidR="009D2B0C" w:rsidRDefault="009D2B0C" w:rsidP="00C2019E">
      <w:pPr>
        <w:pStyle w:val="aa"/>
        <w:tabs>
          <w:tab w:val="left" w:pos="1134"/>
          <w:tab w:val="left" w:pos="1276"/>
        </w:tabs>
        <w:ind w:left="567"/>
        <w:jc w:val="both"/>
        <w:rPr>
          <w:b/>
          <w:sz w:val="24"/>
          <w:szCs w:val="24"/>
        </w:rPr>
      </w:pPr>
    </w:p>
    <w:p w:rsidR="00C2019E" w:rsidRPr="009820E3" w:rsidRDefault="00C2019E" w:rsidP="00C2019E">
      <w:pPr>
        <w:pStyle w:val="aa"/>
        <w:tabs>
          <w:tab w:val="left" w:pos="1134"/>
          <w:tab w:val="left" w:pos="1276"/>
        </w:tabs>
        <w:ind w:left="567"/>
        <w:jc w:val="both"/>
        <w:rPr>
          <w:b/>
          <w:sz w:val="24"/>
          <w:szCs w:val="24"/>
        </w:rPr>
      </w:pPr>
      <w:r w:rsidRPr="009820E3">
        <w:rPr>
          <w:b/>
          <w:sz w:val="24"/>
          <w:szCs w:val="24"/>
        </w:rPr>
        <w:t>РЕШИЛИ:</w:t>
      </w:r>
    </w:p>
    <w:p w:rsidR="00C2019E" w:rsidRPr="004C1C35" w:rsidRDefault="00C2019E" w:rsidP="00C2019E">
      <w:pPr>
        <w:tabs>
          <w:tab w:val="left" w:pos="4020"/>
        </w:tabs>
        <w:ind w:firstLine="540"/>
        <w:jc w:val="both"/>
        <w:rPr>
          <w:sz w:val="24"/>
          <w:szCs w:val="24"/>
        </w:rPr>
      </w:pPr>
      <w:proofErr w:type="gramStart"/>
      <w:r w:rsidRPr="004C1C35">
        <w:rPr>
          <w:sz w:val="24"/>
          <w:szCs w:val="24"/>
        </w:rPr>
        <w:t>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Российской Федерации от 28.02.2015 № 184 «Об отнесении владельцев объектов электросетевого хозяйства к территориальным сетевым организациям»,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w:t>
      </w:r>
      <w:proofErr w:type="gramEnd"/>
      <w:r w:rsidRPr="004C1C35">
        <w:rPr>
          <w:sz w:val="24"/>
          <w:szCs w:val="24"/>
        </w:rPr>
        <w:t xml:space="preserve"> </w:t>
      </w:r>
      <w:proofErr w:type="gramStart"/>
      <w:r w:rsidRPr="004C1C35">
        <w:rPr>
          <w:sz w:val="24"/>
          <w:szCs w:val="24"/>
        </w:rPr>
        <w:t>необходимой валовой выручки, утвержденными Приказом ФСТ России от 17.02.2012 № 98-э, Методическими указаниями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утвержденными Приказом Минэнерго России от 29.11.2016 № 1256, Приказом Минэнерго России от 26.09.2017 № 887 «Об утверждении нормативов потерь электрической энергии при ее передаче по электрическим</w:t>
      </w:r>
      <w:proofErr w:type="gramEnd"/>
      <w:r w:rsidRPr="004C1C35">
        <w:rPr>
          <w:sz w:val="24"/>
          <w:szCs w:val="24"/>
        </w:rPr>
        <w:t xml:space="preserve"> сетям территориальных сетевых организаций»:</w:t>
      </w:r>
    </w:p>
    <w:p w:rsidR="00C2019E" w:rsidRDefault="00C2019E" w:rsidP="00C2019E">
      <w:pPr>
        <w:pStyle w:val="aa"/>
        <w:tabs>
          <w:tab w:val="left" w:pos="4020"/>
        </w:tabs>
        <w:ind w:left="0" w:firstLine="567"/>
        <w:jc w:val="both"/>
        <w:rPr>
          <w:sz w:val="24"/>
          <w:szCs w:val="24"/>
        </w:rPr>
      </w:pPr>
      <w:r w:rsidRPr="004C1C35">
        <w:rPr>
          <w:sz w:val="24"/>
          <w:szCs w:val="24"/>
        </w:rPr>
        <w:t xml:space="preserve">1. Установить долгосрочные параметры регулирования </w:t>
      </w:r>
      <w:r w:rsidRPr="001D2051">
        <w:rPr>
          <w:sz w:val="24"/>
          <w:szCs w:val="24"/>
        </w:rPr>
        <w:t xml:space="preserve">для </w:t>
      </w:r>
      <w:r w:rsidR="009726C9">
        <w:rPr>
          <w:sz w:val="24"/>
          <w:szCs w:val="24"/>
        </w:rPr>
        <w:t>АО «Объединенные электрические сети»</w:t>
      </w:r>
      <w:r w:rsidRPr="004C1C35">
        <w:rPr>
          <w:sz w:val="24"/>
          <w:szCs w:val="24"/>
        </w:rPr>
        <w:t xml:space="preserve"> на 2022-2026 годы,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 согласно Таблице 1:</w:t>
      </w:r>
    </w:p>
    <w:p w:rsidR="00D936DB" w:rsidRDefault="00D936DB" w:rsidP="00C2019E">
      <w:pPr>
        <w:pStyle w:val="aa"/>
        <w:tabs>
          <w:tab w:val="left" w:pos="4020"/>
        </w:tabs>
        <w:ind w:left="0" w:firstLine="567"/>
        <w:jc w:val="both"/>
        <w:rPr>
          <w:sz w:val="24"/>
          <w:szCs w:val="24"/>
        </w:rPr>
        <w:sectPr w:rsidR="00D936DB" w:rsidSect="005212AD">
          <w:headerReference w:type="even" r:id="rId9"/>
          <w:headerReference w:type="default" r:id="rId10"/>
          <w:pgSz w:w="11906" w:h="16838"/>
          <w:pgMar w:top="1134" w:right="566" w:bottom="567" w:left="1077" w:header="284" w:footer="709" w:gutter="0"/>
          <w:cols w:space="708"/>
          <w:titlePg/>
          <w:docGrid w:linePitch="360"/>
        </w:sectPr>
      </w:pPr>
    </w:p>
    <w:p w:rsidR="00D936DB" w:rsidRDefault="00D936DB" w:rsidP="00D936DB">
      <w:pPr>
        <w:tabs>
          <w:tab w:val="left" w:pos="4143"/>
        </w:tabs>
        <w:jc w:val="right"/>
        <w:rPr>
          <w:sz w:val="23"/>
          <w:szCs w:val="23"/>
        </w:rPr>
      </w:pPr>
      <w:r>
        <w:rPr>
          <w:sz w:val="23"/>
          <w:szCs w:val="23"/>
        </w:rPr>
        <w:lastRenderedPageBreak/>
        <w:t>Таблица 1</w:t>
      </w:r>
    </w:p>
    <w:p w:rsidR="00D936DB" w:rsidRDefault="00D936DB" w:rsidP="00D936DB">
      <w:pPr>
        <w:tabs>
          <w:tab w:val="left" w:pos="4143"/>
        </w:tabs>
        <w:jc w:val="center"/>
        <w:rPr>
          <w:sz w:val="23"/>
          <w:szCs w:val="23"/>
        </w:rPr>
      </w:pPr>
    </w:p>
    <w:p w:rsidR="00D936DB" w:rsidRDefault="00D936DB" w:rsidP="00D936DB">
      <w:pPr>
        <w:tabs>
          <w:tab w:val="left" w:pos="4143"/>
        </w:tabs>
        <w:jc w:val="center"/>
        <w:rPr>
          <w:sz w:val="23"/>
          <w:szCs w:val="23"/>
        </w:rPr>
      </w:pPr>
      <w:r w:rsidRPr="00A07903">
        <w:rPr>
          <w:sz w:val="23"/>
          <w:szCs w:val="23"/>
        </w:rPr>
        <w:t xml:space="preserve">Долгосрочные параметры регулирования для </w:t>
      </w:r>
      <w:r w:rsidR="009726C9">
        <w:rPr>
          <w:sz w:val="23"/>
          <w:szCs w:val="23"/>
        </w:rPr>
        <w:t>АО «Объединенные электрические сети»</w:t>
      </w:r>
      <w:r w:rsidRPr="00A07903">
        <w:rPr>
          <w:sz w:val="23"/>
          <w:szCs w:val="23"/>
        </w:rPr>
        <w:t>,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w:t>
      </w:r>
    </w:p>
    <w:tbl>
      <w:tblPr>
        <w:tblW w:w="15220" w:type="dxa"/>
        <w:tblInd w:w="93" w:type="dxa"/>
        <w:tblLook w:val="04A0" w:firstRow="1" w:lastRow="0" w:firstColumn="1" w:lastColumn="0" w:noHBand="0" w:noVBand="1"/>
      </w:tblPr>
      <w:tblGrid>
        <w:gridCol w:w="924"/>
        <w:gridCol w:w="1840"/>
        <w:gridCol w:w="1026"/>
        <w:gridCol w:w="1649"/>
        <w:gridCol w:w="1649"/>
        <w:gridCol w:w="1649"/>
        <w:gridCol w:w="1491"/>
        <w:gridCol w:w="1928"/>
        <w:gridCol w:w="1507"/>
        <w:gridCol w:w="1557"/>
      </w:tblGrid>
      <w:tr w:rsidR="00D936DB" w:rsidRPr="00834B5F" w:rsidTr="00D936DB">
        <w:trPr>
          <w:trHeight w:val="2235"/>
        </w:trPr>
        <w:tc>
          <w:tcPr>
            <w:tcW w:w="924" w:type="dxa"/>
            <w:vMerge w:val="restart"/>
            <w:tcBorders>
              <w:top w:val="single" w:sz="4" w:space="0" w:color="auto"/>
              <w:left w:val="single" w:sz="4" w:space="0" w:color="auto"/>
              <w:bottom w:val="single" w:sz="4" w:space="0" w:color="000000"/>
              <w:right w:val="nil"/>
            </w:tcBorders>
            <w:shd w:val="clear" w:color="auto" w:fill="auto"/>
            <w:vAlign w:val="center"/>
            <w:hideMark/>
          </w:tcPr>
          <w:p w:rsidR="00D936DB" w:rsidRPr="00834B5F" w:rsidRDefault="00D936DB" w:rsidP="00D936DB">
            <w:pPr>
              <w:jc w:val="center"/>
            </w:pPr>
            <w:r w:rsidRPr="00834B5F">
              <w:t xml:space="preserve">№ </w:t>
            </w:r>
            <w:r w:rsidRPr="00834B5F">
              <w:br/>
            </w:r>
            <w:proofErr w:type="gramStart"/>
            <w:r w:rsidRPr="00834B5F">
              <w:t>п</w:t>
            </w:r>
            <w:proofErr w:type="gramEnd"/>
            <w:r w:rsidRPr="00834B5F">
              <w:t>/п</w:t>
            </w:r>
          </w:p>
        </w:tc>
        <w:tc>
          <w:tcPr>
            <w:tcW w:w="1840" w:type="dxa"/>
            <w:vMerge w:val="restart"/>
            <w:tcBorders>
              <w:top w:val="single" w:sz="4" w:space="0" w:color="auto"/>
              <w:left w:val="single" w:sz="4" w:space="0" w:color="auto"/>
              <w:bottom w:val="single" w:sz="4" w:space="0" w:color="000000"/>
              <w:right w:val="nil"/>
            </w:tcBorders>
            <w:shd w:val="clear" w:color="auto" w:fill="auto"/>
            <w:vAlign w:val="center"/>
            <w:hideMark/>
          </w:tcPr>
          <w:p w:rsidR="00D936DB" w:rsidRPr="00834B5F" w:rsidRDefault="00D936DB" w:rsidP="00D936DB">
            <w:pPr>
              <w:jc w:val="center"/>
            </w:pPr>
            <w:r w:rsidRPr="00834B5F">
              <w:t>Наименование сетевой организации в субъекте Российской Федерации</w:t>
            </w:r>
          </w:p>
        </w:tc>
        <w:tc>
          <w:tcPr>
            <w:tcW w:w="1026" w:type="dxa"/>
            <w:vMerge w:val="restart"/>
            <w:tcBorders>
              <w:top w:val="single" w:sz="4" w:space="0" w:color="auto"/>
              <w:left w:val="single" w:sz="4" w:space="0" w:color="auto"/>
              <w:bottom w:val="single" w:sz="4" w:space="0" w:color="000000"/>
              <w:right w:val="nil"/>
            </w:tcBorders>
            <w:shd w:val="clear" w:color="auto" w:fill="auto"/>
            <w:vAlign w:val="center"/>
            <w:hideMark/>
          </w:tcPr>
          <w:p w:rsidR="00D936DB" w:rsidRPr="00834B5F" w:rsidRDefault="00D936DB" w:rsidP="00D936DB">
            <w:pPr>
              <w:jc w:val="center"/>
            </w:pPr>
            <w:r w:rsidRPr="00834B5F">
              <w:t>Год</w:t>
            </w:r>
          </w:p>
        </w:tc>
        <w:tc>
          <w:tcPr>
            <w:tcW w:w="1649" w:type="dxa"/>
            <w:tcBorders>
              <w:top w:val="single" w:sz="4" w:space="0" w:color="auto"/>
              <w:left w:val="single" w:sz="4" w:space="0" w:color="auto"/>
              <w:bottom w:val="nil"/>
              <w:right w:val="nil"/>
            </w:tcBorders>
            <w:shd w:val="clear" w:color="auto" w:fill="auto"/>
            <w:vAlign w:val="center"/>
            <w:hideMark/>
          </w:tcPr>
          <w:p w:rsidR="00D936DB" w:rsidRPr="00834B5F" w:rsidRDefault="00D936DB" w:rsidP="00D936DB">
            <w:pPr>
              <w:jc w:val="center"/>
            </w:pPr>
            <w:r w:rsidRPr="00834B5F">
              <w:t>Базовый уровень подконтрольных расходов</w:t>
            </w:r>
          </w:p>
        </w:tc>
        <w:tc>
          <w:tcPr>
            <w:tcW w:w="1649" w:type="dxa"/>
            <w:tcBorders>
              <w:top w:val="single" w:sz="4" w:space="0" w:color="auto"/>
              <w:left w:val="single" w:sz="4" w:space="0" w:color="auto"/>
              <w:bottom w:val="nil"/>
              <w:right w:val="nil"/>
            </w:tcBorders>
            <w:shd w:val="clear" w:color="auto" w:fill="auto"/>
            <w:vAlign w:val="center"/>
            <w:hideMark/>
          </w:tcPr>
          <w:p w:rsidR="00D936DB" w:rsidRPr="00834B5F" w:rsidRDefault="00D936DB" w:rsidP="00D936DB">
            <w:pPr>
              <w:jc w:val="center"/>
            </w:pPr>
            <w:r w:rsidRPr="00834B5F">
              <w:t>Индекс эффективности подконтрольных расходов</w:t>
            </w:r>
          </w:p>
        </w:tc>
        <w:tc>
          <w:tcPr>
            <w:tcW w:w="1649" w:type="dxa"/>
            <w:tcBorders>
              <w:top w:val="single" w:sz="4" w:space="0" w:color="auto"/>
              <w:left w:val="single" w:sz="4" w:space="0" w:color="auto"/>
              <w:bottom w:val="nil"/>
              <w:right w:val="nil"/>
            </w:tcBorders>
            <w:shd w:val="clear" w:color="auto" w:fill="auto"/>
            <w:vAlign w:val="center"/>
            <w:hideMark/>
          </w:tcPr>
          <w:p w:rsidR="00D936DB" w:rsidRPr="00834B5F" w:rsidRDefault="00D936DB" w:rsidP="00D936DB">
            <w:pPr>
              <w:jc w:val="center"/>
            </w:pPr>
            <w:r w:rsidRPr="00834B5F">
              <w:t>Коэффициент эластичности подконтрольных расходов</w:t>
            </w:r>
            <w:r>
              <w:t xml:space="preserve"> </w:t>
            </w:r>
            <w:r w:rsidRPr="00834B5F">
              <w:t>по количеству активов</w:t>
            </w:r>
          </w:p>
        </w:tc>
        <w:tc>
          <w:tcPr>
            <w:tcW w:w="1491" w:type="dxa"/>
            <w:tcBorders>
              <w:top w:val="single" w:sz="4" w:space="0" w:color="auto"/>
              <w:left w:val="single" w:sz="4" w:space="0" w:color="auto"/>
              <w:bottom w:val="nil"/>
              <w:right w:val="nil"/>
            </w:tcBorders>
            <w:shd w:val="clear" w:color="auto" w:fill="auto"/>
            <w:vAlign w:val="center"/>
            <w:hideMark/>
          </w:tcPr>
          <w:p w:rsidR="00D936DB" w:rsidRPr="00834B5F" w:rsidRDefault="00D936DB" w:rsidP="00D936DB">
            <w:pPr>
              <w:jc w:val="center"/>
            </w:pPr>
            <w:r w:rsidRPr="00834B5F">
              <w:t>Уровень потерь электрической энергии при ее передаче по электрическим сетям</w:t>
            </w:r>
          </w:p>
        </w:tc>
        <w:tc>
          <w:tcPr>
            <w:tcW w:w="1928" w:type="dxa"/>
            <w:tcBorders>
              <w:top w:val="single" w:sz="4" w:space="0" w:color="auto"/>
              <w:left w:val="single" w:sz="4" w:space="0" w:color="auto"/>
              <w:bottom w:val="nil"/>
              <w:right w:val="nil"/>
            </w:tcBorders>
            <w:shd w:val="clear" w:color="auto" w:fill="auto"/>
            <w:vAlign w:val="center"/>
            <w:hideMark/>
          </w:tcPr>
          <w:p w:rsidR="00D936DB" w:rsidRPr="00834B5F" w:rsidRDefault="00D936DB" w:rsidP="00D936DB">
            <w:pPr>
              <w:jc w:val="center"/>
            </w:pPr>
            <w:r w:rsidRPr="00834B5F">
              <w:t>Показатель средней продолжительности прекращения передачи электрической энергии на точку поставки</w:t>
            </w:r>
          </w:p>
        </w:tc>
        <w:tc>
          <w:tcPr>
            <w:tcW w:w="1507" w:type="dxa"/>
            <w:tcBorders>
              <w:top w:val="single" w:sz="4" w:space="0" w:color="auto"/>
              <w:left w:val="single" w:sz="4" w:space="0" w:color="auto"/>
              <w:bottom w:val="nil"/>
              <w:right w:val="single" w:sz="4" w:space="0" w:color="auto"/>
            </w:tcBorders>
            <w:shd w:val="clear" w:color="auto" w:fill="auto"/>
            <w:vAlign w:val="center"/>
            <w:hideMark/>
          </w:tcPr>
          <w:p w:rsidR="00D936DB" w:rsidRPr="00834B5F" w:rsidRDefault="00D936DB" w:rsidP="00D936DB">
            <w:pPr>
              <w:jc w:val="center"/>
            </w:pPr>
            <w:r w:rsidRPr="00834B5F">
              <w:t>Показатель средней частоты прекращения передачи электрической энергии на точку поставки</w:t>
            </w:r>
          </w:p>
        </w:tc>
        <w:tc>
          <w:tcPr>
            <w:tcW w:w="1557" w:type="dxa"/>
            <w:tcBorders>
              <w:top w:val="single" w:sz="4" w:space="0" w:color="auto"/>
              <w:left w:val="nil"/>
              <w:bottom w:val="nil"/>
              <w:right w:val="single" w:sz="4" w:space="0" w:color="auto"/>
            </w:tcBorders>
            <w:shd w:val="clear" w:color="auto" w:fill="auto"/>
            <w:vAlign w:val="center"/>
            <w:hideMark/>
          </w:tcPr>
          <w:p w:rsidR="00D936DB" w:rsidRPr="00834B5F" w:rsidRDefault="00D936DB" w:rsidP="00D936DB">
            <w:pPr>
              <w:jc w:val="center"/>
            </w:pPr>
            <w:r w:rsidRPr="00834B5F">
              <w:t>Показатель уровня качества оказываемых услуг</w:t>
            </w:r>
          </w:p>
        </w:tc>
      </w:tr>
      <w:tr w:rsidR="00D936DB" w:rsidRPr="00834B5F" w:rsidTr="00D936DB">
        <w:trPr>
          <w:trHeight w:val="300"/>
        </w:trPr>
        <w:tc>
          <w:tcPr>
            <w:tcW w:w="924" w:type="dxa"/>
            <w:vMerge/>
            <w:tcBorders>
              <w:top w:val="single" w:sz="4" w:space="0" w:color="auto"/>
              <w:left w:val="single" w:sz="4" w:space="0" w:color="auto"/>
              <w:bottom w:val="single" w:sz="4" w:space="0" w:color="000000"/>
              <w:right w:val="nil"/>
            </w:tcBorders>
            <w:vAlign w:val="center"/>
            <w:hideMark/>
          </w:tcPr>
          <w:p w:rsidR="00D936DB" w:rsidRPr="00834B5F" w:rsidRDefault="00D936DB" w:rsidP="00D936DB"/>
        </w:tc>
        <w:tc>
          <w:tcPr>
            <w:tcW w:w="1840" w:type="dxa"/>
            <w:vMerge/>
            <w:tcBorders>
              <w:top w:val="single" w:sz="4" w:space="0" w:color="auto"/>
              <w:left w:val="single" w:sz="4" w:space="0" w:color="auto"/>
              <w:bottom w:val="single" w:sz="4" w:space="0" w:color="000000"/>
              <w:right w:val="nil"/>
            </w:tcBorders>
            <w:vAlign w:val="center"/>
            <w:hideMark/>
          </w:tcPr>
          <w:p w:rsidR="00D936DB" w:rsidRPr="00834B5F" w:rsidRDefault="00D936DB" w:rsidP="00D936DB"/>
        </w:tc>
        <w:tc>
          <w:tcPr>
            <w:tcW w:w="1026" w:type="dxa"/>
            <w:vMerge/>
            <w:tcBorders>
              <w:top w:val="single" w:sz="4" w:space="0" w:color="auto"/>
              <w:left w:val="single" w:sz="4" w:space="0" w:color="auto"/>
              <w:bottom w:val="single" w:sz="4" w:space="0" w:color="000000"/>
              <w:right w:val="nil"/>
            </w:tcBorders>
            <w:vAlign w:val="center"/>
            <w:hideMark/>
          </w:tcPr>
          <w:p w:rsidR="00D936DB" w:rsidRPr="00834B5F" w:rsidRDefault="00D936DB" w:rsidP="00D936DB"/>
        </w:tc>
        <w:tc>
          <w:tcPr>
            <w:tcW w:w="1649" w:type="dxa"/>
            <w:tcBorders>
              <w:top w:val="single" w:sz="4" w:space="0" w:color="auto"/>
              <w:left w:val="single" w:sz="4" w:space="0" w:color="auto"/>
              <w:bottom w:val="single" w:sz="4" w:space="0" w:color="auto"/>
              <w:right w:val="nil"/>
            </w:tcBorders>
            <w:shd w:val="clear" w:color="auto" w:fill="auto"/>
            <w:noWrap/>
            <w:vAlign w:val="center"/>
            <w:hideMark/>
          </w:tcPr>
          <w:p w:rsidR="00D936DB" w:rsidRPr="00834B5F" w:rsidRDefault="00D936DB" w:rsidP="00D936DB">
            <w:pPr>
              <w:jc w:val="center"/>
            </w:pPr>
            <w:r w:rsidRPr="00834B5F">
              <w:t>млн. руб.</w:t>
            </w:r>
          </w:p>
        </w:tc>
        <w:tc>
          <w:tcPr>
            <w:tcW w:w="1649" w:type="dxa"/>
            <w:tcBorders>
              <w:top w:val="single" w:sz="4" w:space="0" w:color="auto"/>
              <w:left w:val="single" w:sz="4" w:space="0" w:color="auto"/>
              <w:bottom w:val="single" w:sz="4" w:space="0" w:color="auto"/>
              <w:right w:val="nil"/>
            </w:tcBorders>
            <w:shd w:val="clear" w:color="auto" w:fill="auto"/>
            <w:noWrap/>
            <w:vAlign w:val="center"/>
            <w:hideMark/>
          </w:tcPr>
          <w:p w:rsidR="00D936DB" w:rsidRPr="00834B5F" w:rsidRDefault="00D936DB" w:rsidP="00D936DB">
            <w:pPr>
              <w:jc w:val="center"/>
            </w:pPr>
            <w:r w:rsidRPr="00834B5F">
              <w:t>%</w:t>
            </w:r>
          </w:p>
        </w:tc>
        <w:tc>
          <w:tcPr>
            <w:tcW w:w="1649" w:type="dxa"/>
            <w:tcBorders>
              <w:top w:val="single" w:sz="4" w:space="0" w:color="auto"/>
              <w:left w:val="single" w:sz="4" w:space="0" w:color="auto"/>
              <w:bottom w:val="single" w:sz="4" w:space="0" w:color="auto"/>
              <w:right w:val="nil"/>
            </w:tcBorders>
            <w:shd w:val="clear" w:color="auto" w:fill="auto"/>
            <w:noWrap/>
            <w:vAlign w:val="center"/>
            <w:hideMark/>
          </w:tcPr>
          <w:p w:rsidR="00D936DB" w:rsidRPr="00834B5F" w:rsidRDefault="00D936DB" w:rsidP="00D936DB">
            <w:pPr>
              <w:jc w:val="center"/>
            </w:pPr>
            <w:r w:rsidRPr="00834B5F">
              <w:t>%</w:t>
            </w:r>
          </w:p>
        </w:tc>
        <w:tc>
          <w:tcPr>
            <w:tcW w:w="1491" w:type="dxa"/>
            <w:tcBorders>
              <w:top w:val="single" w:sz="4" w:space="0" w:color="auto"/>
              <w:left w:val="single" w:sz="4" w:space="0" w:color="auto"/>
              <w:bottom w:val="single" w:sz="4" w:space="0" w:color="auto"/>
              <w:right w:val="nil"/>
            </w:tcBorders>
            <w:shd w:val="clear" w:color="auto" w:fill="auto"/>
            <w:noWrap/>
            <w:vAlign w:val="center"/>
            <w:hideMark/>
          </w:tcPr>
          <w:p w:rsidR="00D936DB" w:rsidRPr="00834B5F" w:rsidRDefault="00D936DB" w:rsidP="00D936DB">
            <w:pPr>
              <w:jc w:val="center"/>
            </w:pPr>
            <w:r w:rsidRPr="00834B5F">
              <w:t>%</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36DB" w:rsidRPr="00834B5F" w:rsidRDefault="00D936DB" w:rsidP="00D936DB">
            <w:pPr>
              <w:jc w:val="center"/>
            </w:pPr>
            <w:r w:rsidRPr="00834B5F">
              <w:t>час</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D936DB" w:rsidRPr="00834B5F" w:rsidRDefault="00D936DB" w:rsidP="00D936DB">
            <w:pPr>
              <w:jc w:val="center"/>
            </w:pPr>
            <w:r w:rsidRPr="00834B5F">
              <w:t>шт</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D936DB" w:rsidRPr="00834B5F" w:rsidRDefault="00D936DB" w:rsidP="00D936DB">
            <w:pPr>
              <w:jc w:val="center"/>
            </w:pPr>
            <w:r w:rsidRPr="00834B5F">
              <w:t> </w:t>
            </w:r>
          </w:p>
        </w:tc>
      </w:tr>
      <w:tr w:rsidR="00D936DB" w:rsidRPr="00834B5F" w:rsidTr="00D936DB">
        <w:trPr>
          <w:trHeight w:val="300"/>
        </w:trPr>
        <w:tc>
          <w:tcPr>
            <w:tcW w:w="924" w:type="dxa"/>
            <w:tcBorders>
              <w:top w:val="nil"/>
              <w:left w:val="single" w:sz="4" w:space="0" w:color="auto"/>
              <w:bottom w:val="single" w:sz="4" w:space="0" w:color="auto"/>
              <w:right w:val="single" w:sz="4" w:space="0" w:color="auto"/>
            </w:tcBorders>
            <w:shd w:val="clear" w:color="auto" w:fill="auto"/>
            <w:vAlign w:val="center"/>
            <w:hideMark/>
          </w:tcPr>
          <w:p w:rsidR="00D936DB" w:rsidRPr="00834B5F" w:rsidRDefault="00D936DB" w:rsidP="00D936DB">
            <w:pPr>
              <w:jc w:val="center"/>
            </w:pPr>
            <w:r w:rsidRPr="00834B5F">
              <w:t>1</w:t>
            </w:r>
          </w:p>
        </w:tc>
        <w:tc>
          <w:tcPr>
            <w:tcW w:w="1840" w:type="dxa"/>
            <w:tcBorders>
              <w:top w:val="nil"/>
              <w:left w:val="nil"/>
              <w:bottom w:val="single" w:sz="4" w:space="0" w:color="auto"/>
              <w:right w:val="single" w:sz="4" w:space="0" w:color="auto"/>
            </w:tcBorders>
            <w:shd w:val="clear" w:color="auto" w:fill="auto"/>
            <w:vAlign w:val="center"/>
            <w:hideMark/>
          </w:tcPr>
          <w:p w:rsidR="00D936DB" w:rsidRPr="00834B5F" w:rsidRDefault="00D936DB" w:rsidP="00D936DB">
            <w:pPr>
              <w:jc w:val="center"/>
            </w:pPr>
            <w:r w:rsidRPr="00834B5F">
              <w:t>2</w:t>
            </w:r>
          </w:p>
        </w:tc>
        <w:tc>
          <w:tcPr>
            <w:tcW w:w="1026" w:type="dxa"/>
            <w:tcBorders>
              <w:top w:val="nil"/>
              <w:left w:val="nil"/>
              <w:bottom w:val="single" w:sz="4" w:space="0" w:color="auto"/>
              <w:right w:val="nil"/>
            </w:tcBorders>
            <w:shd w:val="clear" w:color="auto" w:fill="auto"/>
            <w:noWrap/>
            <w:vAlign w:val="center"/>
            <w:hideMark/>
          </w:tcPr>
          <w:p w:rsidR="00D936DB" w:rsidRPr="00834B5F" w:rsidRDefault="00D936DB" w:rsidP="00D936DB">
            <w:pPr>
              <w:jc w:val="center"/>
            </w:pPr>
            <w:r w:rsidRPr="00834B5F">
              <w:t>3</w:t>
            </w:r>
          </w:p>
        </w:tc>
        <w:tc>
          <w:tcPr>
            <w:tcW w:w="1649" w:type="dxa"/>
            <w:tcBorders>
              <w:top w:val="nil"/>
              <w:left w:val="single" w:sz="4" w:space="0" w:color="auto"/>
              <w:bottom w:val="single" w:sz="4" w:space="0" w:color="auto"/>
              <w:right w:val="nil"/>
            </w:tcBorders>
            <w:shd w:val="clear" w:color="auto" w:fill="auto"/>
            <w:noWrap/>
            <w:vAlign w:val="center"/>
            <w:hideMark/>
          </w:tcPr>
          <w:p w:rsidR="00D936DB" w:rsidRPr="00834B5F" w:rsidRDefault="00D936DB" w:rsidP="00D936DB">
            <w:pPr>
              <w:jc w:val="center"/>
            </w:pPr>
            <w:r w:rsidRPr="00834B5F">
              <w:t>4</w:t>
            </w:r>
          </w:p>
        </w:tc>
        <w:tc>
          <w:tcPr>
            <w:tcW w:w="1649" w:type="dxa"/>
            <w:tcBorders>
              <w:top w:val="nil"/>
              <w:left w:val="single" w:sz="4" w:space="0" w:color="auto"/>
              <w:bottom w:val="single" w:sz="4" w:space="0" w:color="auto"/>
              <w:right w:val="nil"/>
            </w:tcBorders>
            <w:shd w:val="clear" w:color="auto" w:fill="auto"/>
            <w:noWrap/>
            <w:vAlign w:val="center"/>
            <w:hideMark/>
          </w:tcPr>
          <w:p w:rsidR="00D936DB" w:rsidRPr="00834B5F" w:rsidRDefault="00D936DB" w:rsidP="00D936DB">
            <w:pPr>
              <w:jc w:val="center"/>
            </w:pPr>
            <w:r w:rsidRPr="00834B5F">
              <w:t>5</w:t>
            </w:r>
          </w:p>
        </w:tc>
        <w:tc>
          <w:tcPr>
            <w:tcW w:w="1649" w:type="dxa"/>
            <w:tcBorders>
              <w:top w:val="nil"/>
              <w:left w:val="single" w:sz="4" w:space="0" w:color="auto"/>
              <w:bottom w:val="single" w:sz="4" w:space="0" w:color="auto"/>
              <w:right w:val="nil"/>
            </w:tcBorders>
            <w:shd w:val="clear" w:color="auto" w:fill="auto"/>
            <w:noWrap/>
            <w:vAlign w:val="center"/>
            <w:hideMark/>
          </w:tcPr>
          <w:p w:rsidR="00D936DB" w:rsidRPr="00834B5F" w:rsidRDefault="00D936DB" w:rsidP="00D936DB">
            <w:pPr>
              <w:jc w:val="center"/>
            </w:pPr>
            <w:r w:rsidRPr="00834B5F">
              <w:t>6</w:t>
            </w:r>
          </w:p>
        </w:tc>
        <w:tc>
          <w:tcPr>
            <w:tcW w:w="1491" w:type="dxa"/>
            <w:tcBorders>
              <w:top w:val="nil"/>
              <w:left w:val="single" w:sz="4" w:space="0" w:color="auto"/>
              <w:bottom w:val="single" w:sz="4" w:space="0" w:color="auto"/>
              <w:right w:val="nil"/>
            </w:tcBorders>
            <w:shd w:val="clear" w:color="auto" w:fill="auto"/>
            <w:noWrap/>
            <w:vAlign w:val="center"/>
            <w:hideMark/>
          </w:tcPr>
          <w:p w:rsidR="00D936DB" w:rsidRPr="00834B5F" w:rsidRDefault="00D936DB" w:rsidP="00D936DB">
            <w:pPr>
              <w:jc w:val="center"/>
            </w:pPr>
            <w:r w:rsidRPr="00834B5F">
              <w:t>7</w:t>
            </w:r>
          </w:p>
        </w:tc>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D936DB" w:rsidRPr="00834B5F" w:rsidRDefault="00D936DB" w:rsidP="00D936DB">
            <w:pPr>
              <w:jc w:val="center"/>
            </w:pPr>
            <w:r w:rsidRPr="00834B5F">
              <w:t>8</w:t>
            </w:r>
          </w:p>
        </w:tc>
        <w:tc>
          <w:tcPr>
            <w:tcW w:w="1507" w:type="dxa"/>
            <w:tcBorders>
              <w:top w:val="nil"/>
              <w:left w:val="nil"/>
              <w:bottom w:val="single" w:sz="4" w:space="0" w:color="auto"/>
              <w:right w:val="single" w:sz="4" w:space="0" w:color="auto"/>
            </w:tcBorders>
            <w:shd w:val="clear" w:color="auto" w:fill="auto"/>
            <w:noWrap/>
            <w:vAlign w:val="center"/>
            <w:hideMark/>
          </w:tcPr>
          <w:p w:rsidR="00D936DB" w:rsidRPr="00834B5F" w:rsidRDefault="00D936DB" w:rsidP="00D936DB">
            <w:pPr>
              <w:jc w:val="center"/>
            </w:pPr>
            <w:r w:rsidRPr="00834B5F">
              <w:t>9</w:t>
            </w:r>
          </w:p>
        </w:tc>
        <w:tc>
          <w:tcPr>
            <w:tcW w:w="1557" w:type="dxa"/>
            <w:tcBorders>
              <w:top w:val="nil"/>
              <w:left w:val="nil"/>
              <w:bottom w:val="single" w:sz="4" w:space="0" w:color="auto"/>
              <w:right w:val="single" w:sz="4" w:space="0" w:color="auto"/>
            </w:tcBorders>
            <w:shd w:val="clear" w:color="auto" w:fill="auto"/>
            <w:noWrap/>
            <w:vAlign w:val="center"/>
            <w:hideMark/>
          </w:tcPr>
          <w:p w:rsidR="00D936DB" w:rsidRPr="00834B5F" w:rsidRDefault="00D936DB" w:rsidP="00D936DB">
            <w:pPr>
              <w:jc w:val="center"/>
            </w:pPr>
            <w:r w:rsidRPr="00834B5F">
              <w:t>10</w:t>
            </w:r>
          </w:p>
        </w:tc>
      </w:tr>
      <w:tr w:rsidR="00DB2CBC" w:rsidRPr="00834B5F" w:rsidTr="00DB2CBC">
        <w:trPr>
          <w:trHeight w:val="375"/>
        </w:trPr>
        <w:tc>
          <w:tcPr>
            <w:tcW w:w="9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2CBC" w:rsidRPr="00834B5F" w:rsidRDefault="00DB2CBC" w:rsidP="00D936DB">
            <w:pPr>
              <w:jc w:val="center"/>
            </w:pPr>
            <w:r w:rsidRPr="00834B5F">
              <w:t>1.</w:t>
            </w:r>
          </w:p>
        </w:tc>
        <w:tc>
          <w:tcPr>
            <w:tcW w:w="1840" w:type="dxa"/>
            <w:vMerge w:val="restart"/>
            <w:tcBorders>
              <w:top w:val="nil"/>
              <w:left w:val="single" w:sz="4" w:space="0" w:color="auto"/>
              <w:bottom w:val="single" w:sz="4" w:space="0" w:color="000000"/>
              <w:right w:val="nil"/>
            </w:tcBorders>
            <w:shd w:val="clear" w:color="000000" w:fill="FFFFFF"/>
            <w:vAlign w:val="center"/>
            <w:hideMark/>
          </w:tcPr>
          <w:p w:rsidR="00DB2CBC" w:rsidRPr="00834B5F" w:rsidRDefault="00DB2CBC" w:rsidP="00D936DB">
            <w:pPr>
              <w:jc w:val="center"/>
            </w:pPr>
            <w:r>
              <w:t>АО «Объединенные электрические сети»</w:t>
            </w:r>
          </w:p>
        </w:tc>
        <w:tc>
          <w:tcPr>
            <w:tcW w:w="1026" w:type="dxa"/>
            <w:tcBorders>
              <w:top w:val="nil"/>
              <w:left w:val="single" w:sz="4" w:space="0" w:color="auto"/>
              <w:bottom w:val="single" w:sz="4" w:space="0" w:color="auto"/>
              <w:right w:val="single" w:sz="4" w:space="0" w:color="auto"/>
            </w:tcBorders>
            <w:shd w:val="clear" w:color="auto" w:fill="auto"/>
            <w:noWrap/>
            <w:vAlign w:val="center"/>
            <w:hideMark/>
          </w:tcPr>
          <w:p w:rsidR="00DB2CBC" w:rsidRPr="00834B5F" w:rsidRDefault="00DB2CBC" w:rsidP="00D936DB">
            <w:pPr>
              <w:jc w:val="center"/>
            </w:pPr>
            <w:r w:rsidRPr="00834B5F">
              <w:t>2022</w:t>
            </w:r>
          </w:p>
        </w:tc>
        <w:tc>
          <w:tcPr>
            <w:tcW w:w="1649" w:type="dxa"/>
            <w:tcBorders>
              <w:top w:val="nil"/>
              <w:left w:val="nil"/>
              <w:bottom w:val="single" w:sz="4" w:space="0" w:color="auto"/>
              <w:right w:val="nil"/>
            </w:tcBorders>
            <w:shd w:val="clear" w:color="000000" w:fill="FFFFFF"/>
            <w:noWrap/>
            <w:hideMark/>
          </w:tcPr>
          <w:p w:rsidR="00DB2CBC" w:rsidRPr="00BB4B12" w:rsidRDefault="00DB2CBC" w:rsidP="00DB2CBC">
            <w:pPr>
              <w:jc w:val="center"/>
            </w:pPr>
            <w:r w:rsidRPr="00BB4B12">
              <w:t>385,73051</w:t>
            </w:r>
          </w:p>
        </w:tc>
        <w:tc>
          <w:tcPr>
            <w:tcW w:w="1649" w:type="dxa"/>
            <w:tcBorders>
              <w:top w:val="nil"/>
              <w:left w:val="single" w:sz="4" w:space="0" w:color="auto"/>
              <w:bottom w:val="single" w:sz="4" w:space="0" w:color="auto"/>
              <w:right w:val="single" w:sz="4" w:space="0" w:color="auto"/>
            </w:tcBorders>
            <w:shd w:val="clear" w:color="auto" w:fill="auto"/>
            <w:noWrap/>
            <w:hideMark/>
          </w:tcPr>
          <w:p w:rsidR="00DB2CBC" w:rsidRPr="00BB4B12" w:rsidRDefault="00DB2CBC" w:rsidP="00DB2CBC">
            <w:pPr>
              <w:jc w:val="center"/>
            </w:pPr>
            <w:r w:rsidRPr="00BB4B12">
              <w:t>4,0</w:t>
            </w:r>
          </w:p>
        </w:tc>
        <w:tc>
          <w:tcPr>
            <w:tcW w:w="1649" w:type="dxa"/>
            <w:tcBorders>
              <w:top w:val="nil"/>
              <w:left w:val="nil"/>
              <w:bottom w:val="single" w:sz="4" w:space="0" w:color="auto"/>
              <w:right w:val="single" w:sz="4" w:space="0" w:color="auto"/>
            </w:tcBorders>
            <w:shd w:val="clear" w:color="auto" w:fill="auto"/>
            <w:noWrap/>
            <w:hideMark/>
          </w:tcPr>
          <w:p w:rsidR="00DB2CBC" w:rsidRPr="00BB4B12" w:rsidRDefault="00DB2CBC" w:rsidP="00DB2CBC">
            <w:pPr>
              <w:jc w:val="center"/>
            </w:pPr>
            <w:r w:rsidRPr="00BB4B12">
              <w:t>75</w:t>
            </w:r>
          </w:p>
        </w:tc>
        <w:tc>
          <w:tcPr>
            <w:tcW w:w="1491" w:type="dxa"/>
            <w:tcBorders>
              <w:top w:val="nil"/>
              <w:left w:val="nil"/>
              <w:bottom w:val="single" w:sz="4" w:space="0" w:color="auto"/>
              <w:right w:val="nil"/>
            </w:tcBorders>
            <w:shd w:val="clear" w:color="auto" w:fill="auto"/>
            <w:noWrap/>
            <w:hideMark/>
          </w:tcPr>
          <w:p w:rsidR="00DB2CBC" w:rsidRPr="00BB4B12" w:rsidRDefault="00DB2CBC" w:rsidP="00DB2CBC">
            <w:pPr>
              <w:jc w:val="center"/>
            </w:pPr>
            <w:r w:rsidRPr="00BB4B12">
              <w:t>8,06</w:t>
            </w:r>
          </w:p>
        </w:tc>
        <w:tc>
          <w:tcPr>
            <w:tcW w:w="1928" w:type="dxa"/>
            <w:tcBorders>
              <w:top w:val="nil"/>
              <w:left w:val="single" w:sz="4" w:space="0" w:color="auto"/>
              <w:bottom w:val="single" w:sz="4" w:space="0" w:color="auto"/>
              <w:right w:val="nil"/>
            </w:tcBorders>
            <w:shd w:val="clear" w:color="000000" w:fill="FFFFFF"/>
            <w:noWrap/>
            <w:hideMark/>
          </w:tcPr>
          <w:p w:rsidR="00DB2CBC" w:rsidRPr="00BB4B12" w:rsidRDefault="00DB2CBC" w:rsidP="00DB2CBC">
            <w:pPr>
              <w:jc w:val="center"/>
            </w:pPr>
            <w:r w:rsidRPr="00BB4B12">
              <w:t>1,91962</w:t>
            </w:r>
          </w:p>
        </w:tc>
        <w:tc>
          <w:tcPr>
            <w:tcW w:w="1507" w:type="dxa"/>
            <w:tcBorders>
              <w:top w:val="nil"/>
              <w:left w:val="single" w:sz="4" w:space="0" w:color="auto"/>
              <w:bottom w:val="single" w:sz="4" w:space="0" w:color="auto"/>
              <w:right w:val="single" w:sz="4" w:space="0" w:color="auto"/>
            </w:tcBorders>
            <w:shd w:val="clear" w:color="auto" w:fill="auto"/>
            <w:noWrap/>
            <w:hideMark/>
          </w:tcPr>
          <w:p w:rsidR="00DB2CBC" w:rsidRPr="00BB4B12" w:rsidRDefault="00DB2CBC" w:rsidP="00DB2CBC">
            <w:pPr>
              <w:jc w:val="center"/>
            </w:pPr>
            <w:r w:rsidRPr="00BB4B12">
              <w:t>0,89590</w:t>
            </w:r>
          </w:p>
        </w:tc>
        <w:tc>
          <w:tcPr>
            <w:tcW w:w="1557" w:type="dxa"/>
            <w:tcBorders>
              <w:top w:val="nil"/>
              <w:left w:val="nil"/>
              <w:bottom w:val="single" w:sz="4" w:space="0" w:color="auto"/>
              <w:right w:val="single" w:sz="4" w:space="0" w:color="auto"/>
            </w:tcBorders>
            <w:shd w:val="clear" w:color="auto" w:fill="auto"/>
            <w:noWrap/>
            <w:hideMark/>
          </w:tcPr>
          <w:p w:rsidR="00DB2CBC" w:rsidRPr="00BB4B12" w:rsidRDefault="00DB2CBC" w:rsidP="00DB2CBC">
            <w:pPr>
              <w:jc w:val="center"/>
            </w:pPr>
            <w:r w:rsidRPr="00BB4B12">
              <w:t>1,0000</w:t>
            </w:r>
          </w:p>
        </w:tc>
      </w:tr>
      <w:tr w:rsidR="00DB2CBC" w:rsidRPr="00834B5F" w:rsidTr="00DB2CBC">
        <w:trPr>
          <w:trHeight w:val="375"/>
        </w:trPr>
        <w:tc>
          <w:tcPr>
            <w:tcW w:w="924" w:type="dxa"/>
            <w:vMerge/>
            <w:tcBorders>
              <w:top w:val="nil"/>
              <w:left w:val="single" w:sz="4" w:space="0" w:color="auto"/>
              <w:bottom w:val="single" w:sz="4" w:space="0" w:color="auto"/>
              <w:right w:val="single" w:sz="4" w:space="0" w:color="auto"/>
            </w:tcBorders>
            <w:vAlign w:val="center"/>
            <w:hideMark/>
          </w:tcPr>
          <w:p w:rsidR="00DB2CBC" w:rsidRPr="00834B5F" w:rsidRDefault="00DB2CBC" w:rsidP="00D936DB"/>
        </w:tc>
        <w:tc>
          <w:tcPr>
            <w:tcW w:w="1840" w:type="dxa"/>
            <w:vMerge/>
            <w:tcBorders>
              <w:top w:val="nil"/>
              <w:left w:val="single" w:sz="4" w:space="0" w:color="auto"/>
              <w:bottom w:val="single" w:sz="4" w:space="0" w:color="000000"/>
              <w:right w:val="nil"/>
            </w:tcBorders>
            <w:vAlign w:val="center"/>
            <w:hideMark/>
          </w:tcPr>
          <w:p w:rsidR="00DB2CBC" w:rsidRPr="00834B5F" w:rsidRDefault="00DB2CBC" w:rsidP="00D936DB"/>
        </w:tc>
        <w:tc>
          <w:tcPr>
            <w:tcW w:w="1026" w:type="dxa"/>
            <w:tcBorders>
              <w:top w:val="nil"/>
              <w:left w:val="single" w:sz="4" w:space="0" w:color="auto"/>
              <w:bottom w:val="single" w:sz="4" w:space="0" w:color="auto"/>
              <w:right w:val="single" w:sz="4" w:space="0" w:color="auto"/>
            </w:tcBorders>
            <w:shd w:val="clear" w:color="auto" w:fill="auto"/>
            <w:noWrap/>
            <w:vAlign w:val="center"/>
            <w:hideMark/>
          </w:tcPr>
          <w:p w:rsidR="00DB2CBC" w:rsidRPr="00834B5F" w:rsidRDefault="00DB2CBC" w:rsidP="00D936DB">
            <w:pPr>
              <w:jc w:val="center"/>
            </w:pPr>
            <w:r w:rsidRPr="00834B5F">
              <w:t>2023</w:t>
            </w:r>
          </w:p>
        </w:tc>
        <w:tc>
          <w:tcPr>
            <w:tcW w:w="1649" w:type="dxa"/>
            <w:tcBorders>
              <w:top w:val="nil"/>
              <w:left w:val="nil"/>
              <w:bottom w:val="single" w:sz="4" w:space="0" w:color="auto"/>
              <w:right w:val="single" w:sz="4" w:space="0" w:color="auto"/>
            </w:tcBorders>
            <w:shd w:val="clear" w:color="auto" w:fill="auto"/>
            <w:noWrap/>
            <w:hideMark/>
          </w:tcPr>
          <w:p w:rsidR="00DB2CBC" w:rsidRPr="00BB4B12" w:rsidRDefault="00DB2CBC" w:rsidP="00DB2CBC">
            <w:pPr>
              <w:jc w:val="center"/>
            </w:pPr>
            <w:r w:rsidRPr="00BB4B12">
              <w:t>X</w:t>
            </w:r>
          </w:p>
        </w:tc>
        <w:tc>
          <w:tcPr>
            <w:tcW w:w="1649" w:type="dxa"/>
            <w:tcBorders>
              <w:top w:val="nil"/>
              <w:left w:val="nil"/>
              <w:bottom w:val="single" w:sz="4" w:space="0" w:color="auto"/>
              <w:right w:val="single" w:sz="4" w:space="0" w:color="auto"/>
            </w:tcBorders>
            <w:shd w:val="clear" w:color="auto" w:fill="auto"/>
            <w:noWrap/>
            <w:hideMark/>
          </w:tcPr>
          <w:p w:rsidR="00DB2CBC" w:rsidRPr="00BB4B12" w:rsidRDefault="00DB2CBC" w:rsidP="00DB2CBC">
            <w:pPr>
              <w:jc w:val="center"/>
            </w:pPr>
            <w:r w:rsidRPr="00BB4B12">
              <w:t>4,0</w:t>
            </w:r>
          </w:p>
        </w:tc>
        <w:tc>
          <w:tcPr>
            <w:tcW w:w="1649" w:type="dxa"/>
            <w:tcBorders>
              <w:top w:val="nil"/>
              <w:left w:val="nil"/>
              <w:bottom w:val="single" w:sz="4" w:space="0" w:color="auto"/>
              <w:right w:val="single" w:sz="4" w:space="0" w:color="auto"/>
            </w:tcBorders>
            <w:shd w:val="clear" w:color="auto" w:fill="auto"/>
            <w:noWrap/>
            <w:hideMark/>
          </w:tcPr>
          <w:p w:rsidR="00DB2CBC" w:rsidRPr="00BB4B12" w:rsidRDefault="00DB2CBC" w:rsidP="00DB2CBC">
            <w:pPr>
              <w:jc w:val="center"/>
            </w:pPr>
            <w:r w:rsidRPr="00BB4B12">
              <w:t>75</w:t>
            </w:r>
          </w:p>
        </w:tc>
        <w:tc>
          <w:tcPr>
            <w:tcW w:w="1491" w:type="dxa"/>
            <w:tcBorders>
              <w:top w:val="nil"/>
              <w:left w:val="nil"/>
              <w:bottom w:val="single" w:sz="4" w:space="0" w:color="auto"/>
              <w:right w:val="nil"/>
            </w:tcBorders>
            <w:shd w:val="clear" w:color="auto" w:fill="auto"/>
            <w:noWrap/>
            <w:hideMark/>
          </w:tcPr>
          <w:p w:rsidR="00DB2CBC" w:rsidRPr="00BB4B12" w:rsidRDefault="00DB2CBC" w:rsidP="00DB2CBC">
            <w:pPr>
              <w:jc w:val="center"/>
            </w:pPr>
            <w:r w:rsidRPr="00BB4B12">
              <w:t>X</w:t>
            </w:r>
          </w:p>
        </w:tc>
        <w:tc>
          <w:tcPr>
            <w:tcW w:w="1928" w:type="dxa"/>
            <w:tcBorders>
              <w:top w:val="nil"/>
              <w:left w:val="single" w:sz="4" w:space="0" w:color="auto"/>
              <w:bottom w:val="single" w:sz="4" w:space="0" w:color="auto"/>
              <w:right w:val="nil"/>
            </w:tcBorders>
            <w:shd w:val="clear" w:color="000000" w:fill="FFFFFF"/>
            <w:noWrap/>
            <w:hideMark/>
          </w:tcPr>
          <w:p w:rsidR="00DB2CBC" w:rsidRPr="00BB4B12" w:rsidRDefault="00DB2CBC" w:rsidP="00DB2CBC">
            <w:pPr>
              <w:jc w:val="center"/>
            </w:pPr>
            <w:r w:rsidRPr="00BB4B12">
              <w:t>1,89082</w:t>
            </w:r>
          </w:p>
        </w:tc>
        <w:tc>
          <w:tcPr>
            <w:tcW w:w="1507" w:type="dxa"/>
            <w:tcBorders>
              <w:top w:val="nil"/>
              <w:left w:val="single" w:sz="4" w:space="0" w:color="auto"/>
              <w:bottom w:val="single" w:sz="4" w:space="0" w:color="auto"/>
              <w:right w:val="single" w:sz="4" w:space="0" w:color="auto"/>
            </w:tcBorders>
            <w:shd w:val="clear" w:color="auto" w:fill="auto"/>
            <w:noWrap/>
            <w:hideMark/>
          </w:tcPr>
          <w:p w:rsidR="00DB2CBC" w:rsidRPr="00BB4B12" w:rsidRDefault="00DB2CBC" w:rsidP="00DB2CBC">
            <w:pPr>
              <w:jc w:val="center"/>
            </w:pPr>
            <w:r w:rsidRPr="00BB4B12">
              <w:t>0,88246</w:t>
            </w:r>
          </w:p>
        </w:tc>
        <w:tc>
          <w:tcPr>
            <w:tcW w:w="1557" w:type="dxa"/>
            <w:tcBorders>
              <w:top w:val="nil"/>
              <w:left w:val="nil"/>
              <w:bottom w:val="single" w:sz="4" w:space="0" w:color="auto"/>
              <w:right w:val="single" w:sz="4" w:space="0" w:color="auto"/>
            </w:tcBorders>
            <w:shd w:val="clear" w:color="auto" w:fill="auto"/>
            <w:noWrap/>
            <w:hideMark/>
          </w:tcPr>
          <w:p w:rsidR="00DB2CBC" w:rsidRPr="00BB4B12" w:rsidRDefault="00DB2CBC" w:rsidP="00DB2CBC">
            <w:pPr>
              <w:jc w:val="center"/>
            </w:pPr>
            <w:r w:rsidRPr="00BB4B12">
              <w:t>1,0000</w:t>
            </w:r>
          </w:p>
        </w:tc>
      </w:tr>
      <w:tr w:rsidR="00DB2CBC" w:rsidRPr="00834B5F" w:rsidTr="00DB2CBC">
        <w:trPr>
          <w:trHeight w:val="375"/>
        </w:trPr>
        <w:tc>
          <w:tcPr>
            <w:tcW w:w="924" w:type="dxa"/>
            <w:vMerge/>
            <w:tcBorders>
              <w:top w:val="nil"/>
              <w:left w:val="single" w:sz="4" w:space="0" w:color="auto"/>
              <w:bottom w:val="single" w:sz="4" w:space="0" w:color="auto"/>
              <w:right w:val="single" w:sz="4" w:space="0" w:color="auto"/>
            </w:tcBorders>
            <w:vAlign w:val="center"/>
            <w:hideMark/>
          </w:tcPr>
          <w:p w:rsidR="00DB2CBC" w:rsidRPr="00834B5F" w:rsidRDefault="00DB2CBC" w:rsidP="00D936DB"/>
        </w:tc>
        <w:tc>
          <w:tcPr>
            <w:tcW w:w="1840" w:type="dxa"/>
            <w:vMerge/>
            <w:tcBorders>
              <w:top w:val="nil"/>
              <w:left w:val="single" w:sz="4" w:space="0" w:color="auto"/>
              <w:bottom w:val="single" w:sz="4" w:space="0" w:color="000000"/>
              <w:right w:val="nil"/>
            </w:tcBorders>
            <w:vAlign w:val="center"/>
            <w:hideMark/>
          </w:tcPr>
          <w:p w:rsidR="00DB2CBC" w:rsidRPr="00834B5F" w:rsidRDefault="00DB2CBC" w:rsidP="00D936DB"/>
        </w:tc>
        <w:tc>
          <w:tcPr>
            <w:tcW w:w="1026" w:type="dxa"/>
            <w:tcBorders>
              <w:top w:val="nil"/>
              <w:left w:val="single" w:sz="4" w:space="0" w:color="auto"/>
              <w:bottom w:val="single" w:sz="4" w:space="0" w:color="auto"/>
              <w:right w:val="single" w:sz="4" w:space="0" w:color="auto"/>
            </w:tcBorders>
            <w:shd w:val="clear" w:color="auto" w:fill="auto"/>
            <w:noWrap/>
            <w:vAlign w:val="center"/>
            <w:hideMark/>
          </w:tcPr>
          <w:p w:rsidR="00DB2CBC" w:rsidRPr="00834B5F" w:rsidRDefault="00DB2CBC" w:rsidP="00D936DB">
            <w:pPr>
              <w:jc w:val="center"/>
            </w:pPr>
            <w:r w:rsidRPr="00834B5F">
              <w:t>2024</w:t>
            </w:r>
          </w:p>
        </w:tc>
        <w:tc>
          <w:tcPr>
            <w:tcW w:w="1649" w:type="dxa"/>
            <w:tcBorders>
              <w:top w:val="nil"/>
              <w:left w:val="nil"/>
              <w:bottom w:val="single" w:sz="4" w:space="0" w:color="auto"/>
              <w:right w:val="single" w:sz="4" w:space="0" w:color="auto"/>
            </w:tcBorders>
            <w:shd w:val="clear" w:color="auto" w:fill="auto"/>
            <w:noWrap/>
            <w:hideMark/>
          </w:tcPr>
          <w:p w:rsidR="00DB2CBC" w:rsidRPr="00BB4B12" w:rsidRDefault="00DB2CBC" w:rsidP="00DB2CBC">
            <w:pPr>
              <w:jc w:val="center"/>
            </w:pPr>
            <w:r w:rsidRPr="00BB4B12">
              <w:t>X</w:t>
            </w:r>
          </w:p>
        </w:tc>
        <w:tc>
          <w:tcPr>
            <w:tcW w:w="1649" w:type="dxa"/>
            <w:tcBorders>
              <w:top w:val="nil"/>
              <w:left w:val="nil"/>
              <w:bottom w:val="single" w:sz="4" w:space="0" w:color="auto"/>
              <w:right w:val="single" w:sz="4" w:space="0" w:color="auto"/>
            </w:tcBorders>
            <w:shd w:val="clear" w:color="auto" w:fill="auto"/>
            <w:noWrap/>
            <w:hideMark/>
          </w:tcPr>
          <w:p w:rsidR="00DB2CBC" w:rsidRPr="00BB4B12" w:rsidRDefault="00DB2CBC" w:rsidP="00DB2CBC">
            <w:pPr>
              <w:jc w:val="center"/>
            </w:pPr>
            <w:r w:rsidRPr="00BB4B12">
              <w:t>4,0</w:t>
            </w:r>
          </w:p>
        </w:tc>
        <w:tc>
          <w:tcPr>
            <w:tcW w:w="1649" w:type="dxa"/>
            <w:tcBorders>
              <w:top w:val="nil"/>
              <w:left w:val="nil"/>
              <w:bottom w:val="single" w:sz="4" w:space="0" w:color="auto"/>
              <w:right w:val="single" w:sz="4" w:space="0" w:color="auto"/>
            </w:tcBorders>
            <w:shd w:val="clear" w:color="auto" w:fill="auto"/>
            <w:noWrap/>
            <w:hideMark/>
          </w:tcPr>
          <w:p w:rsidR="00DB2CBC" w:rsidRPr="00BB4B12" w:rsidRDefault="00DB2CBC" w:rsidP="00DB2CBC">
            <w:pPr>
              <w:jc w:val="center"/>
            </w:pPr>
            <w:r w:rsidRPr="00BB4B12">
              <w:t>75</w:t>
            </w:r>
          </w:p>
        </w:tc>
        <w:tc>
          <w:tcPr>
            <w:tcW w:w="1491" w:type="dxa"/>
            <w:tcBorders>
              <w:top w:val="nil"/>
              <w:left w:val="nil"/>
              <w:bottom w:val="single" w:sz="4" w:space="0" w:color="auto"/>
              <w:right w:val="nil"/>
            </w:tcBorders>
            <w:shd w:val="clear" w:color="auto" w:fill="auto"/>
            <w:noWrap/>
            <w:hideMark/>
          </w:tcPr>
          <w:p w:rsidR="00DB2CBC" w:rsidRPr="00BB4B12" w:rsidRDefault="00DB2CBC" w:rsidP="00DB2CBC">
            <w:pPr>
              <w:jc w:val="center"/>
            </w:pPr>
            <w:r w:rsidRPr="00BB4B12">
              <w:t>X</w:t>
            </w:r>
          </w:p>
        </w:tc>
        <w:tc>
          <w:tcPr>
            <w:tcW w:w="1928" w:type="dxa"/>
            <w:tcBorders>
              <w:top w:val="nil"/>
              <w:left w:val="single" w:sz="4" w:space="0" w:color="auto"/>
              <w:bottom w:val="single" w:sz="4" w:space="0" w:color="auto"/>
              <w:right w:val="nil"/>
            </w:tcBorders>
            <w:shd w:val="clear" w:color="000000" w:fill="FFFFFF"/>
            <w:noWrap/>
            <w:hideMark/>
          </w:tcPr>
          <w:p w:rsidR="00DB2CBC" w:rsidRPr="00BB4B12" w:rsidRDefault="00DB2CBC" w:rsidP="00DB2CBC">
            <w:pPr>
              <w:jc w:val="center"/>
            </w:pPr>
            <w:r w:rsidRPr="00BB4B12">
              <w:t>1,86246</w:t>
            </w:r>
          </w:p>
        </w:tc>
        <w:tc>
          <w:tcPr>
            <w:tcW w:w="1507" w:type="dxa"/>
            <w:tcBorders>
              <w:top w:val="nil"/>
              <w:left w:val="single" w:sz="4" w:space="0" w:color="auto"/>
              <w:bottom w:val="single" w:sz="4" w:space="0" w:color="auto"/>
              <w:right w:val="single" w:sz="4" w:space="0" w:color="auto"/>
            </w:tcBorders>
            <w:shd w:val="clear" w:color="auto" w:fill="auto"/>
            <w:noWrap/>
            <w:hideMark/>
          </w:tcPr>
          <w:p w:rsidR="00DB2CBC" w:rsidRPr="00BB4B12" w:rsidRDefault="00DB2CBC" w:rsidP="00DB2CBC">
            <w:pPr>
              <w:jc w:val="center"/>
            </w:pPr>
            <w:r w:rsidRPr="00BB4B12">
              <w:t>0,86922</w:t>
            </w:r>
          </w:p>
        </w:tc>
        <w:tc>
          <w:tcPr>
            <w:tcW w:w="1557" w:type="dxa"/>
            <w:tcBorders>
              <w:top w:val="nil"/>
              <w:left w:val="nil"/>
              <w:bottom w:val="single" w:sz="4" w:space="0" w:color="auto"/>
              <w:right w:val="single" w:sz="4" w:space="0" w:color="auto"/>
            </w:tcBorders>
            <w:shd w:val="clear" w:color="auto" w:fill="auto"/>
            <w:noWrap/>
            <w:hideMark/>
          </w:tcPr>
          <w:p w:rsidR="00DB2CBC" w:rsidRPr="00BB4B12" w:rsidRDefault="00DB2CBC" w:rsidP="00DB2CBC">
            <w:pPr>
              <w:jc w:val="center"/>
            </w:pPr>
            <w:r w:rsidRPr="00BB4B12">
              <w:t>1,0000</w:t>
            </w:r>
          </w:p>
        </w:tc>
      </w:tr>
      <w:tr w:rsidR="00DB2CBC" w:rsidRPr="00834B5F" w:rsidTr="00DB2CBC">
        <w:trPr>
          <w:trHeight w:val="375"/>
        </w:trPr>
        <w:tc>
          <w:tcPr>
            <w:tcW w:w="924" w:type="dxa"/>
            <w:vMerge/>
            <w:tcBorders>
              <w:top w:val="nil"/>
              <w:left w:val="single" w:sz="4" w:space="0" w:color="auto"/>
              <w:bottom w:val="single" w:sz="4" w:space="0" w:color="auto"/>
              <w:right w:val="single" w:sz="4" w:space="0" w:color="auto"/>
            </w:tcBorders>
            <w:vAlign w:val="center"/>
            <w:hideMark/>
          </w:tcPr>
          <w:p w:rsidR="00DB2CBC" w:rsidRPr="00834B5F" w:rsidRDefault="00DB2CBC" w:rsidP="00D936DB"/>
        </w:tc>
        <w:tc>
          <w:tcPr>
            <w:tcW w:w="1840" w:type="dxa"/>
            <w:vMerge/>
            <w:tcBorders>
              <w:top w:val="nil"/>
              <w:left w:val="single" w:sz="4" w:space="0" w:color="auto"/>
              <w:bottom w:val="single" w:sz="4" w:space="0" w:color="000000"/>
              <w:right w:val="nil"/>
            </w:tcBorders>
            <w:vAlign w:val="center"/>
            <w:hideMark/>
          </w:tcPr>
          <w:p w:rsidR="00DB2CBC" w:rsidRPr="00834B5F" w:rsidRDefault="00DB2CBC" w:rsidP="00D936DB"/>
        </w:tc>
        <w:tc>
          <w:tcPr>
            <w:tcW w:w="1026" w:type="dxa"/>
            <w:tcBorders>
              <w:top w:val="nil"/>
              <w:left w:val="single" w:sz="4" w:space="0" w:color="auto"/>
              <w:bottom w:val="single" w:sz="4" w:space="0" w:color="auto"/>
              <w:right w:val="single" w:sz="4" w:space="0" w:color="auto"/>
            </w:tcBorders>
            <w:shd w:val="clear" w:color="auto" w:fill="auto"/>
            <w:noWrap/>
            <w:vAlign w:val="center"/>
            <w:hideMark/>
          </w:tcPr>
          <w:p w:rsidR="00DB2CBC" w:rsidRPr="00834B5F" w:rsidRDefault="00DB2CBC" w:rsidP="00D936DB">
            <w:pPr>
              <w:jc w:val="center"/>
            </w:pPr>
            <w:r w:rsidRPr="00834B5F">
              <w:t>2025</w:t>
            </w:r>
          </w:p>
        </w:tc>
        <w:tc>
          <w:tcPr>
            <w:tcW w:w="1649" w:type="dxa"/>
            <w:tcBorders>
              <w:top w:val="nil"/>
              <w:left w:val="nil"/>
              <w:bottom w:val="single" w:sz="4" w:space="0" w:color="auto"/>
              <w:right w:val="single" w:sz="4" w:space="0" w:color="auto"/>
            </w:tcBorders>
            <w:shd w:val="clear" w:color="auto" w:fill="auto"/>
            <w:noWrap/>
            <w:hideMark/>
          </w:tcPr>
          <w:p w:rsidR="00DB2CBC" w:rsidRPr="00BB4B12" w:rsidRDefault="00DB2CBC" w:rsidP="00DB2CBC">
            <w:pPr>
              <w:jc w:val="center"/>
            </w:pPr>
            <w:r w:rsidRPr="00BB4B12">
              <w:t>X</w:t>
            </w:r>
          </w:p>
        </w:tc>
        <w:tc>
          <w:tcPr>
            <w:tcW w:w="1649" w:type="dxa"/>
            <w:tcBorders>
              <w:top w:val="nil"/>
              <w:left w:val="nil"/>
              <w:bottom w:val="single" w:sz="4" w:space="0" w:color="auto"/>
              <w:right w:val="single" w:sz="4" w:space="0" w:color="auto"/>
            </w:tcBorders>
            <w:shd w:val="clear" w:color="auto" w:fill="auto"/>
            <w:noWrap/>
            <w:hideMark/>
          </w:tcPr>
          <w:p w:rsidR="00DB2CBC" w:rsidRPr="00BB4B12" w:rsidRDefault="00DB2CBC" w:rsidP="00DB2CBC">
            <w:pPr>
              <w:jc w:val="center"/>
            </w:pPr>
            <w:r w:rsidRPr="00BB4B12">
              <w:t>4,0</w:t>
            </w:r>
          </w:p>
        </w:tc>
        <w:tc>
          <w:tcPr>
            <w:tcW w:w="1649" w:type="dxa"/>
            <w:tcBorders>
              <w:top w:val="nil"/>
              <w:left w:val="nil"/>
              <w:bottom w:val="single" w:sz="4" w:space="0" w:color="auto"/>
              <w:right w:val="single" w:sz="4" w:space="0" w:color="auto"/>
            </w:tcBorders>
            <w:shd w:val="clear" w:color="auto" w:fill="auto"/>
            <w:noWrap/>
            <w:hideMark/>
          </w:tcPr>
          <w:p w:rsidR="00DB2CBC" w:rsidRPr="00BB4B12" w:rsidRDefault="00DB2CBC" w:rsidP="00DB2CBC">
            <w:pPr>
              <w:jc w:val="center"/>
            </w:pPr>
            <w:r w:rsidRPr="00BB4B12">
              <w:t>75</w:t>
            </w:r>
          </w:p>
        </w:tc>
        <w:tc>
          <w:tcPr>
            <w:tcW w:w="1491" w:type="dxa"/>
            <w:tcBorders>
              <w:top w:val="nil"/>
              <w:left w:val="nil"/>
              <w:bottom w:val="single" w:sz="4" w:space="0" w:color="auto"/>
              <w:right w:val="nil"/>
            </w:tcBorders>
            <w:shd w:val="clear" w:color="auto" w:fill="auto"/>
            <w:noWrap/>
            <w:hideMark/>
          </w:tcPr>
          <w:p w:rsidR="00DB2CBC" w:rsidRPr="00BB4B12" w:rsidRDefault="00DB2CBC" w:rsidP="00DB2CBC">
            <w:pPr>
              <w:jc w:val="center"/>
            </w:pPr>
            <w:r w:rsidRPr="00BB4B12">
              <w:t>X</w:t>
            </w:r>
          </w:p>
        </w:tc>
        <w:tc>
          <w:tcPr>
            <w:tcW w:w="1928" w:type="dxa"/>
            <w:tcBorders>
              <w:top w:val="nil"/>
              <w:left w:val="single" w:sz="4" w:space="0" w:color="auto"/>
              <w:bottom w:val="single" w:sz="4" w:space="0" w:color="auto"/>
              <w:right w:val="nil"/>
            </w:tcBorders>
            <w:shd w:val="clear" w:color="000000" w:fill="FFFFFF"/>
            <w:noWrap/>
            <w:hideMark/>
          </w:tcPr>
          <w:p w:rsidR="00DB2CBC" w:rsidRPr="00BB4B12" w:rsidRDefault="00DB2CBC" w:rsidP="00DB2CBC">
            <w:pPr>
              <w:jc w:val="center"/>
            </w:pPr>
            <w:r w:rsidRPr="00BB4B12">
              <w:t>1,83452</w:t>
            </w:r>
          </w:p>
        </w:tc>
        <w:tc>
          <w:tcPr>
            <w:tcW w:w="1507" w:type="dxa"/>
            <w:tcBorders>
              <w:top w:val="nil"/>
              <w:left w:val="single" w:sz="4" w:space="0" w:color="auto"/>
              <w:bottom w:val="single" w:sz="4" w:space="0" w:color="auto"/>
              <w:right w:val="single" w:sz="4" w:space="0" w:color="auto"/>
            </w:tcBorders>
            <w:shd w:val="clear" w:color="auto" w:fill="auto"/>
            <w:noWrap/>
            <w:hideMark/>
          </w:tcPr>
          <w:p w:rsidR="00DB2CBC" w:rsidRPr="00BB4B12" w:rsidRDefault="00DB2CBC" w:rsidP="00DB2CBC">
            <w:pPr>
              <w:jc w:val="center"/>
            </w:pPr>
            <w:r w:rsidRPr="00BB4B12">
              <w:t>0,85619</w:t>
            </w:r>
          </w:p>
        </w:tc>
        <w:tc>
          <w:tcPr>
            <w:tcW w:w="1557" w:type="dxa"/>
            <w:tcBorders>
              <w:top w:val="nil"/>
              <w:left w:val="nil"/>
              <w:bottom w:val="single" w:sz="4" w:space="0" w:color="auto"/>
              <w:right w:val="single" w:sz="4" w:space="0" w:color="auto"/>
            </w:tcBorders>
            <w:shd w:val="clear" w:color="auto" w:fill="auto"/>
            <w:noWrap/>
            <w:hideMark/>
          </w:tcPr>
          <w:p w:rsidR="00DB2CBC" w:rsidRPr="00BB4B12" w:rsidRDefault="00DB2CBC" w:rsidP="00DB2CBC">
            <w:pPr>
              <w:jc w:val="center"/>
            </w:pPr>
            <w:r w:rsidRPr="00BB4B12">
              <w:t>1,0000</w:t>
            </w:r>
          </w:p>
        </w:tc>
      </w:tr>
      <w:tr w:rsidR="00DB2CBC" w:rsidRPr="00834B5F" w:rsidTr="00DB2CBC">
        <w:trPr>
          <w:trHeight w:val="375"/>
        </w:trPr>
        <w:tc>
          <w:tcPr>
            <w:tcW w:w="924" w:type="dxa"/>
            <w:vMerge/>
            <w:tcBorders>
              <w:top w:val="nil"/>
              <w:left w:val="single" w:sz="4" w:space="0" w:color="auto"/>
              <w:bottom w:val="single" w:sz="4" w:space="0" w:color="auto"/>
              <w:right w:val="single" w:sz="4" w:space="0" w:color="auto"/>
            </w:tcBorders>
            <w:vAlign w:val="center"/>
            <w:hideMark/>
          </w:tcPr>
          <w:p w:rsidR="00DB2CBC" w:rsidRPr="00834B5F" w:rsidRDefault="00DB2CBC" w:rsidP="00D936DB"/>
        </w:tc>
        <w:tc>
          <w:tcPr>
            <w:tcW w:w="1840" w:type="dxa"/>
            <w:vMerge/>
            <w:tcBorders>
              <w:top w:val="nil"/>
              <w:left w:val="single" w:sz="4" w:space="0" w:color="auto"/>
              <w:bottom w:val="single" w:sz="4" w:space="0" w:color="000000"/>
              <w:right w:val="nil"/>
            </w:tcBorders>
            <w:vAlign w:val="center"/>
            <w:hideMark/>
          </w:tcPr>
          <w:p w:rsidR="00DB2CBC" w:rsidRPr="00834B5F" w:rsidRDefault="00DB2CBC" w:rsidP="00D936DB"/>
        </w:tc>
        <w:tc>
          <w:tcPr>
            <w:tcW w:w="1026" w:type="dxa"/>
            <w:tcBorders>
              <w:top w:val="nil"/>
              <w:left w:val="single" w:sz="4" w:space="0" w:color="auto"/>
              <w:bottom w:val="single" w:sz="4" w:space="0" w:color="auto"/>
              <w:right w:val="single" w:sz="4" w:space="0" w:color="auto"/>
            </w:tcBorders>
            <w:shd w:val="clear" w:color="auto" w:fill="auto"/>
            <w:noWrap/>
            <w:vAlign w:val="center"/>
            <w:hideMark/>
          </w:tcPr>
          <w:p w:rsidR="00DB2CBC" w:rsidRPr="00834B5F" w:rsidRDefault="00DB2CBC" w:rsidP="00D936DB">
            <w:pPr>
              <w:jc w:val="center"/>
            </w:pPr>
            <w:r w:rsidRPr="00834B5F">
              <w:t>2026</w:t>
            </w:r>
          </w:p>
        </w:tc>
        <w:tc>
          <w:tcPr>
            <w:tcW w:w="1649" w:type="dxa"/>
            <w:tcBorders>
              <w:top w:val="nil"/>
              <w:left w:val="nil"/>
              <w:bottom w:val="single" w:sz="4" w:space="0" w:color="auto"/>
              <w:right w:val="single" w:sz="4" w:space="0" w:color="auto"/>
            </w:tcBorders>
            <w:shd w:val="clear" w:color="auto" w:fill="auto"/>
            <w:noWrap/>
            <w:hideMark/>
          </w:tcPr>
          <w:p w:rsidR="00DB2CBC" w:rsidRPr="00BB4B12" w:rsidRDefault="00DB2CBC" w:rsidP="00DB2CBC">
            <w:pPr>
              <w:jc w:val="center"/>
            </w:pPr>
            <w:r w:rsidRPr="00BB4B12">
              <w:t>X</w:t>
            </w:r>
          </w:p>
        </w:tc>
        <w:tc>
          <w:tcPr>
            <w:tcW w:w="1649" w:type="dxa"/>
            <w:tcBorders>
              <w:top w:val="nil"/>
              <w:left w:val="nil"/>
              <w:bottom w:val="single" w:sz="4" w:space="0" w:color="auto"/>
              <w:right w:val="single" w:sz="4" w:space="0" w:color="auto"/>
            </w:tcBorders>
            <w:shd w:val="clear" w:color="auto" w:fill="auto"/>
            <w:noWrap/>
            <w:hideMark/>
          </w:tcPr>
          <w:p w:rsidR="00DB2CBC" w:rsidRPr="00BB4B12" w:rsidRDefault="00DB2CBC" w:rsidP="00DB2CBC">
            <w:pPr>
              <w:jc w:val="center"/>
            </w:pPr>
            <w:r w:rsidRPr="00BB4B12">
              <w:t>4,0</w:t>
            </w:r>
          </w:p>
        </w:tc>
        <w:tc>
          <w:tcPr>
            <w:tcW w:w="1649" w:type="dxa"/>
            <w:tcBorders>
              <w:top w:val="nil"/>
              <w:left w:val="nil"/>
              <w:bottom w:val="single" w:sz="4" w:space="0" w:color="auto"/>
              <w:right w:val="single" w:sz="4" w:space="0" w:color="auto"/>
            </w:tcBorders>
            <w:shd w:val="clear" w:color="auto" w:fill="auto"/>
            <w:noWrap/>
            <w:hideMark/>
          </w:tcPr>
          <w:p w:rsidR="00DB2CBC" w:rsidRPr="00BB4B12" w:rsidRDefault="00DB2CBC" w:rsidP="00DB2CBC">
            <w:pPr>
              <w:jc w:val="center"/>
            </w:pPr>
            <w:r w:rsidRPr="00BB4B12">
              <w:t>75</w:t>
            </w:r>
          </w:p>
        </w:tc>
        <w:tc>
          <w:tcPr>
            <w:tcW w:w="1491" w:type="dxa"/>
            <w:tcBorders>
              <w:top w:val="nil"/>
              <w:left w:val="nil"/>
              <w:bottom w:val="single" w:sz="4" w:space="0" w:color="auto"/>
              <w:right w:val="nil"/>
            </w:tcBorders>
            <w:shd w:val="clear" w:color="auto" w:fill="auto"/>
            <w:noWrap/>
            <w:hideMark/>
          </w:tcPr>
          <w:p w:rsidR="00DB2CBC" w:rsidRPr="00BB4B12" w:rsidRDefault="00DB2CBC" w:rsidP="00DB2CBC">
            <w:pPr>
              <w:jc w:val="center"/>
            </w:pPr>
            <w:r w:rsidRPr="00BB4B12">
              <w:t>X</w:t>
            </w:r>
          </w:p>
        </w:tc>
        <w:tc>
          <w:tcPr>
            <w:tcW w:w="1928" w:type="dxa"/>
            <w:tcBorders>
              <w:top w:val="nil"/>
              <w:left w:val="single" w:sz="4" w:space="0" w:color="auto"/>
              <w:bottom w:val="single" w:sz="4" w:space="0" w:color="auto"/>
              <w:right w:val="nil"/>
            </w:tcBorders>
            <w:shd w:val="clear" w:color="000000" w:fill="FFFFFF"/>
            <w:noWrap/>
            <w:hideMark/>
          </w:tcPr>
          <w:p w:rsidR="00DB2CBC" w:rsidRPr="00BB4B12" w:rsidRDefault="00DB2CBC" w:rsidP="00DB2CBC">
            <w:pPr>
              <w:jc w:val="center"/>
            </w:pPr>
            <w:r w:rsidRPr="00BB4B12">
              <w:t>1,80700</w:t>
            </w:r>
          </w:p>
        </w:tc>
        <w:tc>
          <w:tcPr>
            <w:tcW w:w="1507" w:type="dxa"/>
            <w:tcBorders>
              <w:top w:val="nil"/>
              <w:left w:val="single" w:sz="4" w:space="0" w:color="auto"/>
              <w:bottom w:val="single" w:sz="4" w:space="0" w:color="auto"/>
              <w:right w:val="single" w:sz="4" w:space="0" w:color="auto"/>
            </w:tcBorders>
            <w:shd w:val="clear" w:color="auto" w:fill="auto"/>
            <w:noWrap/>
            <w:hideMark/>
          </w:tcPr>
          <w:p w:rsidR="00DB2CBC" w:rsidRPr="00BB4B12" w:rsidRDefault="00DB2CBC" w:rsidP="00DB2CBC">
            <w:pPr>
              <w:jc w:val="center"/>
            </w:pPr>
            <w:r w:rsidRPr="00BB4B12">
              <w:t>0,84334</w:t>
            </w:r>
          </w:p>
        </w:tc>
        <w:tc>
          <w:tcPr>
            <w:tcW w:w="1557" w:type="dxa"/>
            <w:tcBorders>
              <w:top w:val="nil"/>
              <w:left w:val="nil"/>
              <w:bottom w:val="single" w:sz="4" w:space="0" w:color="auto"/>
              <w:right w:val="single" w:sz="4" w:space="0" w:color="auto"/>
            </w:tcBorders>
            <w:shd w:val="clear" w:color="auto" w:fill="auto"/>
            <w:noWrap/>
            <w:hideMark/>
          </w:tcPr>
          <w:p w:rsidR="00DB2CBC" w:rsidRDefault="00DB2CBC" w:rsidP="00DB2CBC">
            <w:pPr>
              <w:jc w:val="center"/>
            </w:pPr>
            <w:r w:rsidRPr="00BB4B12">
              <w:t>1,0000</w:t>
            </w:r>
          </w:p>
        </w:tc>
      </w:tr>
    </w:tbl>
    <w:p w:rsidR="00D936DB" w:rsidRDefault="00D936DB" w:rsidP="00C2019E">
      <w:pPr>
        <w:pStyle w:val="aa"/>
        <w:tabs>
          <w:tab w:val="left" w:pos="4020"/>
        </w:tabs>
        <w:ind w:left="0" w:firstLine="567"/>
        <w:jc w:val="both"/>
        <w:rPr>
          <w:sz w:val="24"/>
          <w:szCs w:val="24"/>
        </w:rPr>
        <w:sectPr w:rsidR="00D936DB" w:rsidSect="00D936DB">
          <w:pgSz w:w="16838" w:h="11906" w:orient="landscape"/>
          <w:pgMar w:top="1077" w:right="1134" w:bottom="566" w:left="567" w:header="284" w:footer="709" w:gutter="0"/>
          <w:cols w:space="708"/>
          <w:titlePg/>
          <w:docGrid w:linePitch="360"/>
        </w:sectPr>
      </w:pPr>
    </w:p>
    <w:p w:rsidR="00F85D7B" w:rsidRPr="00F85D7B" w:rsidRDefault="00F85D7B" w:rsidP="00F85D7B">
      <w:pPr>
        <w:tabs>
          <w:tab w:val="left" w:pos="4020"/>
        </w:tabs>
        <w:ind w:firstLine="540"/>
        <w:jc w:val="both"/>
        <w:rPr>
          <w:sz w:val="24"/>
          <w:szCs w:val="24"/>
        </w:rPr>
      </w:pPr>
      <w:r w:rsidRPr="00F85D7B">
        <w:rPr>
          <w:sz w:val="24"/>
          <w:szCs w:val="24"/>
        </w:rPr>
        <w:lastRenderedPageBreak/>
        <w:t xml:space="preserve">2. Установить необходимую валовую выручку для </w:t>
      </w:r>
      <w:r w:rsidR="007E033C">
        <w:rPr>
          <w:sz w:val="24"/>
          <w:szCs w:val="24"/>
        </w:rPr>
        <w:t>А</w:t>
      </w:r>
      <w:r w:rsidRPr="00F85D7B">
        <w:rPr>
          <w:sz w:val="24"/>
          <w:szCs w:val="24"/>
        </w:rPr>
        <w:t>О «</w:t>
      </w:r>
      <w:r w:rsidR="007E033C">
        <w:rPr>
          <w:sz w:val="24"/>
          <w:szCs w:val="24"/>
        </w:rPr>
        <w:t>Объединенные электрические сети</w:t>
      </w:r>
      <w:r w:rsidRPr="00F85D7B">
        <w:rPr>
          <w:sz w:val="24"/>
          <w:szCs w:val="24"/>
        </w:rPr>
        <w:t>» на долгосрочный период регулирования 2022-2026 годы (без учета оплаты потерь) согласно Таблице 2:</w:t>
      </w:r>
    </w:p>
    <w:p w:rsidR="00F85D7B" w:rsidRPr="00F85D7B" w:rsidRDefault="00F85D7B" w:rsidP="00F85D7B">
      <w:pPr>
        <w:tabs>
          <w:tab w:val="left" w:pos="4020"/>
        </w:tabs>
        <w:ind w:firstLine="540"/>
        <w:jc w:val="right"/>
        <w:rPr>
          <w:sz w:val="24"/>
          <w:szCs w:val="24"/>
        </w:rPr>
      </w:pPr>
    </w:p>
    <w:p w:rsidR="00C2019E" w:rsidRDefault="00C2019E" w:rsidP="00C2019E">
      <w:pPr>
        <w:tabs>
          <w:tab w:val="left" w:pos="4020"/>
        </w:tabs>
        <w:ind w:firstLine="540"/>
        <w:jc w:val="right"/>
        <w:rPr>
          <w:sz w:val="24"/>
          <w:szCs w:val="24"/>
        </w:rPr>
      </w:pPr>
      <w:r w:rsidRPr="00D936DB">
        <w:rPr>
          <w:sz w:val="24"/>
          <w:szCs w:val="24"/>
        </w:rPr>
        <w:t>Таблица 2</w:t>
      </w:r>
    </w:p>
    <w:p w:rsidR="00C2019E" w:rsidRDefault="00C2019E" w:rsidP="00C2019E">
      <w:pPr>
        <w:tabs>
          <w:tab w:val="left" w:pos="1134"/>
          <w:tab w:val="left" w:pos="1276"/>
        </w:tabs>
        <w:contextualSpacing/>
        <w:jc w:val="center"/>
        <w:rPr>
          <w:b/>
          <w:sz w:val="24"/>
          <w:szCs w:val="24"/>
        </w:rPr>
      </w:pPr>
      <w:r w:rsidRPr="003F78FC">
        <w:rPr>
          <w:b/>
          <w:sz w:val="24"/>
          <w:szCs w:val="24"/>
        </w:rPr>
        <w:t xml:space="preserve">НВВ </w:t>
      </w:r>
      <w:r w:rsidR="009726C9">
        <w:rPr>
          <w:b/>
          <w:sz w:val="24"/>
          <w:szCs w:val="24"/>
        </w:rPr>
        <w:t>АО «Объединенные электрические сети»</w:t>
      </w:r>
      <w:r w:rsidRPr="003F78FC">
        <w:rPr>
          <w:b/>
          <w:sz w:val="24"/>
          <w:szCs w:val="24"/>
        </w:rPr>
        <w:t xml:space="preserve"> на долгосрочный период регулирования (без учета оплаты потерь)</w:t>
      </w:r>
    </w:p>
    <w:p w:rsidR="00D936DB" w:rsidRDefault="00D936DB" w:rsidP="00C2019E">
      <w:pPr>
        <w:tabs>
          <w:tab w:val="left" w:pos="1134"/>
          <w:tab w:val="left" w:pos="1276"/>
        </w:tabs>
        <w:contextualSpacing/>
        <w:jc w:val="center"/>
        <w:rPr>
          <w:b/>
          <w:sz w:val="24"/>
          <w:szCs w:val="24"/>
        </w:rPr>
      </w:pPr>
    </w:p>
    <w:p w:rsidR="00D936DB" w:rsidRDefault="00D936DB" w:rsidP="00D936DB">
      <w:pPr>
        <w:autoSpaceDE w:val="0"/>
        <w:autoSpaceDN w:val="0"/>
        <w:adjustRightInd w:val="0"/>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6"/>
        <w:gridCol w:w="4025"/>
        <w:gridCol w:w="1077"/>
        <w:gridCol w:w="3401"/>
      </w:tblGrid>
      <w:tr w:rsidR="00D936DB" w:rsidTr="00D936DB">
        <w:trPr>
          <w:jc w:val="center"/>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D936DB" w:rsidRDefault="00D936DB" w:rsidP="00D936DB">
            <w:pPr>
              <w:autoSpaceDE w:val="0"/>
              <w:autoSpaceDN w:val="0"/>
              <w:adjustRightInd w:val="0"/>
              <w:jc w:val="center"/>
            </w:pPr>
            <w:r>
              <w:t xml:space="preserve">№ </w:t>
            </w:r>
            <w:proofErr w:type="gramStart"/>
            <w:r>
              <w:t>п</w:t>
            </w:r>
            <w:proofErr w:type="gramEnd"/>
            <w:r>
              <w:t>/п</w:t>
            </w:r>
          </w:p>
        </w:tc>
        <w:tc>
          <w:tcPr>
            <w:tcW w:w="4025" w:type="dxa"/>
            <w:vMerge w:val="restart"/>
            <w:tcBorders>
              <w:top w:val="single" w:sz="4" w:space="0" w:color="auto"/>
              <w:left w:val="single" w:sz="4" w:space="0" w:color="auto"/>
              <w:bottom w:val="single" w:sz="4" w:space="0" w:color="auto"/>
              <w:right w:val="single" w:sz="4" w:space="0" w:color="auto"/>
            </w:tcBorders>
            <w:vAlign w:val="center"/>
          </w:tcPr>
          <w:p w:rsidR="00D936DB" w:rsidRDefault="00D936DB" w:rsidP="00D936DB">
            <w:pPr>
              <w:autoSpaceDE w:val="0"/>
              <w:autoSpaceDN w:val="0"/>
              <w:adjustRightInd w:val="0"/>
              <w:jc w:val="center"/>
            </w:pPr>
            <w:r>
              <w:t>Наименование сетевой организации в субъекте Российской Федерации</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D936DB" w:rsidRDefault="00D936DB" w:rsidP="00D936DB">
            <w:pPr>
              <w:autoSpaceDE w:val="0"/>
              <w:autoSpaceDN w:val="0"/>
              <w:adjustRightInd w:val="0"/>
              <w:jc w:val="center"/>
            </w:pPr>
            <w:r>
              <w:t>Год</w:t>
            </w:r>
          </w:p>
        </w:tc>
        <w:tc>
          <w:tcPr>
            <w:tcW w:w="3401" w:type="dxa"/>
            <w:tcBorders>
              <w:top w:val="single" w:sz="4" w:space="0" w:color="auto"/>
              <w:left w:val="single" w:sz="4" w:space="0" w:color="auto"/>
              <w:bottom w:val="single" w:sz="4" w:space="0" w:color="auto"/>
              <w:right w:val="single" w:sz="4" w:space="0" w:color="auto"/>
            </w:tcBorders>
            <w:vAlign w:val="center"/>
          </w:tcPr>
          <w:p w:rsidR="00D936DB" w:rsidRDefault="00D936DB" w:rsidP="00D936DB">
            <w:pPr>
              <w:autoSpaceDE w:val="0"/>
              <w:autoSpaceDN w:val="0"/>
              <w:adjustRightInd w:val="0"/>
              <w:jc w:val="center"/>
            </w:pPr>
            <w:r>
              <w:t>НВВ сетевых организаций без учета оплаты потерь</w:t>
            </w:r>
          </w:p>
        </w:tc>
      </w:tr>
      <w:tr w:rsidR="00D936DB" w:rsidTr="00D936DB">
        <w:trPr>
          <w:jc w:val="center"/>
        </w:trPr>
        <w:tc>
          <w:tcPr>
            <w:tcW w:w="566" w:type="dxa"/>
            <w:vMerge/>
            <w:tcBorders>
              <w:top w:val="single" w:sz="4" w:space="0" w:color="auto"/>
              <w:left w:val="single" w:sz="4" w:space="0" w:color="auto"/>
              <w:bottom w:val="single" w:sz="4" w:space="0" w:color="auto"/>
              <w:right w:val="single" w:sz="4" w:space="0" w:color="auto"/>
            </w:tcBorders>
            <w:vAlign w:val="center"/>
          </w:tcPr>
          <w:p w:rsidR="00D936DB" w:rsidRDefault="00D936DB" w:rsidP="00D936DB">
            <w:pPr>
              <w:autoSpaceDE w:val="0"/>
              <w:autoSpaceDN w:val="0"/>
              <w:adjustRightInd w:val="0"/>
              <w:jc w:val="center"/>
            </w:pPr>
          </w:p>
        </w:tc>
        <w:tc>
          <w:tcPr>
            <w:tcW w:w="4025" w:type="dxa"/>
            <w:vMerge/>
            <w:tcBorders>
              <w:top w:val="single" w:sz="4" w:space="0" w:color="auto"/>
              <w:left w:val="single" w:sz="4" w:space="0" w:color="auto"/>
              <w:bottom w:val="single" w:sz="4" w:space="0" w:color="auto"/>
              <w:right w:val="single" w:sz="4" w:space="0" w:color="auto"/>
            </w:tcBorders>
            <w:vAlign w:val="center"/>
          </w:tcPr>
          <w:p w:rsidR="00D936DB" w:rsidRDefault="00D936DB" w:rsidP="00D936DB">
            <w:pPr>
              <w:autoSpaceDE w:val="0"/>
              <w:autoSpaceDN w:val="0"/>
              <w:adjustRightInd w:val="0"/>
              <w:jc w:val="center"/>
            </w:pPr>
          </w:p>
        </w:tc>
        <w:tc>
          <w:tcPr>
            <w:tcW w:w="1077" w:type="dxa"/>
            <w:vMerge/>
            <w:tcBorders>
              <w:top w:val="single" w:sz="4" w:space="0" w:color="auto"/>
              <w:left w:val="single" w:sz="4" w:space="0" w:color="auto"/>
              <w:bottom w:val="single" w:sz="4" w:space="0" w:color="auto"/>
              <w:right w:val="single" w:sz="4" w:space="0" w:color="auto"/>
            </w:tcBorders>
            <w:vAlign w:val="center"/>
          </w:tcPr>
          <w:p w:rsidR="00D936DB" w:rsidRDefault="00D936DB" w:rsidP="00D936DB">
            <w:pPr>
              <w:autoSpaceDE w:val="0"/>
              <w:autoSpaceDN w:val="0"/>
              <w:adjustRightInd w:val="0"/>
              <w:jc w:val="center"/>
            </w:pPr>
          </w:p>
        </w:tc>
        <w:tc>
          <w:tcPr>
            <w:tcW w:w="3401" w:type="dxa"/>
            <w:tcBorders>
              <w:top w:val="single" w:sz="4" w:space="0" w:color="auto"/>
              <w:left w:val="single" w:sz="4" w:space="0" w:color="auto"/>
              <w:bottom w:val="single" w:sz="4" w:space="0" w:color="auto"/>
              <w:right w:val="single" w:sz="4" w:space="0" w:color="auto"/>
            </w:tcBorders>
            <w:vAlign w:val="center"/>
          </w:tcPr>
          <w:p w:rsidR="00D936DB" w:rsidRDefault="00D936DB" w:rsidP="00D936DB">
            <w:pPr>
              <w:autoSpaceDE w:val="0"/>
              <w:autoSpaceDN w:val="0"/>
              <w:adjustRightInd w:val="0"/>
              <w:jc w:val="center"/>
            </w:pPr>
            <w:r>
              <w:t>тыс. руб.</w:t>
            </w:r>
          </w:p>
        </w:tc>
      </w:tr>
      <w:tr w:rsidR="007E033C" w:rsidTr="0091614A">
        <w:trPr>
          <w:jc w:val="center"/>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7E033C" w:rsidRDefault="007E033C" w:rsidP="00D936DB">
            <w:pPr>
              <w:autoSpaceDE w:val="0"/>
              <w:autoSpaceDN w:val="0"/>
              <w:adjustRightInd w:val="0"/>
              <w:jc w:val="center"/>
            </w:pPr>
            <w:r>
              <w:t>1.</w:t>
            </w:r>
          </w:p>
        </w:tc>
        <w:tc>
          <w:tcPr>
            <w:tcW w:w="4025" w:type="dxa"/>
            <w:vMerge w:val="restart"/>
            <w:tcBorders>
              <w:top w:val="single" w:sz="4" w:space="0" w:color="auto"/>
              <w:left w:val="single" w:sz="4" w:space="0" w:color="auto"/>
              <w:bottom w:val="single" w:sz="4" w:space="0" w:color="auto"/>
              <w:right w:val="single" w:sz="4" w:space="0" w:color="auto"/>
            </w:tcBorders>
            <w:vAlign w:val="center"/>
          </w:tcPr>
          <w:p w:rsidR="007E033C" w:rsidRDefault="007E033C" w:rsidP="00D936DB">
            <w:pPr>
              <w:autoSpaceDE w:val="0"/>
              <w:autoSpaceDN w:val="0"/>
              <w:adjustRightInd w:val="0"/>
              <w:jc w:val="center"/>
            </w:pPr>
            <w:r>
              <w:t>АО «Объединенные электрические сети»</w:t>
            </w:r>
          </w:p>
        </w:tc>
        <w:tc>
          <w:tcPr>
            <w:tcW w:w="1077" w:type="dxa"/>
            <w:tcBorders>
              <w:top w:val="single" w:sz="4" w:space="0" w:color="auto"/>
              <w:left w:val="single" w:sz="4" w:space="0" w:color="auto"/>
              <w:bottom w:val="single" w:sz="4" w:space="0" w:color="auto"/>
              <w:right w:val="single" w:sz="4" w:space="0" w:color="auto"/>
            </w:tcBorders>
            <w:vAlign w:val="center"/>
          </w:tcPr>
          <w:p w:rsidR="007E033C" w:rsidRDefault="007E033C" w:rsidP="00D936DB">
            <w:pPr>
              <w:autoSpaceDE w:val="0"/>
              <w:autoSpaceDN w:val="0"/>
              <w:adjustRightInd w:val="0"/>
              <w:jc w:val="center"/>
            </w:pPr>
            <w:r>
              <w:t>2022</w:t>
            </w:r>
          </w:p>
        </w:tc>
        <w:tc>
          <w:tcPr>
            <w:tcW w:w="3401" w:type="dxa"/>
            <w:tcBorders>
              <w:top w:val="single" w:sz="4" w:space="0" w:color="auto"/>
              <w:left w:val="single" w:sz="4" w:space="0" w:color="auto"/>
              <w:bottom w:val="single" w:sz="4" w:space="0" w:color="auto"/>
              <w:right w:val="single" w:sz="4" w:space="0" w:color="auto"/>
            </w:tcBorders>
          </w:tcPr>
          <w:p w:rsidR="007E033C" w:rsidRPr="00397B2A" w:rsidRDefault="007E033C" w:rsidP="007E033C">
            <w:pPr>
              <w:jc w:val="center"/>
            </w:pPr>
            <w:r w:rsidRPr="00397B2A">
              <w:t>575 552,67</w:t>
            </w:r>
          </w:p>
        </w:tc>
      </w:tr>
      <w:tr w:rsidR="007E033C" w:rsidTr="0091614A">
        <w:trPr>
          <w:jc w:val="center"/>
        </w:trPr>
        <w:tc>
          <w:tcPr>
            <w:tcW w:w="566" w:type="dxa"/>
            <w:vMerge/>
            <w:tcBorders>
              <w:top w:val="single" w:sz="4" w:space="0" w:color="auto"/>
              <w:left w:val="single" w:sz="4" w:space="0" w:color="auto"/>
              <w:bottom w:val="single" w:sz="4" w:space="0" w:color="auto"/>
              <w:right w:val="single" w:sz="4" w:space="0" w:color="auto"/>
            </w:tcBorders>
          </w:tcPr>
          <w:p w:rsidR="007E033C" w:rsidRDefault="007E033C" w:rsidP="00D936DB">
            <w:pPr>
              <w:autoSpaceDE w:val="0"/>
              <w:autoSpaceDN w:val="0"/>
              <w:adjustRightInd w:val="0"/>
              <w:jc w:val="center"/>
            </w:pPr>
          </w:p>
        </w:tc>
        <w:tc>
          <w:tcPr>
            <w:tcW w:w="4025" w:type="dxa"/>
            <w:vMerge/>
            <w:tcBorders>
              <w:top w:val="single" w:sz="4" w:space="0" w:color="auto"/>
              <w:left w:val="single" w:sz="4" w:space="0" w:color="auto"/>
              <w:bottom w:val="single" w:sz="4" w:space="0" w:color="auto"/>
              <w:right w:val="single" w:sz="4" w:space="0" w:color="auto"/>
            </w:tcBorders>
          </w:tcPr>
          <w:p w:rsidR="007E033C" w:rsidRDefault="007E033C" w:rsidP="00D936DB">
            <w:pPr>
              <w:autoSpaceDE w:val="0"/>
              <w:autoSpaceDN w:val="0"/>
              <w:adjustRightInd w:val="0"/>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7E033C" w:rsidRDefault="007E033C" w:rsidP="00D936DB">
            <w:pPr>
              <w:autoSpaceDE w:val="0"/>
              <w:autoSpaceDN w:val="0"/>
              <w:adjustRightInd w:val="0"/>
              <w:jc w:val="center"/>
            </w:pPr>
            <w:r>
              <w:t>2023</w:t>
            </w:r>
          </w:p>
        </w:tc>
        <w:tc>
          <w:tcPr>
            <w:tcW w:w="3401" w:type="dxa"/>
            <w:tcBorders>
              <w:top w:val="single" w:sz="4" w:space="0" w:color="auto"/>
              <w:left w:val="single" w:sz="4" w:space="0" w:color="auto"/>
              <w:bottom w:val="single" w:sz="4" w:space="0" w:color="auto"/>
              <w:right w:val="single" w:sz="4" w:space="0" w:color="auto"/>
            </w:tcBorders>
          </w:tcPr>
          <w:p w:rsidR="007E033C" w:rsidRPr="00397B2A" w:rsidRDefault="007E033C" w:rsidP="007E033C">
            <w:pPr>
              <w:jc w:val="center"/>
            </w:pPr>
            <w:r w:rsidRPr="00397B2A">
              <w:t>604 395,73</w:t>
            </w:r>
          </w:p>
        </w:tc>
      </w:tr>
      <w:tr w:rsidR="007E033C" w:rsidTr="0091614A">
        <w:trPr>
          <w:jc w:val="center"/>
        </w:trPr>
        <w:tc>
          <w:tcPr>
            <w:tcW w:w="566" w:type="dxa"/>
            <w:vMerge/>
            <w:tcBorders>
              <w:top w:val="single" w:sz="4" w:space="0" w:color="auto"/>
              <w:left w:val="single" w:sz="4" w:space="0" w:color="auto"/>
              <w:bottom w:val="single" w:sz="4" w:space="0" w:color="auto"/>
              <w:right w:val="single" w:sz="4" w:space="0" w:color="auto"/>
            </w:tcBorders>
          </w:tcPr>
          <w:p w:rsidR="007E033C" w:rsidRDefault="007E033C" w:rsidP="00D936DB">
            <w:pPr>
              <w:autoSpaceDE w:val="0"/>
              <w:autoSpaceDN w:val="0"/>
              <w:adjustRightInd w:val="0"/>
              <w:jc w:val="center"/>
            </w:pPr>
          </w:p>
        </w:tc>
        <w:tc>
          <w:tcPr>
            <w:tcW w:w="4025" w:type="dxa"/>
            <w:vMerge/>
            <w:tcBorders>
              <w:top w:val="single" w:sz="4" w:space="0" w:color="auto"/>
              <w:left w:val="single" w:sz="4" w:space="0" w:color="auto"/>
              <w:bottom w:val="single" w:sz="4" w:space="0" w:color="auto"/>
              <w:right w:val="single" w:sz="4" w:space="0" w:color="auto"/>
            </w:tcBorders>
          </w:tcPr>
          <w:p w:rsidR="007E033C" w:rsidRDefault="007E033C" w:rsidP="00D936DB">
            <w:pPr>
              <w:autoSpaceDE w:val="0"/>
              <w:autoSpaceDN w:val="0"/>
              <w:adjustRightInd w:val="0"/>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7E033C" w:rsidRDefault="007E033C" w:rsidP="00D936DB">
            <w:pPr>
              <w:autoSpaceDE w:val="0"/>
              <w:autoSpaceDN w:val="0"/>
              <w:adjustRightInd w:val="0"/>
              <w:jc w:val="center"/>
            </w:pPr>
            <w:r>
              <w:t>2024</w:t>
            </w:r>
          </w:p>
        </w:tc>
        <w:tc>
          <w:tcPr>
            <w:tcW w:w="3401" w:type="dxa"/>
            <w:tcBorders>
              <w:top w:val="single" w:sz="4" w:space="0" w:color="auto"/>
              <w:left w:val="single" w:sz="4" w:space="0" w:color="auto"/>
              <w:bottom w:val="single" w:sz="4" w:space="0" w:color="auto"/>
              <w:right w:val="single" w:sz="4" w:space="0" w:color="auto"/>
            </w:tcBorders>
          </w:tcPr>
          <w:p w:rsidR="007E033C" w:rsidRPr="00397B2A" w:rsidRDefault="007E033C" w:rsidP="007E033C">
            <w:pPr>
              <w:jc w:val="center"/>
            </w:pPr>
            <w:r w:rsidRPr="00397B2A">
              <w:t>603 655,07</w:t>
            </w:r>
          </w:p>
        </w:tc>
      </w:tr>
      <w:tr w:rsidR="007E033C" w:rsidTr="0091614A">
        <w:trPr>
          <w:jc w:val="center"/>
        </w:trPr>
        <w:tc>
          <w:tcPr>
            <w:tcW w:w="566" w:type="dxa"/>
            <w:vMerge/>
            <w:tcBorders>
              <w:top w:val="single" w:sz="4" w:space="0" w:color="auto"/>
              <w:left w:val="single" w:sz="4" w:space="0" w:color="auto"/>
              <w:bottom w:val="single" w:sz="4" w:space="0" w:color="auto"/>
              <w:right w:val="single" w:sz="4" w:space="0" w:color="auto"/>
            </w:tcBorders>
          </w:tcPr>
          <w:p w:rsidR="007E033C" w:rsidRDefault="007E033C" w:rsidP="00D936DB">
            <w:pPr>
              <w:autoSpaceDE w:val="0"/>
              <w:autoSpaceDN w:val="0"/>
              <w:adjustRightInd w:val="0"/>
              <w:jc w:val="center"/>
            </w:pPr>
          </w:p>
        </w:tc>
        <w:tc>
          <w:tcPr>
            <w:tcW w:w="4025" w:type="dxa"/>
            <w:vMerge/>
            <w:tcBorders>
              <w:top w:val="single" w:sz="4" w:space="0" w:color="auto"/>
              <w:left w:val="single" w:sz="4" w:space="0" w:color="auto"/>
              <w:bottom w:val="single" w:sz="4" w:space="0" w:color="auto"/>
              <w:right w:val="single" w:sz="4" w:space="0" w:color="auto"/>
            </w:tcBorders>
          </w:tcPr>
          <w:p w:rsidR="007E033C" w:rsidRDefault="007E033C" w:rsidP="00D936DB">
            <w:pPr>
              <w:autoSpaceDE w:val="0"/>
              <w:autoSpaceDN w:val="0"/>
              <w:adjustRightInd w:val="0"/>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7E033C" w:rsidRDefault="007E033C" w:rsidP="00D936DB">
            <w:pPr>
              <w:autoSpaceDE w:val="0"/>
              <w:autoSpaceDN w:val="0"/>
              <w:adjustRightInd w:val="0"/>
              <w:jc w:val="center"/>
            </w:pPr>
            <w:r>
              <w:t>2025</w:t>
            </w:r>
          </w:p>
        </w:tc>
        <w:tc>
          <w:tcPr>
            <w:tcW w:w="3401" w:type="dxa"/>
            <w:tcBorders>
              <w:top w:val="single" w:sz="4" w:space="0" w:color="auto"/>
              <w:left w:val="single" w:sz="4" w:space="0" w:color="auto"/>
              <w:bottom w:val="single" w:sz="4" w:space="0" w:color="auto"/>
              <w:right w:val="single" w:sz="4" w:space="0" w:color="auto"/>
            </w:tcBorders>
          </w:tcPr>
          <w:p w:rsidR="007E033C" w:rsidRPr="00397B2A" w:rsidRDefault="007E033C" w:rsidP="007E033C">
            <w:pPr>
              <w:jc w:val="center"/>
            </w:pPr>
            <w:r w:rsidRPr="00397B2A">
              <w:t>602 915,60</w:t>
            </w:r>
          </w:p>
        </w:tc>
      </w:tr>
      <w:tr w:rsidR="007E033C" w:rsidTr="0091614A">
        <w:trPr>
          <w:jc w:val="center"/>
        </w:trPr>
        <w:tc>
          <w:tcPr>
            <w:tcW w:w="566" w:type="dxa"/>
            <w:vMerge/>
            <w:tcBorders>
              <w:top w:val="single" w:sz="4" w:space="0" w:color="auto"/>
              <w:left w:val="single" w:sz="4" w:space="0" w:color="auto"/>
              <w:bottom w:val="single" w:sz="4" w:space="0" w:color="auto"/>
              <w:right w:val="single" w:sz="4" w:space="0" w:color="auto"/>
            </w:tcBorders>
          </w:tcPr>
          <w:p w:rsidR="007E033C" w:rsidRDefault="007E033C" w:rsidP="00D936DB">
            <w:pPr>
              <w:autoSpaceDE w:val="0"/>
              <w:autoSpaceDN w:val="0"/>
              <w:adjustRightInd w:val="0"/>
              <w:jc w:val="center"/>
            </w:pPr>
          </w:p>
        </w:tc>
        <w:tc>
          <w:tcPr>
            <w:tcW w:w="4025" w:type="dxa"/>
            <w:vMerge/>
            <w:tcBorders>
              <w:top w:val="single" w:sz="4" w:space="0" w:color="auto"/>
              <w:left w:val="single" w:sz="4" w:space="0" w:color="auto"/>
              <w:bottom w:val="single" w:sz="4" w:space="0" w:color="auto"/>
              <w:right w:val="single" w:sz="4" w:space="0" w:color="auto"/>
            </w:tcBorders>
          </w:tcPr>
          <w:p w:rsidR="007E033C" w:rsidRDefault="007E033C" w:rsidP="00D936DB">
            <w:pPr>
              <w:autoSpaceDE w:val="0"/>
              <w:autoSpaceDN w:val="0"/>
              <w:adjustRightInd w:val="0"/>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7E033C" w:rsidRDefault="007E033C" w:rsidP="00D936DB">
            <w:pPr>
              <w:autoSpaceDE w:val="0"/>
              <w:autoSpaceDN w:val="0"/>
              <w:adjustRightInd w:val="0"/>
              <w:jc w:val="center"/>
            </w:pPr>
            <w:r>
              <w:t>2026</w:t>
            </w:r>
          </w:p>
        </w:tc>
        <w:tc>
          <w:tcPr>
            <w:tcW w:w="3401" w:type="dxa"/>
            <w:tcBorders>
              <w:top w:val="single" w:sz="4" w:space="0" w:color="auto"/>
              <w:left w:val="single" w:sz="4" w:space="0" w:color="auto"/>
              <w:bottom w:val="single" w:sz="4" w:space="0" w:color="auto"/>
              <w:right w:val="single" w:sz="4" w:space="0" w:color="auto"/>
            </w:tcBorders>
          </w:tcPr>
          <w:p w:rsidR="007E033C" w:rsidRDefault="007E033C" w:rsidP="007E033C">
            <w:pPr>
              <w:jc w:val="center"/>
            </w:pPr>
            <w:r w:rsidRPr="00397B2A">
              <w:t>602 177,31</w:t>
            </w:r>
          </w:p>
        </w:tc>
      </w:tr>
    </w:tbl>
    <w:p w:rsidR="00D936DB" w:rsidRPr="00603751" w:rsidRDefault="00D936DB" w:rsidP="00D936DB">
      <w:pPr>
        <w:tabs>
          <w:tab w:val="left" w:pos="4143"/>
        </w:tabs>
        <w:rPr>
          <w:sz w:val="23"/>
          <w:szCs w:val="23"/>
        </w:rPr>
      </w:pPr>
    </w:p>
    <w:p w:rsidR="00C3492E" w:rsidRPr="00280833" w:rsidRDefault="00C3492E" w:rsidP="00C3492E">
      <w:pPr>
        <w:tabs>
          <w:tab w:val="left" w:pos="4020"/>
        </w:tabs>
        <w:ind w:firstLine="540"/>
        <w:rPr>
          <w:sz w:val="24"/>
          <w:szCs w:val="24"/>
        </w:rPr>
      </w:pPr>
      <w:r w:rsidRPr="00280833">
        <w:rPr>
          <w:sz w:val="24"/>
          <w:szCs w:val="24"/>
        </w:rPr>
        <w:t>3. Настоящее постановление вступает в силу со дня его официального опубликования.</w:t>
      </w:r>
    </w:p>
    <w:p w:rsidR="00C2019E" w:rsidRDefault="00C2019E" w:rsidP="00C2019E">
      <w:pPr>
        <w:tabs>
          <w:tab w:val="left" w:pos="4020"/>
        </w:tabs>
        <w:ind w:firstLine="540"/>
        <w:rPr>
          <w:sz w:val="24"/>
          <w:szCs w:val="24"/>
        </w:rPr>
      </w:pPr>
    </w:p>
    <w:p w:rsidR="00C2019E" w:rsidRDefault="00C2019E" w:rsidP="00C2019E">
      <w:pPr>
        <w:tabs>
          <w:tab w:val="left" w:pos="4020"/>
        </w:tabs>
        <w:ind w:firstLine="540"/>
        <w:rPr>
          <w:sz w:val="24"/>
          <w:szCs w:val="24"/>
        </w:rPr>
      </w:pPr>
      <w:r w:rsidRPr="00D63A3D">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C2019E" w:rsidRPr="00D63A3D" w:rsidTr="00C2019E">
        <w:tc>
          <w:tcPr>
            <w:tcW w:w="959"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rPr>
                <w:sz w:val="24"/>
                <w:szCs w:val="24"/>
              </w:rPr>
            </w:pPr>
            <w:r w:rsidRPr="00D63A3D">
              <w:rPr>
                <w:sz w:val="24"/>
                <w:szCs w:val="24"/>
              </w:rPr>
              <w:t xml:space="preserve">№ </w:t>
            </w:r>
            <w:proofErr w:type="gramStart"/>
            <w:r w:rsidRPr="00D63A3D">
              <w:rPr>
                <w:sz w:val="24"/>
                <w:szCs w:val="24"/>
              </w:rPr>
              <w:t>п</w:t>
            </w:r>
            <w:proofErr w:type="gramEnd"/>
            <w:r w:rsidRPr="00D63A3D">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rPr>
                <w:sz w:val="24"/>
                <w:szCs w:val="24"/>
              </w:rPr>
            </w:pPr>
            <w:r w:rsidRPr="00D63A3D">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rPr>
                <w:sz w:val="24"/>
                <w:szCs w:val="24"/>
              </w:rPr>
            </w:pPr>
            <w:r w:rsidRPr="00D63A3D">
              <w:rPr>
                <w:sz w:val="24"/>
                <w:szCs w:val="24"/>
              </w:rPr>
              <w:t>Результаты голосования</w:t>
            </w:r>
          </w:p>
        </w:tc>
      </w:tr>
      <w:tr w:rsidR="00C2019E" w:rsidRPr="00D63A3D" w:rsidTr="00C2019E">
        <w:tc>
          <w:tcPr>
            <w:tcW w:w="959"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540"/>
              <w:rPr>
                <w:sz w:val="24"/>
                <w:szCs w:val="24"/>
              </w:rPr>
            </w:pPr>
            <w:r w:rsidRPr="00D63A3D">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15"/>
              <w:rPr>
                <w:sz w:val="24"/>
                <w:szCs w:val="24"/>
              </w:rPr>
            </w:pPr>
            <w:r w:rsidRPr="00D63A3D">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33"/>
              <w:jc w:val="center"/>
              <w:rPr>
                <w:sz w:val="24"/>
                <w:szCs w:val="24"/>
              </w:rPr>
            </w:pPr>
            <w:r w:rsidRPr="00D63A3D">
              <w:rPr>
                <w:sz w:val="24"/>
                <w:szCs w:val="24"/>
              </w:rPr>
              <w:t>за</w:t>
            </w:r>
          </w:p>
        </w:tc>
      </w:tr>
      <w:tr w:rsidR="00C2019E" w:rsidRPr="00D63A3D" w:rsidTr="00C2019E">
        <w:tc>
          <w:tcPr>
            <w:tcW w:w="959"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540"/>
              <w:rPr>
                <w:sz w:val="24"/>
                <w:szCs w:val="24"/>
              </w:rPr>
            </w:pPr>
            <w:r w:rsidRPr="00D63A3D">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15"/>
              <w:rPr>
                <w:sz w:val="24"/>
                <w:szCs w:val="24"/>
              </w:rPr>
            </w:pPr>
            <w:r w:rsidRPr="00D63A3D">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33"/>
              <w:jc w:val="center"/>
              <w:rPr>
                <w:sz w:val="24"/>
                <w:szCs w:val="24"/>
              </w:rPr>
            </w:pPr>
            <w:r w:rsidRPr="00D63A3D">
              <w:rPr>
                <w:sz w:val="24"/>
                <w:szCs w:val="24"/>
              </w:rPr>
              <w:t>за</w:t>
            </w:r>
          </w:p>
        </w:tc>
      </w:tr>
      <w:tr w:rsidR="00C2019E" w:rsidRPr="00D63A3D" w:rsidTr="00C2019E">
        <w:tc>
          <w:tcPr>
            <w:tcW w:w="959"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540"/>
              <w:rPr>
                <w:sz w:val="24"/>
                <w:szCs w:val="24"/>
              </w:rPr>
            </w:pPr>
            <w:r w:rsidRPr="00D63A3D">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15"/>
              <w:rPr>
                <w:sz w:val="24"/>
                <w:szCs w:val="24"/>
              </w:rPr>
            </w:pPr>
            <w:r w:rsidRPr="00D63A3D">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33"/>
              <w:jc w:val="center"/>
              <w:rPr>
                <w:sz w:val="24"/>
                <w:szCs w:val="24"/>
              </w:rPr>
            </w:pPr>
            <w:r w:rsidRPr="00D63A3D">
              <w:rPr>
                <w:sz w:val="24"/>
                <w:szCs w:val="24"/>
              </w:rPr>
              <w:t>за</w:t>
            </w:r>
          </w:p>
        </w:tc>
      </w:tr>
      <w:tr w:rsidR="00C2019E" w:rsidRPr="00D63A3D" w:rsidTr="00C2019E">
        <w:tc>
          <w:tcPr>
            <w:tcW w:w="959"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540"/>
              <w:rPr>
                <w:sz w:val="24"/>
                <w:szCs w:val="24"/>
              </w:rPr>
            </w:pPr>
            <w:r w:rsidRPr="00D63A3D">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15"/>
              <w:rPr>
                <w:sz w:val="24"/>
                <w:szCs w:val="24"/>
              </w:rPr>
            </w:pPr>
            <w:r w:rsidRPr="00D63A3D">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33"/>
              <w:jc w:val="center"/>
              <w:rPr>
                <w:sz w:val="24"/>
                <w:szCs w:val="24"/>
              </w:rPr>
            </w:pPr>
            <w:r w:rsidRPr="00D63A3D">
              <w:rPr>
                <w:sz w:val="24"/>
                <w:szCs w:val="24"/>
              </w:rPr>
              <w:t>за</w:t>
            </w:r>
          </w:p>
        </w:tc>
      </w:tr>
      <w:tr w:rsidR="00C2019E" w:rsidRPr="00D63A3D" w:rsidTr="00C2019E">
        <w:tc>
          <w:tcPr>
            <w:tcW w:w="959"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540"/>
              <w:rPr>
                <w:sz w:val="24"/>
                <w:szCs w:val="24"/>
              </w:rPr>
            </w:pPr>
            <w:r w:rsidRPr="00D63A3D">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15"/>
              <w:rPr>
                <w:sz w:val="24"/>
                <w:szCs w:val="24"/>
              </w:rPr>
            </w:pPr>
            <w:r w:rsidRPr="00D63A3D">
              <w:rPr>
                <w:sz w:val="24"/>
                <w:szCs w:val="24"/>
              </w:rPr>
              <w:t>Курчанинова О.А.</w:t>
            </w:r>
          </w:p>
        </w:tc>
        <w:tc>
          <w:tcPr>
            <w:tcW w:w="2977"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33"/>
              <w:jc w:val="center"/>
              <w:rPr>
                <w:sz w:val="24"/>
                <w:szCs w:val="24"/>
              </w:rPr>
            </w:pPr>
            <w:r w:rsidRPr="00D63A3D">
              <w:rPr>
                <w:sz w:val="24"/>
                <w:szCs w:val="24"/>
              </w:rPr>
              <w:t>за</w:t>
            </w:r>
          </w:p>
        </w:tc>
      </w:tr>
      <w:tr w:rsidR="00C2019E" w:rsidRPr="00D63A3D" w:rsidTr="00C2019E">
        <w:tc>
          <w:tcPr>
            <w:tcW w:w="959"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540"/>
              <w:rPr>
                <w:sz w:val="24"/>
                <w:szCs w:val="24"/>
              </w:rPr>
            </w:pPr>
            <w:r w:rsidRPr="00D63A3D">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15"/>
              <w:rPr>
                <w:sz w:val="24"/>
                <w:szCs w:val="24"/>
              </w:rPr>
            </w:pPr>
            <w:r w:rsidRPr="00D63A3D">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33"/>
              <w:jc w:val="center"/>
              <w:rPr>
                <w:sz w:val="24"/>
                <w:szCs w:val="24"/>
              </w:rPr>
            </w:pPr>
            <w:r w:rsidRPr="00D63A3D">
              <w:rPr>
                <w:sz w:val="24"/>
                <w:szCs w:val="24"/>
              </w:rPr>
              <w:t>за</w:t>
            </w:r>
          </w:p>
        </w:tc>
      </w:tr>
      <w:tr w:rsidR="00C2019E" w:rsidRPr="00D63A3D" w:rsidTr="00C2019E">
        <w:tc>
          <w:tcPr>
            <w:tcW w:w="959"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540"/>
              <w:rPr>
                <w:sz w:val="24"/>
                <w:szCs w:val="24"/>
              </w:rPr>
            </w:pPr>
            <w:r w:rsidRPr="00D63A3D">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15"/>
              <w:rPr>
                <w:sz w:val="24"/>
                <w:szCs w:val="24"/>
              </w:rPr>
            </w:pPr>
            <w:r w:rsidRPr="00D63A3D">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33"/>
              <w:jc w:val="center"/>
              <w:rPr>
                <w:sz w:val="24"/>
                <w:szCs w:val="24"/>
              </w:rPr>
            </w:pPr>
            <w:r w:rsidRPr="00D63A3D">
              <w:rPr>
                <w:sz w:val="24"/>
                <w:szCs w:val="24"/>
              </w:rPr>
              <w:t>за</w:t>
            </w:r>
          </w:p>
        </w:tc>
      </w:tr>
      <w:tr w:rsidR="00C2019E" w:rsidRPr="00D63A3D" w:rsidTr="00C2019E">
        <w:tc>
          <w:tcPr>
            <w:tcW w:w="959"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540"/>
              <w:rPr>
                <w:sz w:val="24"/>
                <w:szCs w:val="24"/>
              </w:rPr>
            </w:pPr>
            <w:r w:rsidRPr="00D63A3D">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C2019E" w:rsidRPr="00D63A3D" w:rsidRDefault="00C2019E" w:rsidP="00C2019E">
            <w:pPr>
              <w:tabs>
                <w:tab w:val="left" w:pos="4020"/>
              </w:tabs>
              <w:ind w:firstLine="15"/>
              <w:rPr>
                <w:sz w:val="24"/>
                <w:szCs w:val="24"/>
              </w:rPr>
            </w:pPr>
            <w:r w:rsidRPr="00D63A3D">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C2019E" w:rsidRPr="00D63A3D" w:rsidRDefault="00D936DB" w:rsidP="00C2019E">
            <w:pPr>
              <w:tabs>
                <w:tab w:val="left" w:pos="4020"/>
              </w:tabs>
              <w:ind w:firstLine="33"/>
              <w:jc w:val="center"/>
              <w:rPr>
                <w:sz w:val="24"/>
                <w:szCs w:val="24"/>
              </w:rPr>
            </w:pPr>
            <w:r>
              <w:rPr>
                <w:sz w:val="24"/>
                <w:szCs w:val="24"/>
              </w:rPr>
              <w:t>против</w:t>
            </w:r>
          </w:p>
        </w:tc>
      </w:tr>
    </w:tbl>
    <w:p w:rsidR="00C2019E" w:rsidRDefault="00D936DB" w:rsidP="00C2019E">
      <w:pPr>
        <w:tabs>
          <w:tab w:val="left" w:pos="4020"/>
        </w:tabs>
        <w:ind w:firstLine="540"/>
        <w:rPr>
          <w:sz w:val="24"/>
          <w:szCs w:val="24"/>
        </w:rPr>
      </w:pPr>
      <w:r>
        <w:rPr>
          <w:sz w:val="24"/>
          <w:szCs w:val="24"/>
        </w:rPr>
        <w:t>Итого: за – 7, против – 1</w:t>
      </w:r>
      <w:r w:rsidR="00C2019E" w:rsidRPr="00D63A3D">
        <w:rPr>
          <w:sz w:val="24"/>
          <w:szCs w:val="24"/>
        </w:rPr>
        <w:t>, воздержался – 0, отсутствуют – 0.</w:t>
      </w:r>
    </w:p>
    <w:p w:rsidR="00C2019E" w:rsidRDefault="00C2019E" w:rsidP="00B942FC">
      <w:pPr>
        <w:tabs>
          <w:tab w:val="left" w:pos="4020"/>
        </w:tabs>
        <w:ind w:firstLine="540"/>
        <w:rPr>
          <w:sz w:val="24"/>
          <w:szCs w:val="24"/>
        </w:rPr>
      </w:pPr>
    </w:p>
    <w:p w:rsidR="00FA6613" w:rsidRPr="00D63A3D" w:rsidRDefault="00FA6613" w:rsidP="00B942FC">
      <w:pPr>
        <w:tabs>
          <w:tab w:val="left" w:pos="4020"/>
        </w:tabs>
        <w:ind w:firstLine="540"/>
        <w:rPr>
          <w:sz w:val="24"/>
          <w:szCs w:val="24"/>
        </w:rPr>
      </w:pPr>
      <w:bookmarkStart w:id="0" w:name="_GoBack"/>
      <w:bookmarkEnd w:id="0"/>
    </w:p>
    <w:p w:rsidR="00147B89" w:rsidRPr="00D63A3D" w:rsidRDefault="00147B89" w:rsidP="00B942FC">
      <w:pPr>
        <w:tabs>
          <w:tab w:val="left" w:pos="4020"/>
        </w:tabs>
        <w:ind w:firstLine="540"/>
        <w:rPr>
          <w:sz w:val="24"/>
          <w:szCs w:val="24"/>
          <w:highlight w:val="yellow"/>
        </w:rPr>
      </w:pPr>
    </w:p>
    <w:tbl>
      <w:tblPr>
        <w:tblW w:w="10915"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88"/>
        <w:gridCol w:w="1543"/>
        <w:gridCol w:w="2284"/>
      </w:tblGrid>
      <w:tr w:rsidR="00466942" w:rsidRPr="00D63A3D" w:rsidTr="00AD318E">
        <w:trPr>
          <w:trHeight w:val="343"/>
        </w:trPr>
        <w:tc>
          <w:tcPr>
            <w:tcW w:w="7088" w:type="dxa"/>
            <w:tcBorders>
              <w:top w:val="dotted" w:sz="4" w:space="0" w:color="auto"/>
              <w:left w:val="dotted" w:sz="4" w:space="0" w:color="auto"/>
              <w:bottom w:val="dotted" w:sz="4" w:space="0" w:color="auto"/>
              <w:right w:val="dotted" w:sz="4" w:space="0" w:color="auto"/>
            </w:tcBorders>
            <w:vAlign w:val="center"/>
            <w:hideMark/>
          </w:tcPr>
          <w:p w:rsidR="005B384C" w:rsidRPr="00D63A3D" w:rsidRDefault="00CB2DB7" w:rsidP="00FB144C">
            <w:pPr>
              <w:rPr>
                <w:sz w:val="24"/>
                <w:szCs w:val="24"/>
              </w:rPr>
            </w:pPr>
            <w:r w:rsidRPr="00D63A3D">
              <w:rPr>
                <w:sz w:val="24"/>
                <w:szCs w:val="24"/>
              </w:rPr>
              <w:t>О</w:t>
            </w:r>
            <w:r w:rsidR="005B384C" w:rsidRPr="00D63A3D">
              <w:rPr>
                <w:sz w:val="24"/>
                <w:szCs w:val="24"/>
              </w:rPr>
              <w:t>тветственный секретарь Правления</w:t>
            </w:r>
          </w:p>
        </w:tc>
        <w:tc>
          <w:tcPr>
            <w:tcW w:w="1543" w:type="dxa"/>
            <w:tcBorders>
              <w:top w:val="dotted" w:sz="4" w:space="0" w:color="auto"/>
              <w:left w:val="dotted" w:sz="4" w:space="0" w:color="auto"/>
              <w:bottom w:val="dotted" w:sz="4" w:space="0" w:color="auto"/>
              <w:right w:val="dotted" w:sz="4" w:space="0" w:color="auto"/>
            </w:tcBorders>
            <w:vAlign w:val="center"/>
          </w:tcPr>
          <w:p w:rsidR="005B384C" w:rsidRPr="00D63A3D" w:rsidRDefault="005B384C"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hideMark/>
          </w:tcPr>
          <w:p w:rsidR="005B384C" w:rsidRPr="00D63A3D" w:rsidRDefault="00A73314" w:rsidP="00FB144C">
            <w:pPr>
              <w:tabs>
                <w:tab w:val="left" w:pos="4020"/>
              </w:tabs>
              <w:jc w:val="right"/>
              <w:rPr>
                <w:sz w:val="24"/>
                <w:szCs w:val="24"/>
              </w:rPr>
            </w:pPr>
            <w:r w:rsidRPr="00D63A3D">
              <w:rPr>
                <w:sz w:val="24"/>
                <w:szCs w:val="24"/>
              </w:rPr>
              <w:t>А.В. Соколова</w:t>
            </w:r>
          </w:p>
        </w:tc>
      </w:tr>
    </w:tbl>
    <w:p w:rsidR="00A33801" w:rsidRPr="00D63A3D" w:rsidRDefault="00A33801" w:rsidP="000032C1">
      <w:pPr>
        <w:rPr>
          <w:sz w:val="24"/>
          <w:szCs w:val="24"/>
        </w:rPr>
      </w:pPr>
    </w:p>
    <w:sectPr w:rsidR="00A33801" w:rsidRPr="00D63A3D" w:rsidSect="00D936DB">
      <w:pgSz w:w="11906" w:h="16838"/>
      <w:pgMar w:top="1134" w:right="567" w:bottom="567" w:left="1077"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C96" w:rsidRDefault="00D63C96">
      <w:r>
        <w:separator/>
      </w:r>
    </w:p>
  </w:endnote>
  <w:endnote w:type="continuationSeparator" w:id="0">
    <w:p w:rsidR="00D63C96" w:rsidRDefault="00D6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C96" w:rsidRDefault="00D63C96">
      <w:r>
        <w:separator/>
      </w:r>
    </w:p>
  </w:footnote>
  <w:footnote w:type="continuationSeparator" w:id="0">
    <w:p w:rsidR="00D63C96" w:rsidRDefault="00D63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C96" w:rsidRDefault="00D63C96" w:rsidP="00FB14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63C96" w:rsidRDefault="00D63C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C96" w:rsidRDefault="00D63C96" w:rsidP="00FB14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A6613">
      <w:rPr>
        <w:rStyle w:val="a5"/>
        <w:noProof/>
      </w:rPr>
      <w:t>8</w:t>
    </w:r>
    <w:r>
      <w:rPr>
        <w:rStyle w:val="a5"/>
      </w:rPr>
      <w:fldChar w:fldCharType="end"/>
    </w:r>
  </w:p>
  <w:p w:rsidR="00D63C96" w:rsidRDefault="00D63C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65E"/>
    <w:multiLevelType w:val="hybridMultilevel"/>
    <w:tmpl w:val="EF8EA2A6"/>
    <w:lvl w:ilvl="0" w:tplc="A0E2A55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AED5976"/>
    <w:multiLevelType w:val="hybridMultilevel"/>
    <w:tmpl w:val="2CFC0432"/>
    <w:lvl w:ilvl="0" w:tplc="A60EFA98">
      <w:start w:val="1"/>
      <w:numFmt w:val="upperRoman"/>
      <w:lvlText w:val="%1."/>
      <w:lvlJc w:val="left"/>
      <w:pPr>
        <w:ind w:left="1354" w:hanging="360"/>
      </w:pPr>
      <w:rPr>
        <w:rFonts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2">
    <w:nsid w:val="0F81680E"/>
    <w:multiLevelType w:val="hybridMultilevel"/>
    <w:tmpl w:val="FBFE0440"/>
    <w:lvl w:ilvl="0" w:tplc="0FF2151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529054E"/>
    <w:multiLevelType w:val="hybridMultilevel"/>
    <w:tmpl w:val="FAE023D0"/>
    <w:lvl w:ilvl="0" w:tplc="C5B89E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9A746D2"/>
    <w:multiLevelType w:val="hybridMultilevel"/>
    <w:tmpl w:val="6508816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nsid w:val="236E6709"/>
    <w:multiLevelType w:val="multilevel"/>
    <w:tmpl w:val="2F82E0D0"/>
    <w:lvl w:ilvl="0">
      <w:start w:val="1"/>
      <w:numFmt w:val="decimal"/>
      <w:lvlText w:val="%1."/>
      <w:lvlJc w:val="left"/>
      <w:pPr>
        <w:ind w:left="1320" w:hanging="780"/>
      </w:pPr>
      <w:rPr>
        <w:rFonts w:hint="default"/>
      </w:rPr>
    </w:lvl>
    <w:lvl w:ilvl="1">
      <w:start w:val="1"/>
      <w:numFmt w:val="decimal"/>
      <w:isLgl/>
      <w:lvlText w:val="%1.%2."/>
      <w:lvlJc w:val="left"/>
      <w:pPr>
        <w:ind w:left="2629"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nsid w:val="25887F53"/>
    <w:multiLevelType w:val="hybridMultilevel"/>
    <w:tmpl w:val="42926C82"/>
    <w:lvl w:ilvl="0" w:tplc="43C2E3F2">
      <w:start w:val="1"/>
      <w:numFmt w:val="upperRoman"/>
      <w:lvlText w:val="%1."/>
      <w:lvlJc w:val="left"/>
      <w:pPr>
        <w:ind w:left="1341"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1E43ABC"/>
    <w:multiLevelType w:val="hybridMultilevel"/>
    <w:tmpl w:val="FD345440"/>
    <w:lvl w:ilvl="0" w:tplc="36CE03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59430FE"/>
    <w:multiLevelType w:val="hybridMultilevel"/>
    <w:tmpl w:val="FBFE0440"/>
    <w:lvl w:ilvl="0" w:tplc="0FF2151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FD2246D"/>
    <w:multiLevelType w:val="hybridMultilevel"/>
    <w:tmpl w:val="1EB0A99A"/>
    <w:lvl w:ilvl="0" w:tplc="DA523372">
      <w:start w:val="1"/>
      <w:numFmt w:val="upperRoman"/>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5E118CB"/>
    <w:multiLevelType w:val="hybridMultilevel"/>
    <w:tmpl w:val="7BFE422E"/>
    <w:lvl w:ilvl="0" w:tplc="F51254E6">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B0823B7"/>
    <w:multiLevelType w:val="hybridMultilevel"/>
    <w:tmpl w:val="FAE023D0"/>
    <w:lvl w:ilvl="0" w:tplc="C5B89E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53B92FFE"/>
    <w:multiLevelType w:val="hybridMultilevel"/>
    <w:tmpl w:val="C756CF38"/>
    <w:lvl w:ilvl="0" w:tplc="DFEAD7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251086F"/>
    <w:multiLevelType w:val="hybridMultilevel"/>
    <w:tmpl w:val="E728A060"/>
    <w:lvl w:ilvl="0" w:tplc="20164C48">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37418B3"/>
    <w:multiLevelType w:val="hybridMultilevel"/>
    <w:tmpl w:val="FBFE0440"/>
    <w:lvl w:ilvl="0" w:tplc="0FF2151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572159B"/>
    <w:multiLevelType w:val="hybridMultilevel"/>
    <w:tmpl w:val="7D6C38F8"/>
    <w:lvl w:ilvl="0" w:tplc="560EAB7E">
      <w:start w:val="1"/>
      <w:numFmt w:val="decimal"/>
      <w:lvlText w:val="%1."/>
      <w:lvlJc w:val="left"/>
      <w:pPr>
        <w:ind w:left="1354" w:hanging="360"/>
      </w:pPr>
      <w:rPr>
        <w:b w:val="0"/>
      </w:rPr>
    </w:lvl>
    <w:lvl w:ilvl="1" w:tplc="04190019">
      <w:start w:val="1"/>
      <w:numFmt w:val="lowerLetter"/>
      <w:lvlText w:val="%2."/>
      <w:lvlJc w:val="left"/>
      <w:pPr>
        <w:ind w:left="2074" w:hanging="360"/>
      </w:pPr>
    </w:lvl>
    <w:lvl w:ilvl="2" w:tplc="0419001B">
      <w:start w:val="1"/>
      <w:numFmt w:val="lowerRoman"/>
      <w:lvlText w:val="%3."/>
      <w:lvlJc w:val="right"/>
      <w:pPr>
        <w:ind w:left="2794" w:hanging="180"/>
      </w:pPr>
    </w:lvl>
    <w:lvl w:ilvl="3" w:tplc="0419000F">
      <w:start w:val="1"/>
      <w:numFmt w:val="decimal"/>
      <w:lvlText w:val="%4."/>
      <w:lvlJc w:val="left"/>
      <w:pPr>
        <w:ind w:left="3514" w:hanging="360"/>
      </w:pPr>
    </w:lvl>
    <w:lvl w:ilvl="4" w:tplc="04190019">
      <w:start w:val="1"/>
      <w:numFmt w:val="lowerLetter"/>
      <w:lvlText w:val="%5."/>
      <w:lvlJc w:val="left"/>
      <w:pPr>
        <w:ind w:left="4234" w:hanging="360"/>
      </w:pPr>
    </w:lvl>
    <w:lvl w:ilvl="5" w:tplc="0419001B">
      <w:start w:val="1"/>
      <w:numFmt w:val="lowerRoman"/>
      <w:lvlText w:val="%6."/>
      <w:lvlJc w:val="right"/>
      <w:pPr>
        <w:ind w:left="4954" w:hanging="180"/>
      </w:pPr>
    </w:lvl>
    <w:lvl w:ilvl="6" w:tplc="0419000F">
      <w:start w:val="1"/>
      <w:numFmt w:val="decimal"/>
      <w:lvlText w:val="%7."/>
      <w:lvlJc w:val="left"/>
      <w:pPr>
        <w:ind w:left="5674" w:hanging="360"/>
      </w:pPr>
    </w:lvl>
    <w:lvl w:ilvl="7" w:tplc="04190019">
      <w:start w:val="1"/>
      <w:numFmt w:val="lowerLetter"/>
      <w:lvlText w:val="%8."/>
      <w:lvlJc w:val="left"/>
      <w:pPr>
        <w:ind w:left="6394" w:hanging="360"/>
      </w:pPr>
    </w:lvl>
    <w:lvl w:ilvl="8" w:tplc="0419001B">
      <w:start w:val="1"/>
      <w:numFmt w:val="lowerRoman"/>
      <w:lvlText w:val="%9."/>
      <w:lvlJc w:val="right"/>
      <w:pPr>
        <w:ind w:left="7114" w:hanging="180"/>
      </w:pPr>
    </w:lvl>
  </w:abstractNum>
  <w:abstractNum w:abstractNumId="16">
    <w:nsid w:val="6FDA465D"/>
    <w:multiLevelType w:val="hybridMultilevel"/>
    <w:tmpl w:val="519E87C4"/>
    <w:lvl w:ilvl="0" w:tplc="D0002C1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70732B1D"/>
    <w:multiLevelType w:val="hybridMultilevel"/>
    <w:tmpl w:val="8B6660BC"/>
    <w:lvl w:ilvl="0" w:tplc="93E65B46">
      <w:start w:val="1"/>
      <w:numFmt w:val="decimal"/>
      <w:lvlText w:val="%1."/>
      <w:lvlJc w:val="left"/>
      <w:pPr>
        <w:ind w:left="1392" w:hanging="82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9B2736A"/>
    <w:multiLevelType w:val="hybridMultilevel"/>
    <w:tmpl w:val="EF8EA2A6"/>
    <w:lvl w:ilvl="0" w:tplc="A0E2A55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7EF95912"/>
    <w:multiLevelType w:val="hybridMultilevel"/>
    <w:tmpl w:val="5E928E60"/>
    <w:lvl w:ilvl="0" w:tplc="04190001">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num w:numId="1">
    <w:abstractNumId w:val="4"/>
  </w:num>
  <w:num w:numId="2">
    <w:abstractNumId w:val="19"/>
  </w:num>
  <w:num w:numId="3">
    <w:abstractNumId w:val="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
  </w:num>
  <w:num w:numId="7">
    <w:abstractNumId w:val="14"/>
  </w:num>
  <w:num w:numId="8">
    <w:abstractNumId w:val="18"/>
  </w:num>
  <w:num w:numId="9">
    <w:abstractNumId w:val="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8"/>
  </w:num>
  <w:num w:numId="13">
    <w:abstractNumId w:val="3"/>
  </w:num>
  <w:num w:numId="14">
    <w:abstractNumId w:val="10"/>
  </w:num>
  <w:num w:numId="15">
    <w:abstractNumId w:val="17"/>
  </w:num>
  <w:num w:numId="16">
    <w:abstractNumId w:val="13"/>
  </w:num>
  <w:num w:numId="17">
    <w:abstractNumId w:val="9"/>
  </w:num>
  <w:num w:numId="18">
    <w:abstractNumId w:val="5"/>
  </w:num>
  <w:num w:numId="19">
    <w:abstractNumId w:val="7"/>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4C"/>
    <w:rsid w:val="00001B84"/>
    <w:rsid w:val="00002B82"/>
    <w:rsid w:val="00002CD4"/>
    <w:rsid w:val="000032C1"/>
    <w:rsid w:val="000064CF"/>
    <w:rsid w:val="0000686F"/>
    <w:rsid w:val="000277EB"/>
    <w:rsid w:val="000301BD"/>
    <w:rsid w:val="00030E80"/>
    <w:rsid w:val="00031934"/>
    <w:rsid w:val="00034065"/>
    <w:rsid w:val="00035973"/>
    <w:rsid w:val="00042C3E"/>
    <w:rsid w:val="00047724"/>
    <w:rsid w:val="00050055"/>
    <w:rsid w:val="000514A4"/>
    <w:rsid w:val="00052294"/>
    <w:rsid w:val="000543DD"/>
    <w:rsid w:val="000556C3"/>
    <w:rsid w:val="000707DC"/>
    <w:rsid w:val="00074265"/>
    <w:rsid w:val="00077B66"/>
    <w:rsid w:val="00086DEB"/>
    <w:rsid w:val="00091843"/>
    <w:rsid w:val="00094097"/>
    <w:rsid w:val="000949BD"/>
    <w:rsid w:val="0009775D"/>
    <w:rsid w:val="000A4B37"/>
    <w:rsid w:val="000B154E"/>
    <w:rsid w:val="000C7F31"/>
    <w:rsid w:val="000D0C87"/>
    <w:rsid w:val="000D61F7"/>
    <w:rsid w:val="000D6AF7"/>
    <w:rsid w:val="000D6E88"/>
    <w:rsid w:val="000E6693"/>
    <w:rsid w:val="000E6C4A"/>
    <w:rsid w:val="00100123"/>
    <w:rsid w:val="00102665"/>
    <w:rsid w:val="00102CEC"/>
    <w:rsid w:val="00102ED2"/>
    <w:rsid w:val="0010702C"/>
    <w:rsid w:val="00113A9D"/>
    <w:rsid w:val="00141184"/>
    <w:rsid w:val="00147B89"/>
    <w:rsid w:val="001509A7"/>
    <w:rsid w:val="00150B76"/>
    <w:rsid w:val="001512A5"/>
    <w:rsid w:val="00165B61"/>
    <w:rsid w:val="0016665D"/>
    <w:rsid w:val="00174CA1"/>
    <w:rsid w:val="00174DB7"/>
    <w:rsid w:val="0017733A"/>
    <w:rsid w:val="00181BF3"/>
    <w:rsid w:val="00181D4D"/>
    <w:rsid w:val="00190A38"/>
    <w:rsid w:val="00192125"/>
    <w:rsid w:val="00192A19"/>
    <w:rsid w:val="001975BB"/>
    <w:rsid w:val="001A1815"/>
    <w:rsid w:val="001A68A8"/>
    <w:rsid w:val="001B397C"/>
    <w:rsid w:val="001C3FF6"/>
    <w:rsid w:val="001C5116"/>
    <w:rsid w:val="001D2051"/>
    <w:rsid w:val="001D267C"/>
    <w:rsid w:val="001D6183"/>
    <w:rsid w:val="001D64A9"/>
    <w:rsid w:val="001D6A4C"/>
    <w:rsid w:val="001E449B"/>
    <w:rsid w:val="001E628A"/>
    <w:rsid w:val="001F100B"/>
    <w:rsid w:val="001F29F1"/>
    <w:rsid w:val="00200AAE"/>
    <w:rsid w:val="0020423A"/>
    <w:rsid w:val="00217DC7"/>
    <w:rsid w:val="002213FF"/>
    <w:rsid w:val="00222418"/>
    <w:rsid w:val="002247C8"/>
    <w:rsid w:val="00230A1D"/>
    <w:rsid w:val="00250E5F"/>
    <w:rsid w:val="00257D89"/>
    <w:rsid w:val="00262C82"/>
    <w:rsid w:val="00267E21"/>
    <w:rsid w:val="00273544"/>
    <w:rsid w:val="00273BD2"/>
    <w:rsid w:val="00283F36"/>
    <w:rsid w:val="0028579F"/>
    <w:rsid w:val="00293AF9"/>
    <w:rsid w:val="002977B0"/>
    <w:rsid w:val="002A50FE"/>
    <w:rsid w:val="002C2B11"/>
    <w:rsid w:val="002D04FB"/>
    <w:rsid w:val="002D0AF6"/>
    <w:rsid w:val="002D13DA"/>
    <w:rsid w:val="002E01F7"/>
    <w:rsid w:val="002E3293"/>
    <w:rsid w:val="002E4504"/>
    <w:rsid w:val="002E7787"/>
    <w:rsid w:val="002F7851"/>
    <w:rsid w:val="0032433B"/>
    <w:rsid w:val="00326BA9"/>
    <w:rsid w:val="00332FA4"/>
    <w:rsid w:val="00334250"/>
    <w:rsid w:val="00335745"/>
    <w:rsid w:val="00335AB5"/>
    <w:rsid w:val="00353E00"/>
    <w:rsid w:val="003572B0"/>
    <w:rsid w:val="00370909"/>
    <w:rsid w:val="003768AC"/>
    <w:rsid w:val="00390B94"/>
    <w:rsid w:val="00392DA8"/>
    <w:rsid w:val="00394351"/>
    <w:rsid w:val="003953E3"/>
    <w:rsid w:val="00396D09"/>
    <w:rsid w:val="0039712C"/>
    <w:rsid w:val="003A2FBF"/>
    <w:rsid w:val="003A364D"/>
    <w:rsid w:val="003A4496"/>
    <w:rsid w:val="003A6C9D"/>
    <w:rsid w:val="003A78E2"/>
    <w:rsid w:val="003A7B41"/>
    <w:rsid w:val="003B0663"/>
    <w:rsid w:val="003B0C99"/>
    <w:rsid w:val="003C01FA"/>
    <w:rsid w:val="003D1708"/>
    <w:rsid w:val="003D2E03"/>
    <w:rsid w:val="003E5A74"/>
    <w:rsid w:val="003E7C83"/>
    <w:rsid w:val="003F081D"/>
    <w:rsid w:val="003F3FC6"/>
    <w:rsid w:val="0041444D"/>
    <w:rsid w:val="0043607E"/>
    <w:rsid w:val="0044187A"/>
    <w:rsid w:val="00456648"/>
    <w:rsid w:val="00456D52"/>
    <w:rsid w:val="004649EB"/>
    <w:rsid w:val="00465DE5"/>
    <w:rsid w:val="00466942"/>
    <w:rsid w:val="00473802"/>
    <w:rsid w:val="0047755F"/>
    <w:rsid w:val="0048693C"/>
    <w:rsid w:val="00497A2E"/>
    <w:rsid w:val="004A3C0A"/>
    <w:rsid w:val="004A3C0B"/>
    <w:rsid w:val="004B0782"/>
    <w:rsid w:val="004B191C"/>
    <w:rsid w:val="004C1C35"/>
    <w:rsid w:val="004C2B75"/>
    <w:rsid w:val="004C3F09"/>
    <w:rsid w:val="004C4178"/>
    <w:rsid w:val="004C6E09"/>
    <w:rsid w:val="004C7EA3"/>
    <w:rsid w:val="004D0A10"/>
    <w:rsid w:val="004E2154"/>
    <w:rsid w:val="004E2C77"/>
    <w:rsid w:val="004E35E5"/>
    <w:rsid w:val="005010B2"/>
    <w:rsid w:val="00505296"/>
    <w:rsid w:val="00515FCE"/>
    <w:rsid w:val="00520414"/>
    <w:rsid w:val="0052099A"/>
    <w:rsid w:val="005212AD"/>
    <w:rsid w:val="00522274"/>
    <w:rsid w:val="00534B05"/>
    <w:rsid w:val="005353FE"/>
    <w:rsid w:val="005377EA"/>
    <w:rsid w:val="00546435"/>
    <w:rsid w:val="00551589"/>
    <w:rsid w:val="0055285B"/>
    <w:rsid w:val="00553E15"/>
    <w:rsid w:val="00554200"/>
    <w:rsid w:val="005542E0"/>
    <w:rsid w:val="00554B20"/>
    <w:rsid w:val="0056093F"/>
    <w:rsid w:val="005614F7"/>
    <w:rsid w:val="005639E3"/>
    <w:rsid w:val="005727B3"/>
    <w:rsid w:val="00576EDF"/>
    <w:rsid w:val="005933AD"/>
    <w:rsid w:val="00593C83"/>
    <w:rsid w:val="005A7693"/>
    <w:rsid w:val="005B2A72"/>
    <w:rsid w:val="005B384C"/>
    <w:rsid w:val="005B57C8"/>
    <w:rsid w:val="005C17F1"/>
    <w:rsid w:val="005C5306"/>
    <w:rsid w:val="005C547A"/>
    <w:rsid w:val="005D13EC"/>
    <w:rsid w:val="005D3365"/>
    <w:rsid w:val="005D4BBE"/>
    <w:rsid w:val="005E347B"/>
    <w:rsid w:val="005F268F"/>
    <w:rsid w:val="005F671C"/>
    <w:rsid w:val="006019BB"/>
    <w:rsid w:val="00610136"/>
    <w:rsid w:val="006208AA"/>
    <w:rsid w:val="006218E7"/>
    <w:rsid w:val="00626A32"/>
    <w:rsid w:val="00630F85"/>
    <w:rsid w:val="00631A2F"/>
    <w:rsid w:val="006376B4"/>
    <w:rsid w:val="00637B5E"/>
    <w:rsid w:val="006458F3"/>
    <w:rsid w:val="006479A0"/>
    <w:rsid w:val="0065232D"/>
    <w:rsid w:val="00657A22"/>
    <w:rsid w:val="00662303"/>
    <w:rsid w:val="00670278"/>
    <w:rsid w:val="00671CC5"/>
    <w:rsid w:val="006732ED"/>
    <w:rsid w:val="0067528C"/>
    <w:rsid w:val="00675A8B"/>
    <w:rsid w:val="006760A5"/>
    <w:rsid w:val="00691745"/>
    <w:rsid w:val="00693F4E"/>
    <w:rsid w:val="00694117"/>
    <w:rsid w:val="0069698E"/>
    <w:rsid w:val="006B0DB8"/>
    <w:rsid w:val="006B6625"/>
    <w:rsid w:val="006C6386"/>
    <w:rsid w:val="006C7FD6"/>
    <w:rsid w:val="006D00A4"/>
    <w:rsid w:val="006E2C97"/>
    <w:rsid w:val="006E56E3"/>
    <w:rsid w:val="006F54B2"/>
    <w:rsid w:val="006F580B"/>
    <w:rsid w:val="0070141D"/>
    <w:rsid w:val="007052EA"/>
    <w:rsid w:val="007068DC"/>
    <w:rsid w:val="00725F00"/>
    <w:rsid w:val="00737365"/>
    <w:rsid w:val="00750E43"/>
    <w:rsid w:val="0076398B"/>
    <w:rsid w:val="00764D5A"/>
    <w:rsid w:val="007660C9"/>
    <w:rsid w:val="00771B42"/>
    <w:rsid w:val="00772D93"/>
    <w:rsid w:val="0077344F"/>
    <w:rsid w:val="00780489"/>
    <w:rsid w:val="00784053"/>
    <w:rsid w:val="00784702"/>
    <w:rsid w:val="007869AD"/>
    <w:rsid w:val="00790FF1"/>
    <w:rsid w:val="00791DD6"/>
    <w:rsid w:val="007921B5"/>
    <w:rsid w:val="007A0214"/>
    <w:rsid w:val="007B5DD0"/>
    <w:rsid w:val="007C2BFE"/>
    <w:rsid w:val="007C2E94"/>
    <w:rsid w:val="007D05A6"/>
    <w:rsid w:val="007D340D"/>
    <w:rsid w:val="007D42E6"/>
    <w:rsid w:val="007D776C"/>
    <w:rsid w:val="007E033C"/>
    <w:rsid w:val="007E5A1F"/>
    <w:rsid w:val="007E5D97"/>
    <w:rsid w:val="007F0CD7"/>
    <w:rsid w:val="007F36AD"/>
    <w:rsid w:val="008018D0"/>
    <w:rsid w:val="00802AFD"/>
    <w:rsid w:val="008069CD"/>
    <w:rsid w:val="00822448"/>
    <w:rsid w:val="00823D0F"/>
    <w:rsid w:val="00827CE1"/>
    <w:rsid w:val="008303F6"/>
    <w:rsid w:val="00832278"/>
    <w:rsid w:val="00834454"/>
    <w:rsid w:val="00843EBE"/>
    <w:rsid w:val="00845915"/>
    <w:rsid w:val="00847CC3"/>
    <w:rsid w:val="00884BA4"/>
    <w:rsid w:val="00884C58"/>
    <w:rsid w:val="00885A4A"/>
    <w:rsid w:val="00892E69"/>
    <w:rsid w:val="00893FBD"/>
    <w:rsid w:val="008A57C8"/>
    <w:rsid w:val="008A5F9F"/>
    <w:rsid w:val="008B0AFB"/>
    <w:rsid w:val="008B4AF5"/>
    <w:rsid w:val="008B6AA7"/>
    <w:rsid w:val="008B720C"/>
    <w:rsid w:val="008B75D9"/>
    <w:rsid w:val="008C042F"/>
    <w:rsid w:val="008D0D47"/>
    <w:rsid w:val="008D1B66"/>
    <w:rsid w:val="008D4BD7"/>
    <w:rsid w:val="008E2316"/>
    <w:rsid w:val="008E24DC"/>
    <w:rsid w:val="008E343B"/>
    <w:rsid w:val="008E7EDA"/>
    <w:rsid w:val="008F0C67"/>
    <w:rsid w:val="00902327"/>
    <w:rsid w:val="00904BD3"/>
    <w:rsid w:val="00914977"/>
    <w:rsid w:val="0091614A"/>
    <w:rsid w:val="009162DA"/>
    <w:rsid w:val="009171B2"/>
    <w:rsid w:val="009208CC"/>
    <w:rsid w:val="0092634E"/>
    <w:rsid w:val="00935F10"/>
    <w:rsid w:val="00945A23"/>
    <w:rsid w:val="00947799"/>
    <w:rsid w:val="00950A6E"/>
    <w:rsid w:val="00960CB6"/>
    <w:rsid w:val="00960E02"/>
    <w:rsid w:val="009643B0"/>
    <w:rsid w:val="0096663E"/>
    <w:rsid w:val="009726C9"/>
    <w:rsid w:val="0098043C"/>
    <w:rsid w:val="009820E3"/>
    <w:rsid w:val="009A06DC"/>
    <w:rsid w:val="009A0A72"/>
    <w:rsid w:val="009A19F6"/>
    <w:rsid w:val="009A1FB2"/>
    <w:rsid w:val="009B7572"/>
    <w:rsid w:val="009C6019"/>
    <w:rsid w:val="009D1404"/>
    <w:rsid w:val="009D2B0C"/>
    <w:rsid w:val="009D3914"/>
    <w:rsid w:val="009D5AB3"/>
    <w:rsid w:val="009D60BE"/>
    <w:rsid w:val="009E3545"/>
    <w:rsid w:val="009E75E7"/>
    <w:rsid w:val="009F131D"/>
    <w:rsid w:val="00A01D42"/>
    <w:rsid w:val="00A02F26"/>
    <w:rsid w:val="00A14BD5"/>
    <w:rsid w:val="00A17C95"/>
    <w:rsid w:val="00A25ECC"/>
    <w:rsid w:val="00A26D02"/>
    <w:rsid w:val="00A32482"/>
    <w:rsid w:val="00A33801"/>
    <w:rsid w:val="00A41B4C"/>
    <w:rsid w:val="00A423D8"/>
    <w:rsid w:val="00A43CBA"/>
    <w:rsid w:val="00A45CD1"/>
    <w:rsid w:val="00A525DD"/>
    <w:rsid w:val="00A53A61"/>
    <w:rsid w:val="00A56F04"/>
    <w:rsid w:val="00A6146D"/>
    <w:rsid w:val="00A64548"/>
    <w:rsid w:val="00A658B7"/>
    <w:rsid w:val="00A73314"/>
    <w:rsid w:val="00A833E0"/>
    <w:rsid w:val="00A94DEB"/>
    <w:rsid w:val="00A96B7D"/>
    <w:rsid w:val="00A973F4"/>
    <w:rsid w:val="00AA1281"/>
    <w:rsid w:val="00AA1CE4"/>
    <w:rsid w:val="00AA3F49"/>
    <w:rsid w:val="00AA4D30"/>
    <w:rsid w:val="00AA676D"/>
    <w:rsid w:val="00AB2502"/>
    <w:rsid w:val="00AB548C"/>
    <w:rsid w:val="00AC336E"/>
    <w:rsid w:val="00AC4768"/>
    <w:rsid w:val="00AC6A44"/>
    <w:rsid w:val="00AD318E"/>
    <w:rsid w:val="00AD6195"/>
    <w:rsid w:val="00AE001D"/>
    <w:rsid w:val="00AE1D47"/>
    <w:rsid w:val="00AE5EEB"/>
    <w:rsid w:val="00AF3073"/>
    <w:rsid w:val="00AF5CE5"/>
    <w:rsid w:val="00B00CF1"/>
    <w:rsid w:val="00B1374E"/>
    <w:rsid w:val="00B150D4"/>
    <w:rsid w:val="00B15D78"/>
    <w:rsid w:val="00B173E4"/>
    <w:rsid w:val="00B21B80"/>
    <w:rsid w:val="00B30208"/>
    <w:rsid w:val="00B31BA4"/>
    <w:rsid w:val="00B44707"/>
    <w:rsid w:val="00B515CA"/>
    <w:rsid w:val="00B640E3"/>
    <w:rsid w:val="00B73526"/>
    <w:rsid w:val="00B854A8"/>
    <w:rsid w:val="00B85DCA"/>
    <w:rsid w:val="00B86551"/>
    <w:rsid w:val="00B872E8"/>
    <w:rsid w:val="00B911BA"/>
    <w:rsid w:val="00B942FC"/>
    <w:rsid w:val="00B96B60"/>
    <w:rsid w:val="00BA20E7"/>
    <w:rsid w:val="00BA4212"/>
    <w:rsid w:val="00BB133E"/>
    <w:rsid w:val="00BC172E"/>
    <w:rsid w:val="00BC1905"/>
    <w:rsid w:val="00BD3E90"/>
    <w:rsid w:val="00BD4C16"/>
    <w:rsid w:val="00BD7E5F"/>
    <w:rsid w:val="00BE2600"/>
    <w:rsid w:val="00BF6CDF"/>
    <w:rsid w:val="00C007C7"/>
    <w:rsid w:val="00C0105B"/>
    <w:rsid w:val="00C01897"/>
    <w:rsid w:val="00C10AF5"/>
    <w:rsid w:val="00C142E0"/>
    <w:rsid w:val="00C2019E"/>
    <w:rsid w:val="00C2349C"/>
    <w:rsid w:val="00C30FD7"/>
    <w:rsid w:val="00C3492E"/>
    <w:rsid w:val="00C433FF"/>
    <w:rsid w:val="00C45974"/>
    <w:rsid w:val="00C54034"/>
    <w:rsid w:val="00C55452"/>
    <w:rsid w:val="00C57BF7"/>
    <w:rsid w:val="00C636A3"/>
    <w:rsid w:val="00C6399E"/>
    <w:rsid w:val="00C645A4"/>
    <w:rsid w:val="00C81296"/>
    <w:rsid w:val="00C8155C"/>
    <w:rsid w:val="00C828F9"/>
    <w:rsid w:val="00C92030"/>
    <w:rsid w:val="00C933E2"/>
    <w:rsid w:val="00CB07AC"/>
    <w:rsid w:val="00CB2DB7"/>
    <w:rsid w:val="00CB359A"/>
    <w:rsid w:val="00CB3956"/>
    <w:rsid w:val="00CB3C58"/>
    <w:rsid w:val="00CB5495"/>
    <w:rsid w:val="00CC6A50"/>
    <w:rsid w:val="00CD1ACA"/>
    <w:rsid w:val="00CD3A4E"/>
    <w:rsid w:val="00CE0328"/>
    <w:rsid w:val="00CE5B58"/>
    <w:rsid w:val="00CE5D05"/>
    <w:rsid w:val="00CE7A74"/>
    <w:rsid w:val="00CF12C1"/>
    <w:rsid w:val="00CF2AC3"/>
    <w:rsid w:val="00D116AE"/>
    <w:rsid w:val="00D13CE4"/>
    <w:rsid w:val="00D20546"/>
    <w:rsid w:val="00D2174F"/>
    <w:rsid w:val="00D270C4"/>
    <w:rsid w:val="00D303A6"/>
    <w:rsid w:val="00D37CFC"/>
    <w:rsid w:val="00D63A3D"/>
    <w:rsid w:val="00D63C96"/>
    <w:rsid w:val="00D65A0C"/>
    <w:rsid w:val="00D81313"/>
    <w:rsid w:val="00D86FA6"/>
    <w:rsid w:val="00D871F9"/>
    <w:rsid w:val="00D913B7"/>
    <w:rsid w:val="00D936DB"/>
    <w:rsid w:val="00DA3718"/>
    <w:rsid w:val="00DB156E"/>
    <w:rsid w:val="00DB2BAD"/>
    <w:rsid w:val="00DB2CBC"/>
    <w:rsid w:val="00DC0BB5"/>
    <w:rsid w:val="00DC690C"/>
    <w:rsid w:val="00DC70E0"/>
    <w:rsid w:val="00DC7CDD"/>
    <w:rsid w:val="00DD3D8E"/>
    <w:rsid w:val="00DE310B"/>
    <w:rsid w:val="00DE63F9"/>
    <w:rsid w:val="00DE7B0B"/>
    <w:rsid w:val="00DF2186"/>
    <w:rsid w:val="00E17B70"/>
    <w:rsid w:val="00E330EB"/>
    <w:rsid w:val="00E34193"/>
    <w:rsid w:val="00E50D20"/>
    <w:rsid w:val="00E51103"/>
    <w:rsid w:val="00E52C18"/>
    <w:rsid w:val="00E566D5"/>
    <w:rsid w:val="00E72419"/>
    <w:rsid w:val="00E80D8D"/>
    <w:rsid w:val="00E86E4E"/>
    <w:rsid w:val="00E95F9F"/>
    <w:rsid w:val="00E9608B"/>
    <w:rsid w:val="00EA2A52"/>
    <w:rsid w:val="00EA2F72"/>
    <w:rsid w:val="00EA6678"/>
    <w:rsid w:val="00EB77D5"/>
    <w:rsid w:val="00EC77B9"/>
    <w:rsid w:val="00ED3715"/>
    <w:rsid w:val="00EE40BF"/>
    <w:rsid w:val="00EE48B6"/>
    <w:rsid w:val="00EF2F65"/>
    <w:rsid w:val="00EF3F12"/>
    <w:rsid w:val="00F07056"/>
    <w:rsid w:val="00F07C93"/>
    <w:rsid w:val="00F10C2F"/>
    <w:rsid w:val="00F23C80"/>
    <w:rsid w:val="00F31207"/>
    <w:rsid w:val="00F36FBC"/>
    <w:rsid w:val="00F37527"/>
    <w:rsid w:val="00F43C50"/>
    <w:rsid w:val="00F57773"/>
    <w:rsid w:val="00F61D56"/>
    <w:rsid w:val="00F620F1"/>
    <w:rsid w:val="00F64F61"/>
    <w:rsid w:val="00F66CD0"/>
    <w:rsid w:val="00F67214"/>
    <w:rsid w:val="00F72658"/>
    <w:rsid w:val="00F84FCF"/>
    <w:rsid w:val="00F85D7B"/>
    <w:rsid w:val="00F92613"/>
    <w:rsid w:val="00F93408"/>
    <w:rsid w:val="00F93FAF"/>
    <w:rsid w:val="00FA6613"/>
    <w:rsid w:val="00FB144C"/>
    <w:rsid w:val="00FB2BA8"/>
    <w:rsid w:val="00FC453A"/>
    <w:rsid w:val="00FD0839"/>
    <w:rsid w:val="00FE5D55"/>
    <w:rsid w:val="00FE7A67"/>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2E0"/>
    <w:pPr>
      <w:widowControl w:val="0"/>
      <w:spacing w:after="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84C"/>
    <w:pPr>
      <w:tabs>
        <w:tab w:val="center" w:pos="4677"/>
        <w:tab w:val="right" w:pos="9355"/>
      </w:tabs>
    </w:pPr>
  </w:style>
  <w:style w:type="character" w:customStyle="1" w:styleId="a4">
    <w:name w:val="Верхний колонтитул Знак"/>
    <w:basedOn w:val="a0"/>
    <w:link w:val="a3"/>
    <w:uiPriority w:val="99"/>
    <w:rsid w:val="005B384C"/>
    <w:rPr>
      <w:rFonts w:ascii="Times New Roman" w:eastAsia="Times New Roman" w:hAnsi="Times New Roman" w:cs="Times New Roman"/>
      <w:sz w:val="20"/>
      <w:szCs w:val="20"/>
      <w:lang w:eastAsia="ru-RU"/>
    </w:rPr>
  </w:style>
  <w:style w:type="character" w:styleId="a5">
    <w:name w:val="page number"/>
    <w:basedOn w:val="a0"/>
    <w:rsid w:val="005B384C"/>
  </w:style>
  <w:style w:type="paragraph" w:styleId="a6">
    <w:name w:val="Normal (Web)"/>
    <w:basedOn w:val="a"/>
    <w:link w:val="a7"/>
    <w:uiPriority w:val="99"/>
    <w:rsid w:val="005B384C"/>
    <w:pPr>
      <w:widowControl/>
      <w:spacing w:before="100" w:beforeAutospacing="1" w:after="100" w:afterAutospacing="1"/>
    </w:pPr>
    <w:rPr>
      <w:sz w:val="24"/>
      <w:szCs w:val="24"/>
    </w:rPr>
  </w:style>
  <w:style w:type="paragraph" w:customStyle="1" w:styleId="21">
    <w:name w:val="Основной текст с отступом 21"/>
    <w:basedOn w:val="a"/>
    <w:uiPriority w:val="99"/>
    <w:rsid w:val="005B384C"/>
    <w:pPr>
      <w:ind w:firstLine="851"/>
      <w:jc w:val="both"/>
    </w:pPr>
    <w:rPr>
      <w:sz w:val="24"/>
    </w:rPr>
  </w:style>
  <w:style w:type="character" w:customStyle="1" w:styleId="a7">
    <w:name w:val="Обычный (веб) Знак"/>
    <w:link w:val="a6"/>
    <w:uiPriority w:val="99"/>
    <w:rsid w:val="005B384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20414"/>
    <w:rPr>
      <w:rFonts w:ascii="Tahoma" w:hAnsi="Tahoma" w:cs="Tahoma"/>
      <w:sz w:val="16"/>
      <w:szCs w:val="16"/>
    </w:rPr>
  </w:style>
  <w:style w:type="character" w:customStyle="1" w:styleId="a9">
    <w:name w:val="Текст выноски Знак"/>
    <w:basedOn w:val="a0"/>
    <w:link w:val="a8"/>
    <w:uiPriority w:val="99"/>
    <w:semiHidden/>
    <w:rsid w:val="00520414"/>
    <w:rPr>
      <w:rFonts w:ascii="Tahoma" w:eastAsia="Times New Roman" w:hAnsi="Tahoma" w:cs="Tahoma"/>
      <w:sz w:val="16"/>
      <w:szCs w:val="16"/>
      <w:lang w:eastAsia="ru-RU"/>
    </w:rPr>
  </w:style>
  <w:style w:type="paragraph" w:styleId="aa">
    <w:name w:val="List Paragraph"/>
    <w:basedOn w:val="a"/>
    <w:uiPriority w:val="34"/>
    <w:qFormat/>
    <w:rsid w:val="00FC453A"/>
    <w:pPr>
      <w:ind w:left="720"/>
      <w:contextualSpacing/>
    </w:pPr>
  </w:style>
  <w:style w:type="character" w:styleId="ab">
    <w:name w:val="Hyperlink"/>
    <w:basedOn w:val="a0"/>
    <w:uiPriority w:val="99"/>
    <w:unhideWhenUsed/>
    <w:rsid w:val="00370909"/>
    <w:rPr>
      <w:color w:val="0000FF" w:themeColor="hyperlink"/>
      <w:u w:val="single"/>
    </w:rPr>
  </w:style>
  <w:style w:type="character" w:customStyle="1" w:styleId="extended-textshort">
    <w:name w:val="extended-text__short"/>
    <w:basedOn w:val="a0"/>
    <w:rsid w:val="00102CEC"/>
  </w:style>
  <w:style w:type="table" w:styleId="ac">
    <w:name w:val="Table Grid"/>
    <w:basedOn w:val="a1"/>
    <w:uiPriority w:val="99"/>
    <w:rsid w:val="00960CB6"/>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c"/>
    <w:uiPriority w:val="99"/>
    <w:rsid w:val="00250E5F"/>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2E0"/>
    <w:pPr>
      <w:widowControl w:val="0"/>
      <w:spacing w:after="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84C"/>
    <w:pPr>
      <w:tabs>
        <w:tab w:val="center" w:pos="4677"/>
        <w:tab w:val="right" w:pos="9355"/>
      </w:tabs>
    </w:pPr>
  </w:style>
  <w:style w:type="character" w:customStyle="1" w:styleId="a4">
    <w:name w:val="Верхний колонтитул Знак"/>
    <w:basedOn w:val="a0"/>
    <w:link w:val="a3"/>
    <w:uiPriority w:val="99"/>
    <w:rsid w:val="005B384C"/>
    <w:rPr>
      <w:rFonts w:ascii="Times New Roman" w:eastAsia="Times New Roman" w:hAnsi="Times New Roman" w:cs="Times New Roman"/>
      <w:sz w:val="20"/>
      <w:szCs w:val="20"/>
      <w:lang w:eastAsia="ru-RU"/>
    </w:rPr>
  </w:style>
  <w:style w:type="character" w:styleId="a5">
    <w:name w:val="page number"/>
    <w:basedOn w:val="a0"/>
    <w:rsid w:val="005B384C"/>
  </w:style>
  <w:style w:type="paragraph" w:styleId="a6">
    <w:name w:val="Normal (Web)"/>
    <w:basedOn w:val="a"/>
    <w:link w:val="a7"/>
    <w:uiPriority w:val="99"/>
    <w:rsid w:val="005B384C"/>
    <w:pPr>
      <w:widowControl/>
      <w:spacing w:before="100" w:beforeAutospacing="1" w:after="100" w:afterAutospacing="1"/>
    </w:pPr>
    <w:rPr>
      <w:sz w:val="24"/>
      <w:szCs w:val="24"/>
    </w:rPr>
  </w:style>
  <w:style w:type="paragraph" w:customStyle="1" w:styleId="21">
    <w:name w:val="Основной текст с отступом 21"/>
    <w:basedOn w:val="a"/>
    <w:uiPriority w:val="99"/>
    <w:rsid w:val="005B384C"/>
    <w:pPr>
      <w:ind w:firstLine="851"/>
      <w:jc w:val="both"/>
    </w:pPr>
    <w:rPr>
      <w:sz w:val="24"/>
    </w:rPr>
  </w:style>
  <w:style w:type="character" w:customStyle="1" w:styleId="a7">
    <w:name w:val="Обычный (веб) Знак"/>
    <w:link w:val="a6"/>
    <w:uiPriority w:val="99"/>
    <w:rsid w:val="005B384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20414"/>
    <w:rPr>
      <w:rFonts w:ascii="Tahoma" w:hAnsi="Tahoma" w:cs="Tahoma"/>
      <w:sz w:val="16"/>
      <w:szCs w:val="16"/>
    </w:rPr>
  </w:style>
  <w:style w:type="character" w:customStyle="1" w:styleId="a9">
    <w:name w:val="Текст выноски Знак"/>
    <w:basedOn w:val="a0"/>
    <w:link w:val="a8"/>
    <w:uiPriority w:val="99"/>
    <w:semiHidden/>
    <w:rsid w:val="00520414"/>
    <w:rPr>
      <w:rFonts w:ascii="Tahoma" w:eastAsia="Times New Roman" w:hAnsi="Tahoma" w:cs="Tahoma"/>
      <w:sz w:val="16"/>
      <w:szCs w:val="16"/>
      <w:lang w:eastAsia="ru-RU"/>
    </w:rPr>
  </w:style>
  <w:style w:type="paragraph" w:styleId="aa">
    <w:name w:val="List Paragraph"/>
    <w:basedOn w:val="a"/>
    <w:uiPriority w:val="34"/>
    <w:qFormat/>
    <w:rsid w:val="00FC453A"/>
    <w:pPr>
      <w:ind w:left="720"/>
      <w:contextualSpacing/>
    </w:pPr>
  </w:style>
  <w:style w:type="character" w:styleId="ab">
    <w:name w:val="Hyperlink"/>
    <w:basedOn w:val="a0"/>
    <w:uiPriority w:val="99"/>
    <w:unhideWhenUsed/>
    <w:rsid w:val="00370909"/>
    <w:rPr>
      <w:color w:val="0000FF" w:themeColor="hyperlink"/>
      <w:u w:val="single"/>
    </w:rPr>
  </w:style>
  <w:style w:type="character" w:customStyle="1" w:styleId="extended-textshort">
    <w:name w:val="extended-text__short"/>
    <w:basedOn w:val="a0"/>
    <w:rsid w:val="00102CEC"/>
  </w:style>
  <w:style w:type="table" w:styleId="ac">
    <w:name w:val="Table Grid"/>
    <w:basedOn w:val="a1"/>
    <w:uiPriority w:val="99"/>
    <w:rsid w:val="00960CB6"/>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c"/>
    <w:uiPriority w:val="99"/>
    <w:rsid w:val="00250E5F"/>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9819">
      <w:bodyDiv w:val="1"/>
      <w:marLeft w:val="0"/>
      <w:marRight w:val="0"/>
      <w:marTop w:val="0"/>
      <w:marBottom w:val="0"/>
      <w:divBdr>
        <w:top w:val="none" w:sz="0" w:space="0" w:color="auto"/>
        <w:left w:val="none" w:sz="0" w:space="0" w:color="auto"/>
        <w:bottom w:val="none" w:sz="0" w:space="0" w:color="auto"/>
        <w:right w:val="none" w:sz="0" w:space="0" w:color="auto"/>
      </w:divBdr>
    </w:div>
    <w:div w:id="153179810">
      <w:bodyDiv w:val="1"/>
      <w:marLeft w:val="0"/>
      <w:marRight w:val="0"/>
      <w:marTop w:val="0"/>
      <w:marBottom w:val="0"/>
      <w:divBdr>
        <w:top w:val="none" w:sz="0" w:space="0" w:color="auto"/>
        <w:left w:val="none" w:sz="0" w:space="0" w:color="auto"/>
        <w:bottom w:val="none" w:sz="0" w:space="0" w:color="auto"/>
        <w:right w:val="none" w:sz="0" w:space="0" w:color="auto"/>
      </w:divBdr>
    </w:div>
    <w:div w:id="512376751">
      <w:bodyDiv w:val="1"/>
      <w:marLeft w:val="0"/>
      <w:marRight w:val="0"/>
      <w:marTop w:val="0"/>
      <w:marBottom w:val="0"/>
      <w:divBdr>
        <w:top w:val="none" w:sz="0" w:space="0" w:color="auto"/>
        <w:left w:val="none" w:sz="0" w:space="0" w:color="auto"/>
        <w:bottom w:val="none" w:sz="0" w:space="0" w:color="auto"/>
        <w:right w:val="none" w:sz="0" w:space="0" w:color="auto"/>
      </w:divBdr>
    </w:div>
    <w:div w:id="580793327">
      <w:bodyDiv w:val="1"/>
      <w:marLeft w:val="0"/>
      <w:marRight w:val="0"/>
      <w:marTop w:val="0"/>
      <w:marBottom w:val="0"/>
      <w:divBdr>
        <w:top w:val="none" w:sz="0" w:space="0" w:color="auto"/>
        <w:left w:val="none" w:sz="0" w:space="0" w:color="auto"/>
        <w:bottom w:val="none" w:sz="0" w:space="0" w:color="auto"/>
        <w:right w:val="none" w:sz="0" w:space="0" w:color="auto"/>
      </w:divBdr>
    </w:div>
    <w:div w:id="1039234588">
      <w:bodyDiv w:val="1"/>
      <w:marLeft w:val="0"/>
      <w:marRight w:val="0"/>
      <w:marTop w:val="0"/>
      <w:marBottom w:val="0"/>
      <w:divBdr>
        <w:top w:val="none" w:sz="0" w:space="0" w:color="auto"/>
        <w:left w:val="none" w:sz="0" w:space="0" w:color="auto"/>
        <w:bottom w:val="none" w:sz="0" w:space="0" w:color="auto"/>
        <w:right w:val="none" w:sz="0" w:space="0" w:color="auto"/>
      </w:divBdr>
    </w:div>
    <w:div w:id="1051459715">
      <w:bodyDiv w:val="1"/>
      <w:marLeft w:val="0"/>
      <w:marRight w:val="0"/>
      <w:marTop w:val="0"/>
      <w:marBottom w:val="0"/>
      <w:divBdr>
        <w:top w:val="none" w:sz="0" w:space="0" w:color="auto"/>
        <w:left w:val="none" w:sz="0" w:space="0" w:color="auto"/>
        <w:bottom w:val="none" w:sz="0" w:space="0" w:color="auto"/>
        <w:right w:val="none" w:sz="0" w:space="0" w:color="auto"/>
      </w:divBdr>
    </w:div>
    <w:div w:id="1289774642">
      <w:bodyDiv w:val="1"/>
      <w:marLeft w:val="0"/>
      <w:marRight w:val="0"/>
      <w:marTop w:val="0"/>
      <w:marBottom w:val="0"/>
      <w:divBdr>
        <w:top w:val="none" w:sz="0" w:space="0" w:color="auto"/>
        <w:left w:val="none" w:sz="0" w:space="0" w:color="auto"/>
        <w:bottom w:val="none" w:sz="0" w:space="0" w:color="auto"/>
        <w:right w:val="none" w:sz="0" w:space="0" w:color="auto"/>
      </w:divBdr>
    </w:div>
    <w:div w:id="1373113196">
      <w:bodyDiv w:val="1"/>
      <w:marLeft w:val="0"/>
      <w:marRight w:val="0"/>
      <w:marTop w:val="0"/>
      <w:marBottom w:val="0"/>
      <w:divBdr>
        <w:top w:val="none" w:sz="0" w:space="0" w:color="auto"/>
        <w:left w:val="none" w:sz="0" w:space="0" w:color="auto"/>
        <w:bottom w:val="none" w:sz="0" w:space="0" w:color="auto"/>
        <w:right w:val="none" w:sz="0" w:space="0" w:color="auto"/>
      </w:divBdr>
    </w:div>
    <w:div w:id="1676304321">
      <w:bodyDiv w:val="1"/>
      <w:marLeft w:val="0"/>
      <w:marRight w:val="0"/>
      <w:marTop w:val="0"/>
      <w:marBottom w:val="0"/>
      <w:divBdr>
        <w:top w:val="none" w:sz="0" w:space="0" w:color="auto"/>
        <w:left w:val="none" w:sz="0" w:space="0" w:color="auto"/>
        <w:bottom w:val="none" w:sz="0" w:space="0" w:color="auto"/>
        <w:right w:val="none" w:sz="0" w:space="0" w:color="auto"/>
      </w:divBdr>
    </w:div>
    <w:div w:id="1761874370">
      <w:bodyDiv w:val="1"/>
      <w:marLeft w:val="0"/>
      <w:marRight w:val="0"/>
      <w:marTop w:val="0"/>
      <w:marBottom w:val="0"/>
      <w:divBdr>
        <w:top w:val="none" w:sz="0" w:space="0" w:color="auto"/>
        <w:left w:val="none" w:sz="0" w:space="0" w:color="auto"/>
        <w:bottom w:val="none" w:sz="0" w:space="0" w:color="auto"/>
        <w:right w:val="none" w:sz="0" w:space="0" w:color="auto"/>
      </w:divBdr>
    </w:div>
    <w:div w:id="1828934005">
      <w:bodyDiv w:val="1"/>
      <w:marLeft w:val="0"/>
      <w:marRight w:val="0"/>
      <w:marTop w:val="0"/>
      <w:marBottom w:val="0"/>
      <w:divBdr>
        <w:top w:val="none" w:sz="0" w:space="0" w:color="auto"/>
        <w:left w:val="none" w:sz="0" w:space="0" w:color="auto"/>
        <w:bottom w:val="none" w:sz="0" w:space="0" w:color="auto"/>
        <w:right w:val="none" w:sz="0" w:space="0" w:color="auto"/>
      </w:divBdr>
    </w:div>
    <w:div w:id="1862543883">
      <w:bodyDiv w:val="1"/>
      <w:marLeft w:val="0"/>
      <w:marRight w:val="0"/>
      <w:marTop w:val="0"/>
      <w:marBottom w:val="0"/>
      <w:divBdr>
        <w:top w:val="none" w:sz="0" w:space="0" w:color="auto"/>
        <w:left w:val="none" w:sz="0" w:space="0" w:color="auto"/>
        <w:bottom w:val="none" w:sz="0" w:space="0" w:color="auto"/>
        <w:right w:val="none" w:sz="0" w:space="0" w:color="auto"/>
      </w:divBdr>
    </w:div>
    <w:div w:id="1959481943">
      <w:bodyDiv w:val="1"/>
      <w:marLeft w:val="0"/>
      <w:marRight w:val="0"/>
      <w:marTop w:val="0"/>
      <w:marBottom w:val="0"/>
      <w:divBdr>
        <w:top w:val="none" w:sz="0" w:space="0" w:color="auto"/>
        <w:left w:val="none" w:sz="0" w:space="0" w:color="auto"/>
        <w:bottom w:val="none" w:sz="0" w:space="0" w:color="auto"/>
        <w:right w:val="none" w:sz="0" w:space="0" w:color="auto"/>
      </w:divBdr>
    </w:div>
    <w:div w:id="1976253556">
      <w:bodyDiv w:val="1"/>
      <w:marLeft w:val="0"/>
      <w:marRight w:val="0"/>
      <w:marTop w:val="0"/>
      <w:marBottom w:val="0"/>
      <w:divBdr>
        <w:top w:val="none" w:sz="0" w:space="0" w:color="auto"/>
        <w:left w:val="none" w:sz="0" w:space="0" w:color="auto"/>
        <w:bottom w:val="none" w:sz="0" w:space="0" w:color="auto"/>
        <w:right w:val="none" w:sz="0" w:space="0" w:color="auto"/>
      </w:divBdr>
    </w:div>
    <w:div w:id="1980109316">
      <w:bodyDiv w:val="1"/>
      <w:marLeft w:val="0"/>
      <w:marRight w:val="0"/>
      <w:marTop w:val="0"/>
      <w:marBottom w:val="0"/>
      <w:divBdr>
        <w:top w:val="none" w:sz="0" w:space="0" w:color="auto"/>
        <w:left w:val="none" w:sz="0" w:space="0" w:color="auto"/>
        <w:bottom w:val="none" w:sz="0" w:space="0" w:color="auto"/>
        <w:right w:val="none" w:sz="0" w:space="0" w:color="auto"/>
      </w:divBdr>
    </w:div>
    <w:div w:id="2099793186">
      <w:bodyDiv w:val="1"/>
      <w:marLeft w:val="0"/>
      <w:marRight w:val="0"/>
      <w:marTop w:val="0"/>
      <w:marBottom w:val="0"/>
      <w:divBdr>
        <w:top w:val="none" w:sz="0" w:space="0" w:color="auto"/>
        <w:left w:val="none" w:sz="0" w:space="0" w:color="auto"/>
        <w:bottom w:val="none" w:sz="0" w:space="0" w:color="auto"/>
        <w:right w:val="none" w:sz="0" w:space="0" w:color="auto"/>
      </w:divBdr>
    </w:div>
    <w:div w:id="212514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45A5E-5258-4C59-8E56-A4398005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10</Pages>
  <Words>4997</Words>
  <Characters>28487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RST</Company>
  <LinksUpToDate>false</LinksUpToDate>
  <CharactersWithSpaces>33418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0084</dc:creator>
  <cp:lastModifiedBy>333-01</cp:lastModifiedBy>
  <cp:revision>39</cp:revision>
  <cp:lastPrinted>2020-11-05T06:24:00Z</cp:lastPrinted>
  <dcterms:created xsi:type="dcterms:W3CDTF">2022-01-17T14:23:00Z</dcterms:created>
  <dcterms:modified xsi:type="dcterms:W3CDTF">2022-01-17T13:02:00Z</dcterms:modified>
</cp:coreProperties>
</file>