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A4" w:rsidRDefault="002A1BA4" w:rsidP="002A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расчету </w:t>
      </w:r>
      <w:r w:rsidRPr="002A1BA4">
        <w:rPr>
          <w:rFonts w:ascii="Times New Roman" w:hAnsi="Times New Roman" w:cs="Times New Roman"/>
          <w:b/>
          <w:sz w:val="24"/>
          <w:szCs w:val="24"/>
        </w:rPr>
        <w:t>индикативн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A1BA4">
        <w:rPr>
          <w:rFonts w:ascii="Times New Roman" w:hAnsi="Times New Roman" w:cs="Times New Roman"/>
          <w:b/>
          <w:sz w:val="24"/>
          <w:szCs w:val="24"/>
        </w:rPr>
        <w:t xml:space="preserve"> предельн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A1BA4">
        <w:rPr>
          <w:rFonts w:ascii="Times New Roman" w:hAnsi="Times New Roman" w:cs="Times New Roman"/>
          <w:b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2A1B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BA4" w:rsidRPr="002A1BA4" w:rsidRDefault="002A1BA4" w:rsidP="002A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A4">
        <w:rPr>
          <w:rFonts w:ascii="Times New Roman" w:hAnsi="Times New Roman" w:cs="Times New Roman"/>
          <w:b/>
          <w:sz w:val="24"/>
          <w:szCs w:val="24"/>
        </w:rPr>
        <w:t>цены на тепловую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52F8B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1BA4" w:rsidRDefault="002A1BA4" w:rsidP="002A1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9E" w:rsidRDefault="00E0149E" w:rsidP="00BE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9 части 3 статьи 7 Федерального закона от 27 июля 2010 года № 190-ФЗ «О теплоснабжении» Департаментом энергетики и тарифов Ивановской области рассчитаны 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индикативные предельные 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цен на тепловую энергию в поселениях и городских округах Ивановской области, не отнесенных к ценовым зонам теплоснабжения. </w:t>
      </w:r>
    </w:p>
    <w:p w:rsidR="00D2391D" w:rsidRDefault="00D2391D" w:rsidP="00BE2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выполнен в соответствии с </w:t>
      </w:r>
      <w:r w:rsidRPr="00EA0C09">
        <w:rPr>
          <w:rFonts w:ascii="Times New Roman" w:hAnsi="Times New Roman" w:cs="Times New Roman"/>
          <w:sz w:val="24"/>
          <w:szCs w:val="24"/>
        </w:rPr>
        <w:t xml:space="preserve">Правилами определения в ценовых зонах теплоснабжения предельного уровня цены на тепловую энергию (мощность), включая правила индексации </w:t>
      </w:r>
      <w:r w:rsidRPr="0099660E">
        <w:rPr>
          <w:rFonts w:ascii="Times New Roman" w:hAnsi="Times New Roman" w:cs="Times New Roman"/>
          <w:sz w:val="24"/>
          <w:szCs w:val="24"/>
        </w:rPr>
        <w:t xml:space="preserve">предельного уровня цены на тепловую энергию (мощность), утвержденными </w:t>
      </w: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15.12.2017 № 1562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Правила)</w:t>
      </w: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BA4" w:rsidRDefault="00D42533" w:rsidP="002A1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46 Правил </w:t>
      </w:r>
      <w:r w:rsidR="002A1BA4">
        <w:rPr>
          <w:rFonts w:ascii="Times New Roman" w:hAnsi="Times New Roman" w:cs="Times New Roman"/>
          <w:sz w:val="24"/>
          <w:szCs w:val="24"/>
        </w:rPr>
        <w:t>предельный уровень цены на тепловую энергию (мощность)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регулирования.</w:t>
      </w:r>
    </w:p>
    <w:p w:rsidR="002A1BA4" w:rsidRDefault="002A1BA4" w:rsidP="002A1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вышеизложенного, индикативный предельный уровень цены на тепловую энергию на первое полугодие 202</w:t>
      </w:r>
      <w:r w:rsidR="00052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Департаментом не рассчитывался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тарифа на первое полугодие 202</w:t>
      </w:r>
      <w:r w:rsidR="00052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соответствует уровню </w:t>
      </w:r>
      <w:r w:rsidR="00D4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тарифа 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полугодия 20</w:t>
      </w:r>
      <w:r w:rsidR="00BC7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45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расчет которого размещен на сайте Департамента в разделе «Открытые данные – Тарифы – Тарифы на 20</w:t>
      </w:r>
      <w:r w:rsidR="00BC7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45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Предельны</w:t>
      </w:r>
      <w:r w:rsidR="00CD079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="00CD07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07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на тепловую энергию 20</w:t>
      </w:r>
      <w:r w:rsidR="00BC7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45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F1890" w:rsidRPr="0099660E" w:rsidRDefault="00E0149E" w:rsidP="00D3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расчета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индикативного предельного уровня цены на тепловую энергию на второе полугодие 20</w:t>
      </w:r>
      <w:r w:rsidR="003A31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2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«Сводная таблица тарифов</w:t>
      </w:r>
      <w:r w:rsidR="00D4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52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5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91D" w:rsidRPr="0099660E" w:rsidRDefault="00D2391D" w:rsidP="00BE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не является нормативно-правовым актом и носит исключительно информационный характер. Тарифы, указанные в приложении, не могут использоваться при расчетах с потребителями за тепловую энергию в 20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2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A0C09" w:rsidRPr="0099660E" w:rsidRDefault="00EA0C09" w:rsidP="00BE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отмечаем. </w:t>
      </w:r>
    </w:p>
    <w:p w:rsidR="00EA0C09" w:rsidRPr="00EA0C09" w:rsidRDefault="00EA0C09" w:rsidP="00BE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Предельный уровень цены не </w:t>
      </w:r>
      <w:r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зависит от затрат </w:t>
      </w:r>
      <w:r w:rsidR="006023DB"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существующих </w:t>
      </w:r>
      <w:r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теплоснабжающих и теплосетевых организаций, он определяется методом </w:t>
      </w:r>
      <w:r w:rsidR="006023DB"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эталонных затрат </w:t>
      </w:r>
      <w:r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основе наилучших доступных технологий. В качестве такого альтернативного теплоснабжения выбрана поставка тепловой энергии (мощности) от современной котельной</w:t>
      </w: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Именно поэтому предельный уровень цены часто называют </w:t>
      </w:r>
      <w:r w:rsidRPr="00EA0C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ценой «альтернативной котельной»</w:t>
      </w: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4706" w:rsidRDefault="00EA0C09" w:rsidP="00BE25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Расчет цены «альтернативной котельной» основан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C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идеальной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A0C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модели</w:t>
      </w: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теплоснабжения в среднестатистическом российском городе современного жилого квартала</w:t>
      </w:r>
      <w:r w:rsidR="00E6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64706" w:rsidRPr="00E64706" w:rsidRDefault="00EA0C09" w:rsidP="00BE25A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численностью населения 3000-4000 человек</w:t>
      </w:r>
      <w:r w:rsidR="00E6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64706" w:rsidRDefault="00EA0C09" w:rsidP="00BE25A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</w:t>
      </w:r>
      <w:r w:rsidR="007145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источника тепловой энергии до потребителя -</w:t>
      </w:r>
      <w:r w:rsidRP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850 метров</w:t>
      </w:r>
      <w:r w:rsid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4706" w:rsidRPr="004308E4" w:rsidRDefault="00E64706" w:rsidP="00BE25A7">
      <w:pPr>
        <w:numPr>
          <w:ilvl w:val="0"/>
          <w:numId w:val="2"/>
        </w:num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жилищной застройки – 18 этажей;</w:t>
      </w:r>
    </w:p>
    <w:p w:rsidR="00E64706" w:rsidRPr="004308E4" w:rsidRDefault="00E64706" w:rsidP="00BE25A7">
      <w:pPr>
        <w:numPr>
          <w:ilvl w:val="0"/>
          <w:numId w:val="2"/>
        </w:num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тепловой энергии</w:t>
      </w:r>
      <w:r w:rsidR="00B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Гкал;</w:t>
      </w:r>
    </w:p>
    <w:p w:rsidR="00E64706" w:rsidRPr="004308E4" w:rsidRDefault="00E64706" w:rsidP="00BE25A7">
      <w:pPr>
        <w:numPr>
          <w:ilvl w:val="0"/>
          <w:numId w:val="2"/>
        </w:num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котельной</w:t>
      </w:r>
      <w:r w:rsidR="00B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="00A279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Вт;</w:t>
      </w:r>
    </w:p>
    <w:p w:rsidR="00F207A7" w:rsidRDefault="00E64706" w:rsidP="00BE25A7">
      <w:pPr>
        <w:numPr>
          <w:ilvl w:val="0"/>
          <w:numId w:val="2"/>
        </w:num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топлива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производстве тепловой энергии - 156,10 кг</w:t>
      </w:r>
      <w:r w:rsidR="002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ут/Гкал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газе)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>176,4</w:t>
      </w:r>
      <w:r w:rsidR="0004235A" w:rsidRP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2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ут/Гкал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</w:t>
      </w:r>
      <w:r w:rsidR="0004235A" w:rsidRP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235A" w:rsidRP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167,1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2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ут/Гкал</w:t>
      </w:r>
      <w:r w:rsidR="003B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мазуте).</w:t>
      </w:r>
    </w:p>
    <w:p w:rsidR="00F207A7" w:rsidRPr="006023DB" w:rsidRDefault="00F207A7" w:rsidP="00BE25A7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</w:t>
      </w:r>
      <w:r w:rsidR="00BE25A7"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Ивановской области </w:t>
      </w:r>
      <w:proofErr w:type="gramStart"/>
      <w:r w:rsidR="00BE25A7"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бо́льшая</w:t>
      </w:r>
      <w:proofErr w:type="gramEnd"/>
      <w:r w:rsidR="00BE25A7"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</w:t>
      </w:r>
      <w:r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5A7"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теплоснабжающих организаций</w:t>
      </w:r>
      <w:r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производство</w:t>
      </w:r>
      <w:r w:rsidR="00F547C9"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передачу и сбыт</w:t>
      </w:r>
      <w:r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потребителям, не имеет объектов теплоснабжения, соответствующих критериям технико-экономических параметров работы «альтернативной котельной».</w:t>
      </w:r>
    </w:p>
    <w:p w:rsidR="00AB5551" w:rsidRPr="006023DB" w:rsidRDefault="00372EBA" w:rsidP="00BE25A7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сопоставление тарифов действующих источников тепловой энергии </w:t>
      </w:r>
      <w:r w:rsidR="00FA34A0"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</w:t>
      </w:r>
      <w:r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ценой «альтернативной котельной» корректно</w:t>
      </w:r>
      <w:r w:rsidR="006023DB"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целях определения эффективности или неэффективности существующих систем теплоснабжения</w:t>
      </w:r>
      <w:r w:rsidR="0036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принятия решений о их оптимизации</w:t>
      </w:r>
      <w:r w:rsidRPr="006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sectPr w:rsidR="00AB5551" w:rsidRPr="006023DB" w:rsidSect="00520C93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3C0D"/>
    <w:multiLevelType w:val="multilevel"/>
    <w:tmpl w:val="1564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C1CBA"/>
    <w:multiLevelType w:val="hybridMultilevel"/>
    <w:tmpl w:val="A174886E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406"/>
    <w:rsid w:val="0004235A"/>
    <w:rsid w:val="00052F8B"/>
    <w:rsid w:val="00166027"/>
    <w:rsid w:val="002543AD"/>
    <w:rsid w:val="00256406"/>
    <w:rsid w:val="002A1BA4"/>
    <w:rsid w:val="00364AC7"/>
    <w:rsid w:val="00372EBA"/>
    <w:rsid w:val="003A3161"/>
    <w:rsid w:val="003B2726"/>
    <w:rsid w:val="003C6238"/>
    <w:rsid w:val="004B11B7"/>
    <w:rsid w:val="00520C93"/>
    <w:rsid w:val="005B14BB"/>
    <w:rsid w:val="005F1890"/>
    <w:rsid w:val="006023DB"/>
    <w:rsid w:val="006304BB"/>
    <w:rsid w:val="006B2E65"/>
    <w:rsid w:val="0071450F"/>
    <w:rsid w:val="00780CEA"/>
    <w:rsid w:val="008564C8"/>
    <w:rsid w:val="009172B9"/>
    <w:rsid w:val="0099404C"/>
    <w:rsid w:val="0099660E"/>
    <w:rsid w:val="00A2791E"/>
    <w:rsid w:val="00A66D36"/>
    <w:rsid w:val="00AB5551"/>
    <w:rsid w:val="00BC7DC3"/>
    <w:rsid w:val="00BE25A7"/>
    <w:rsid w:val="00C4215E"/>
    <w:rsid w:val="00CD0798"/>
    <w:rsid w:val="00D2391D"/>
    <w:rsid w:val="00D35DDD"/>
    <w:rsid w:val="00D42533"/>
    <w:rsid w:val="00E0149E"/>
    <w:rsid w:val="00E64706"/>
    <w:rsid w:val="00EA0C09"/>
    <w:rsid w:val="00F207A7"/>
    <w:rsid w:val="00F547C9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Турбачкина</dc:creator>
  <cp:lastModifiedBy>Турбачкина Е.В.</cp:lastModifiedBy>
  <cp:revision>31</cp:revision>
  <dcterms:created xsi:type="dcterms:W3CDTF">2019-03-07T06:18:00Z</dcterms:created>
  <dcterms:modified xsi:type="dcterms:W3CDTF">2022-12-20T11:30:00Z</dcterms:modified>
</cp:coreProperties>
</file>