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F5" w:rsidRPr="00FD40D3" w:rsidRDefault="001F61F5" w:rsidP="00D83845">
      <w:pPr>
        <w:tabs>
          <w:tab w:val="left" w:pos="2694"/>
          <w:tab w:val="left" w:pos="8789"/>
        </w:tabs>
        <w:spacing w:line="264" w:lineRule="auto"/>
        <w:contextualSpacing/>
        <w:jc w:val="right"/>
        <w:rPr>
          <w:b/>
          <w:sz w:val="24"/>
          <w:szCs w:val="24"/>
        </w:rPr>
      </w:pPr>
      <w:r w:rsidRPr="00FD40D3">
        <w:rPr>
          <w:b/>
          <w:sz w:val="24"/>
          <w:szCs w:val="24"/>
        </w:rPr>
        <w:t>Утверждаю</w:t>
      </w:r>
    </w:p>
    <w:p w:rsidR="001F61F5" w:rsidRPr="00FD40D3" w:rsidRDefault="00F504C8" w:rsidP="00D83845">
      <w:pPr>
        <w:tabs>
          <w:tab w:val="left" w:pos="8789"/>
        </w:tabs>
        <w:spacing w:line="264" w:lineRule="auto"/>
        <w:contextualSpacing/>
        <w:jc w:val="right"/>
        <w:rPr>
          <w:sz w:val="24"/>
          <w:szCs w:val="24"/>
        </w:rPr>
      </w:pPr>
      <w:r w:rsidRPr="00FD40D3">
        <w:rPr>
          <w:sz w:val="24"/>
          <w:szCs w:val="24"/>
        </w:rPr>
        <w:t>П</w:t>
      </w:r>
      <w:r w:rsidR="001F61F5" w:rsidRPr="00FD40D3">
        <w:rPr>
          <w:sz w:val="24"/>
          <w:szCs w:val="24"/>
        </w:rPr>
        <w:t>редседател</w:t>
      </w:r>
      <w:r w:rsidRPr="00FD40D3">
        <w:rPr>
          <w:sz w:val="24"/>
          <w:szCs w:val="24"/>
        </w:rPr>
        <w:t>ь</w:t>
      </w:r>
      <w:r w:rsidR="001F61F5" w:rsidRPr="00FD40D3">
        <w:rPr>
          <w:sz w:val="24"/>
          <w:szCs w:val="24"/>
        </w:rPr>
        <w:t xml:space="preserve"> Правления</w:t>
      </w:r>
    </w:p>
    <w:p w:rsidR="001F61F5" w:rsidRPr="00FD40D3" w:rsidRDefault="001F61F5" w:rsidP="00D83845">
      <w:pPr>
        <w:tabs>
          <w:tab w:val="left" w:pos="8789"/>
        </w:tabs>
        <w:spacing w:line="264" w:lineRule="auto"/>
        <w:contextualSpacing/>
        <w:jc w:val="right"/>
        <w:rPr>
          <w:sz w:val="24"/>
          <w:szCs w:val="24"/>
        </w:rPr>
      </w:pPr>
      <w:r w:rsidRPr="00FD40D3">
        <w:rPr>
          <w:sz w:val="24"/>
          <w:szCs w:val="24"/>
        </w:rPr>
        <w:t>Департамента энергетики и тарифов</w:t>
      </w:r>
    </w:p>
    <w:p w:rsidR="001F61F5" w:rsidRPr="00FD40D3" w:rsidRDefault="001F61F5" w:rsidP="00D83845">
      <w:pPr>
        <w:tabs>
          <w:tab w:val="left" w:pos="8789"/>
        </w:tabs>
        <w:spacing w:line="264" w:lineRule="auto"/>
        <w:contextualSpacing/>
        <w:jc w:val="right"/>
        <w:rPr>
          <w:sz w:val="24"/>
          <w:szCs w:val="24"/>
        </w:rPr>
      </w:pPr>
      <w:r w:rsidRPr="00FD40D3">
        <w:rPr>
          <w:sz w:val="24"/>
          <w:szCs w:val="24"/>
        </w:rPr>
        <w:t>Ивановской области</w:t>
      </w:r>
    </w:p>
    <w:p w:rsidR="001F61F5" w:rsidRPr="00FD40D3" w:rsidRDefault="001F61F5" w:rsidP="00D83845">
      <w:pPr>
        <w:tabs>
          <w:tab w:val="left" w:pos="8789"/>
        </w:tabs>
        <w:spacing w:line="264" w:lineRule="auto"/>
        <w:contextualSpacing/>
        <w:jc w:val="right"/>
        <w:rPr>
          <w:sz w:val="24"/>
          <w:szCs w:val="24"/>
        </w:rPr>
      </w:pPr>
    </w:p>
    <w:p w:rsidR="001F61F5" w:rsidRPr="00FD40D3" w:rsidRDefault="001F61F5" w:rsidP="00D83845">
      <w:pPr>
        <w:tabs>
          <w:tab w:val="left" w:pos="8789"/>
        </w:tabs>
        <w:spacing w:line="264" w:lineRule="auto"/>
        <w:contextualSpacing/>
        <w:jc w:val="right"/>
        <w:rPr>
          <w:b/>
          <w:sz w:val="24"/>
          <w:szCs w:val="24"/>
        </w:rPr>
      </w:pPr>
      <w:r w:rsidRPr="00FD40D3">
        <w:rPr>
          <w:sz w:val="24"/>
          <w:szCs w:val="24"/>
        </w:rPr>
        <w:t>______________________</w:t>
      </w:r>
      <w:r w:rsidR="00651AC2" w:rsidRPr="00FD40D3">
        <w:rPr>
          <w:sz w:val="24"/>
          <w:szCs w:val="24"/>
        </w:rPr>
        <w:t xml:space="preserve">Е.Н. </w:t>
      </w:r>
      <w:proofErr w:type="spellStart"/>
      <w:r w:rsidR="00651AC2" w:rsidRPr="00FD40D3">
        <w:rPr>
          <w:sz w:val="24"/>
          <w:szCs w:val="24"/>
        </w:rPr>
        <w:t>Морева</w:t>
      </w:r>
      <w:proofErr w:type="spellEnd"/>
    </w:p>
    <w:p w:rsidR="001F61F5" w:rsidRPr="00FD40D3" w:rsidRDefault="001F61F5" w:rsidP="00D83845">
      <w:pPr>
        <w:tabs>
          <w:tab w:val="left" w:pos="8789"/>
        </w:tabs>
        <w:spacing w:line="264" w:lineRule="auto"/>
        <w:contextualSpacing/>
        <w:jc w:val="center"/>
        <w:rPr>
          <w:b/>
          <w:sz w:val="16"/>
          <w:szCs w:val="16"/>
          <w:u w:val="single"/>
        </w:rPr>
      </w:pPr>
    </w:p>
    <w:p w:rsidR="001F61F5" w:rsidRPr="00FD40D3" w:rsidRDefault="001F61F5" w:rsidP="00D83845">
      <w:pPr>
        <w:tabs>
          <w:tab w:val="left" w:pos="8789"/>
        </w:tabs>
        <w:spacing w:line="264" w:lineRule="auto"/>
        <w:contextualSpacing/>
        <w:jc w:val="center"/>
        <w:rPr>
          <w:b/>
          <w:sz w:val="24"/>
          <w:szCs w:val="24"/>
          <w:u w:val="single"/>
        </w:rPr>
      </w:pPr>
      <w:proofErr w:type="gramStart"/>
      <w:r w:rsidRPr="00FD40D3">
        <w:rPr>
          <w:b/>
          <w:sz w:val="24"/>
          <w:szCs w:val="24"/>
          <w:u w:val="single"/>
        </w:rPr>
        <w:t>П</w:t>
      </w:r>
      <w:proofErr w:type="gramEnd"/>
      <w:r w:rsidRPr="00FD40D3">
        <w:rPr>
          <w:b/>
          <w:sz w:val="24"/>
          <w:szCs w:val="24"/>
          <w:u w:val="single"/>
        </w:rPr>
        <w:t xml:space="preserve"> Р О Т О К О Л  № </w:t>
      </w:r>
      <w:r w:rsidR="00D600D6" w:rsidRPr="00FD40D3">
        <w:rPr>
          <w:b/>
          <w:sz w:val="24"/>
          <w:szCs w:val="24"/>
          <w:u w:val="single"/>
        </w:rPr>
        <w:t>1</w:t>
      </w:r>
      <w:r w:rsidR="00FD40D3" w:rsidRPr="00FD40D3">
        <w:rPr>
          <w:b/>
          <w:sz w:val="24"/>
          <w:szCs w:val="24"/>
          <w:u w:val="single"/>
        </w:rPr>
        <w:t>5</w:t>
      </w:r>
      <w:r w:rsidR="00A80C29" w:rsidRPr="00FD40D3">
        <w:rPr>
          <w:b/>
          <w:sz w:val="24"/>
          <w:szCs w:val="24"/>
          <w:u w:val="single"/>
        </w:rPr>
        <w:t>/</w:t>
      </w:r>
      <w:r w:rsidR="00D600D6" w:rsidRPr="00FD40D3">
        <w:rPr>
          <w:b/>
          <w:sz w:val="24"/>
          <w:szCs w:val="24"/>
          <w:u w:val="single"/>
        </w:rPr>
        <w:t>1</w:t>
      </w:r>
      <w:r w:rsidR="00082273" w:rsidRPr="00FD40D3">
        <w:rPr>
          <w:b/>
          <w:sz w:val="24"/>
          <w:szCs w:val="24"/>
          <w:u w:val="single"/>
        </w:rPr>
        <w:t xml:space="preserve">  </w:t>
      </w:r>
    </w:p>
    <w:p w:rsidR="001F61F5" w:rsidRPr="00FD40D3" w:rsidRDefault="001F61F5" w:rsidP="00D83845">
      <w:pPr>
        <w:tabs>
          <w:tab w:val="left" w:pos="8789"/>
        </w:tabs>
        <w:spacing w:line="264" w:lineRule="auto"/>
        <w:contextualSpacing/>
        <w:jc w:val="center"/>
        <w:rPr>
          <w:sz w:val="24"/>
          <w:szCs w:val="24"/>
        </w:rPr>
      </w:pPr>
      <w:r w:rsidRPr="00FD40D3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1F61F5" w:rsidRPr="00FD40D3" w:rsidRDefault="001F61F5" w:rsidP="00D83845">
      <w:pPr>
        <w:tabs>
          <w:tab w:val="left" w:pos="8789"/>
        </w:tabs>
        <w:spacing w:line="264" w:lineRule="auto"/>
        <w:contextualSpacing/>
        <w:jc w:val="center"/>
        <w:rPr>
          <w:sz w:val="24"/>
          <w:szCs w:val="24"/>
        </w:rPr>
      </w:pPr>
    </w:p>
    <w:p w:rsidR="001F61F5" w:rsidRPr="00FD40D3" w:rsidRDefault="00FD40D3" w:rsidP="00D83845">
      <w:pPr>
        <w:spacing w:line="264" w:lineRule="auto"/>
        <w:contextualSpacing/>
        <w:rPr>
          <w:color w:val="FF0000"/>
          <w:sz w:val="24"/>
          <w:szCs w:val="24"/>
        </w:rPr>
      </w:pPr>
      <w:r w:rsidRPr="00FD40D3">
        <w:rPr>
          <w:sz w:val="24"/>
          <w:szCs w:val="24"/>
        </w:rPr>
        <w:t>28</w:t>
      </w:r>
      <w:r w:rsidR="00D563B0" w:rsidRPr="00FD40D3">
        <w:rPr>
          <w:sz w:val="24"/>
          <w:szCs w:val="24"/>
        </w:rPr>
        <w:t xml:space="preserve"> </w:t>
      </w:r>
      <w:r w:rsidRPr="00FD40D3">
        <w:rPr>
          <w:sz w:val="24"/>
          <w:szCs w:val="24"/>
        </w:rPr>
        <w:t>апреля</w:t>
      </w:r>
      <w:r w:rsidR="001F61F5" w:rsidRPr="00FD40D3">
        <w:rPr>
          <w:sz w:val="24"/>
          <w:szCs w:val="24"/>
        </w:rPr>
        <w:t xml:space="preserve"> 202</w:t>
      </w:r>
      <w:r w:rsidR="007E5F56" w:rsidRPr="00FD40D3">
        <w:rPr>
          <w:sz w:val="24"/>
          <w:szCs w:val="24"/>
        </w:rPr>
        <w:t>2</w:t>
      </w:r>
      <w:r w:rsidR="001F61F5" w:rsidRPr="00FD40D3">
        <w:rPr>
          <w:sz w:val="24"/>
          <w:szCs w:val="24"/>
        </w:rPr>
        <w:t xml:space="preserve"> г.</w:t>
      </w:r>
      <w:r w:rsidR="001F61F5" w:rsidRPr="00FD40D3">
        <w:rPr>
          <w:sz w:val="24"/>
          <w:szCs w:val="24"/>
        </w:rPr>
        <w:tab/>
        <w:t xml:space="preserve"> </w:t>
      </w:r>
      <w:r w:rsidR="001F61F5" w:rsidRPr="00FD40D3">
        <w:rPr>
          <w:sz w:val="24"/>
          <w:szCs w:val="24"/>
        </w:rPr>
        <w:tab/>
      </w:r>
      <w:r w:rsidR="001F61F5" w:rsidRPr="00FD40D3">
        <w:rPr>
          <w:sz w:val="24"/>
          <w:szCs w:val="24"/>
        </w:rPr>
        <w:tab/>
      </w:r>
      <w:r w:rsidR="001F61F5" w:rsidRPr="00FD40D3">
        <w:rPr>
          <w:sz w:val="24"/>
          <w:szCs w:val="24"/>
        </w:rPr>
        <w:tab/>
      </w:r>
      <w:r w:rsidR="008624C2" w:rsidRPr="00FD40D3">
        <w:rPr>
          <w:sz w:val="24"/>
          <w:szCs w:val="24"/>
        </w:rPr>
        <w:t xml:space="preserve">           </w:t>
      </w:r>
      <w:r w:rsidR="001F61F5" w:rsidRPr="00FD40D3">
        <w:rPr>
          <w:sz w:val="24"/>
          <w:szCs w:val="24"/>
        </w:rPr>
        <w:tab/>
      </w:r>
      <w:r w:rsidR="001F61F5" w:rsidRPr="00FD40D3">
        <w:rPr>
          <w:sz w:val="24"/>
          <w:szCs w:val="24"/>
        </w:rPr>
        <w:tab/>
      </w:r>
      <w:r w:rsidR="001F61F5" w:rsidRPr="00FD40D3">
        <w:rPr>
          <w:sz w:val="24"/>
          <w:szCs w:val="24"/>
        </w:rPr>
        <w:tab/>
        <w:t xml:space="preserve">    </w:t>
      </w:r>
      <w:r w:rsidR="00CE398E" w:rsidRPr="00FD40D3">
        <w:rPr>
          <w:sz w:val="24"/>
          <w:szCs w:val="24"/>
        </w:rPr>
        <w:t xml:space="preserve">                     </w:t>
      </w:r>
      <w:r w:rsidR="001F61F5" w:rsidRPr="00FD40D3">
        <w:rPr>
          <w:sz w:val="24"/>
          <w:szCs w:val="24"/>
        </w:rPr>
        <w:t xml:space="preserve">          </w:t>
      </w:r>
      <w:r w:rsidR="00BE79D0" w:rsidRPr="00FD40D3">
        <w:rPr>
          <w:sz w:val="24"/>
          <w:szCs w:val="24"/>
        </w:rPr>
        <w:t xml:space="preserve">       </w:t>
      </w:r>
      <w:r w:rsidR="001F61F5" w:rsidRPr="00FD40D3">
        <w:rPr>
          <w:sz w:val="24"/>
          <w:szCs w:val="24"/>
        </w:rPr>
        <w:t>г. Иваново</w:t>
      </w:r>
    </w:p>
    <w:p w:rsidR="001F61F5" w:rsidRPr="00FD40D3" w:rsidRDefault="001F61F5" w:rsidP="00D83845">
      <w:pPr>
        <w:tabs>
          <w:tab w:val="left" w:pos="8789"/>
        </w:tabs>
        <w:spacing w:line="264" w:lineRule="auto"/>
        <w:contextualSpacing/>
        <w:jc w:val="center"/>
        <w:rPr>
          <w:color w:val="FF0000"/>
          <w:sz w:val="16"/>
          <w:szCs w:val="16"/>
        </w:rPr>
      </w:pPr>
    </w:p>
    <w:p w:rsidR="001F61F5" w:rsidRPr="000C17C3" w:rsidRDefault="001F61F5" w:rsidP="00D83845">
      <w:pPr>
        <w:pStyle w:val="24"/>
        <w:widowControl/>
        <w:spacing w:line="264" w:lineRule="auto"/>
        <w:ind w:firstLine="0"/>
        <w:contextualSpacing/>
        <w:rPr>
          <w:szCs w:val="24"/>
        </w:rPr>
      </w:pPr>
      <w:r w:rsidRPr="000C17C3">
        <w:rPr>
          <w:szCs w:val="24"/>
        </w:rPr>
        <w:t>Присутствовали:</w:t>
      </w:r>
    </w:p>
    <w:p w:rsidR="001F61F5" w:rsidRPr="000C17C3" w:rsidRDefault="00530401" w:rsidP="00D83845">
      <w:pPr>
        <w:pStyle w:val="24"/>
        <w:widowControl/>
        <w:spacing w:line="264" w:lineRule="auto"/>
        <w:ind w:firstLine="0"/>
        <w:contextualSpacing/>
        <w:rPr>
          <w:szCs w:val="24"/>
        </w:rPr>
      </w:pPr>
      <w:r w:rsidRPr="000C17C3">
        <w:rPr>
          <w:szCs w:val="24"/>
        </w:rPr>
        <w:t>П</w:t>
      </w:r>
      <w:r w:rsidR="001F61F5" w:rsidRPr="000C17C3">
        <w:rPr>
          <w:szCs w:val="24"/>
        </w:rPr>
        <w:t>редседател</w:t>
      </w:r>
      <w:r w:rsidR="008B478F" w:rsidRPr="000C17C3">
        <w:rPr>
          <w:szCs w:val="24"/>
        </w:rPr>
        <w:t>ь</w:t>
      </w:r>
      <w:r w:rsidR="001F61F5" w:rsidRPr="000C17C3">
        <w:rPr>
          <w:szCs w:val="24"/>
        </w:rPr>
        <w:t xml:space="preserve"> Правления: </w:t>
      </w:r>
      <w:proofErr w:type="spellStart"/>
      <w:r w:rsidR="00651AC2" w:rsidRPr="000C17C3">
        <w:rPr>
          <w:szCs w:val="24"/>
        </w:rPr>
        <w:t>Морева</w:t>
      </w:r>
      <w:proofErr w:type="spellEnd"/>
      <w:r w:rsidR="00651AC2" w:rsidRPr="000C17C3">
        <w:rPr>
          <w:szCs w:val="24"/>
        </w:rPr>
        <w:t xml:space="preserve"> Е.Н.</w:t>
      </w:r>
    </w:p>
    <w:p w:rsidR="001F61F5" w:rsidRPr="000C17C3" w:rsidRDefault="001F61F5" w:rsidP="00D83845">
      <w:pPr>
        <w:pStyle w:val="24"/>
        <w:widowControl/>
        <w:spacing w:line="264" w:lineRule="auto"/>
        <w:ind w:firstLine="0"/>
        <w:contextualSpacing/>
        <w:rPr>
          <w:szCs w:val="24"/>
        </w:rPr>
      </w:pPr>
      <w:r w:rsidRPr="000C17C3">
        <w:rPr>
          <w:szCs w:val="24"/>
        </w:rPr>
        <w:t xml:space="preserve">Члены Правления: </w:t>
      </w:r>
      <w:r w:rsidR="00BF65B7" w:rsidRPr="000C17C3">
        <w:rPr>
          <w:szCs w:val="24"/>
        </w:rPr>
        <w:t xml:space="preserve">Агапова О.П., </w:t>
      </w:r>
      <w:r w:rsidR="00651AC2" w:rsidRPr="000C17C3">
        <w:rPr>
          <w:szCs w:val="24"/>
        </w:rPr>
        <w:t xml:space="preserve">Бугаева С.Е., </w:t>
      </w:r>
      <w:r w:rsidR="001D0CEA" w:rsidRPr="000C17C3">
        <w:rPr>
          <w:szCs w:val="24"/>
        </w:rPr>
        <w:t xml:space="preserve">Грехов М.В. (от УФАС России по Ивановской области на праве совещательного голоса, участие в голосовании не принимает), </w:t>
      </w:r>
      <w:proofErr w:type="spellStart"/>
      <w:r w:rsidR="00D563B0" w:rsidRPr="000C17C3">
        <w:rPr>
          <w:szCs w:val="24"/>
        </w:rPr>
        <w:t>Коннова</w:t>
      </w:r>
      <w:proofErr w:type="spellEnd"/>
      <w:r w:rsidR="00D563B0" w:rsidRPr="000C17C3">
        <w:rPr>
          <w:szCs w:val="24"/>
        </w:rPr>
        <w:t xml:space="preserve"> Е.А.,</w:t>
      </w:r>
      <w:r w:rsidR="00AA338B" w:rsidRPr="000C17C3">
        <w:rPr>
          <w:szCs w:val="24"/>
        </w:rPr>
        <w:t xml:space="preserve"> </w:t>
      </w:r>
      <w:proofErr w:type="spellStart"/>
      <w:r w:rsidR="00AA338B" w:rsidRPr="000C17C3">
        <w:rPr>
          <w:szCs w:val="24"/>
        </w:rPr>
        <w:t>Турбачкина</w:t>
      </w:r>
      <w:proofErr w:type="spellEnd"/>
      <w:r w:rsidR="00AA338B" w:rsidRPr="000C17C3">
        <w:rPr>
          <w:szCs w:val="24"/>
        </w:rPr>
        <w:t xml:space="preserve"> Е.В.</w:t>
      </w:r>
      <w:r w:rsidR="00651AC2" w:rsidRPr="000C17C3">
        <w:rPr>
          <w:szCs w:val="24"/>
        </w:rPr>
        <w:t>.</w:t>
      </w:r>
      <w:r w:rsidR="00271856" w:rsidRPr="000C17C3">
        <w:rPr>
          <w:szCs w:val="24"/>
        </w:rPr>
        <w:t xml:space="preserve"> </w:t>
      </w:r>
    </w:p>
    <w:p w:rsidR="001F61F5" w:rsidRPr="000C17C3" w:rsidRDefault="001F61F5" w:rsidP="00D83845">
      <w:pPr>
        <w:pStyle w:val="24"/>
        <w:widowControl/>
        <w:spacing w:line="264" w:lineRule="auto"/>
        <w:ind w:firstLine="0"/>
        <w:contextualSpacing/>
        <w:rPr>
          <w:szCs w:val="24"/>
        </w:rPr>
      </w:pPr>
      <w:r w:rsidRPr="000C17C3">
        <w:rPr>
          <w:szCs w:val="24"/>
        </w:rPr>
        <w:t xml:space="preserve">Ответственный секретарь правления: </w:t>
      </w:r>
      <w:r w:rsidR="000C17C3" w:rsidRPr="000C17C3">
        <w:rPr>
          <w:szCs w:val="24"/>
        </w:rPr>
        <w:t>Соколова А.В.</w:t>
      </w:r>
    </w:p>
    <w:p w:rsidR="001F61F5" w:rsidRPr="00531064" w:rsidRDefault="001F61F5" w:rsidP="00D83845">
      <w:pPr>
        <w:pStyle w:val="24"/>
        <w:widowControl/>
        <w:spacing w:line="264" w:lineRule="auto"/>
        <w:ind w:firstLine="0"/>
        <w:contextualSpacing/>
        <w:rPr>
          <w:szCs w:val="24"/>
        </w:rPr>
      </w:pPr>
      <w:r w:rsidRPr="000C17C3">
        <w:rPr>
          <w:szCs w:val="24"/>
        </w:rPr>
        <w:t>От Департамента энергетики и тарифов Ивановской области:</w:t>
      </w:r>
      <w:r w:rsidRPr="00531064">
        <w:rPr>
          <w:szCs w:val="24"/>
        </w:rPr>
        <w:t xml:space="preserve"> </w:t>
      </w:r>
      <w:r w:rsidR="00C16D99" w:rsidRPr="00531064">
        <w:rPr>
          <w:szCs w:val="24"/>
        </w:rPr>
        <w:t>Краснятова А.С.</w:t>
      </w:r>
    </w:p>
    <w:p w:rsidR="00FC78F1" w:rsidRPr="00531064" w:rsidRDefault="00FC78F1" w:rsidP="00D83845">
      <w:pPr>
        <w:pStyle w:val="24"/>
        <w:widowControl/>
        <w:spacing w:line="264" w:lineRule="auto"/>
        <w:ind w:firstLine="0"/>
        <w:contextualSpacing/>
        <w:rPr>
          <w:szCs w:val="24"/>
        </w:rPr>
      </w:pPr>
      <w:r w:rsidRPr="00531064">
        <w:rPr>
          <w:szCs w:val="24"/>
        </w:rPr>
        <w:t>От регулируемых организаций:</w:t>
      </w:r>
      <w:r w:rsidR="00C16D99" w:rsidRPr="00531064">
        <w:rPr>
          <w:szCs w:val="24"/>
        </w:rPr>
        <w:t xml:space="preserve"> без участия представителя</w:t>
      </w:r>
    </w:p>
    <w:p w:rsidR="006E0746" w:rsidRPr="00FD40D3" w:rsidRDefault="006E0746" w:rsidP="00D83845">
      <w:pPr>
        <w:pStyle w:val="24"/>
        <w:widowControl/>
        <w:spacing w:line="264" w:lineRule="auto"/>
        <w:ind w:firstLine="0"/>
        <w:contextualSpacing/>
        <w:rPr>
          <w:szCs w:val="24"/>
          <w:highlight w:val="yellow"/>
        </w:rPr>
      </w:pPr>
    </w:p>
    <w:p w:rsidR="00F3495C" w:rsidRPr="00882B7E" w:rsidRDefault="00F3495C" w:rsidP="00D83845">
      <w:pPr>
        <w:spacing w:line="264" w:lineRule="auto"/>
        <w:contextualSpacing/>
        <w:jc w:val="center"/>
        <w:rPr>
          <w:b/>
          <w:sz w:val="24"/>
          <w:szCs w:val="24"/>
        </w:rPr>
      </w:pPr>
      <w:proofErr w:type="gramStart"/>
      <w:r w:rsidRPr="00882B7E">
        <w:rPr>
          <w:b/>
          <w:sz w:val="24"/>
          <w:szCs w:val="24"/>
        </w:rPr>
        <w:t>П</w:t>
      </w:r>
      <w:proofErr w:type="gramEnd"/>
      <w:r w:rsidRPr="00882B7E">
        <w:rPr>
          <w:b/>
          <w:sz w:val="24"/>
          <w:szCs w:val="24"/>
        </w:rPr>
        <w:t xml:space="preserve"> О В Е С Т К А:</w:t>
      </w:r>
    </w:p>
    <w:p w:rsidR="00B21D3E" w:rsidRPr="00882B7E" w:rsidRDefault="00FF3699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882B7E">
        <w:rPr>
          <w:rFonts w:ascii="Times New Roman" w:hAnsi="Times New Roman"/>
          <w:b/>
          <w:sz w:val="16"/>
          <w:szCs w:val="16"/>
        </w:rPr>
        <w:t xml:space="preserve">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9780"/>
      </w:tblGrid>
      <w:tr w:rsidR="00531064" w:rsidRPr="00882B7E" w:rsidTr="00C0230E">
        <w:trPr>
          <w:trHeight w:val="381"/>
        </w:trPr>
        <w:tc>
          <w:tcPr>
            <w:tcW w:w="426" w:type="dxa"/>
            <w:shd w:val="clear" w:color="auto" w:fill="auto"/>
          </w:tcPr>
          <w:p w:rsidR="00531064" w:rsidRPr="00882B7E" w:rsidRDefault="00531064" w:rsidP="00D83845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882B7E">
              <w:rPr>
                <w:sz w:val="24"/>
                <w:szCs w:val="24"/>
              </w:rPr>
              <w:t>1.</w:t>
            </w:r>
          </w:p>
        </w:tc>
        <w:tc>
          <w:tcPr>
            <w:tcW w:w="9780" w:type="dxa"/>
            <w:vAlign w:val="center"/>
          </w:tcPr>
          <w:p w:rsidR="00531064" w:rsidRPr="00882B7E" w:rsidRDefault="00531064" w:rsidP="00531064">
            <w:pPr>
              <w:pStyle w:val="ConsNormal"/>
              <w:tabs>
                <w:tab w:val="left" w:pos="851"/>
                <w:tab w:val="left" w:pos="993"/>
                <w:tab w:val="left" w:pos="4020"/>
              </w:tabs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882B7E">
              <w:rPr>
                <w:rFonts w:ascii="Times New Roman" w:hAnsi="Times New Roman"/>
                <w:snapToGrid/>
                <w:sz w:val="24"/>
                <w:szCs w:val="24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 (многоквартирного жилого дома), расположенного по адресу: г. Иваново, ул. Гнедина, дом 18, лит. </w:t>
            </w:r>
            <w:proofErr w:type="gramStart"/>
            <w:r w:rsidRPr="00882B7E">
              <w:rPr>
                <w:rFonts w:ascii="Times New Roman" w:hAnsi="Times New Roman"/>
                <w:snapToGrid/>
                <w:sz w:val="24"/>
                <w:szCs w:val="24"/>
              </w:rPr>
              <w:t>Б</w:t>
            </w:r>
            <w:proofErr w:type="gramEnd"/>
            <w:r w:rsidRPr="00882B7E">
              <w:rPr>
                <w:rFonts w:ascii="Times New Roman" w:hAnsi="Times New Roman"/>
                <w:snapToGrid/>
                <w:sz w:val="24"/>
                <w:szCs w:val="24"/>
              </w:rPr>
              <w:t xml:space="preserve"> на земельном участке с кадастровым номером 37:24:020332:20, по индивидуальному проекту;</w:t>
            </w:r>
          </w:p>
        </w:tc>
      </w:tr>
      <w:tr w:rsidR="00531064" w:rsidRPr="00882B7E" w:rsidTr="00C0230E">
        <w:trPr>
          <w:trHeight w:val="381"/>
        </w:trPr>
        <w:tc>
          <w:tcPr>
            <w:tcW w:w="426" w:type="dxa"/>
            <w:shd w:val="clear" w:color="auto" w:fill="auto"/>
          </w:tcPr>
          <w:p w:rsidR="00531064" w:rsidRPr="00882B7E" w:rsidRDefault="00531064" w:rsidP="00D83845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882B7E">
              <w:rPr>
                <w:sz w:val="24"/>
                <w:szCs w:val="24"/>
              </w:rPr>
              <w:t>2.</w:t>
            </w:r>
          </w:p>
        </w:tc>
        <w:tc>
          <w:tcPr>
            <w:tcW w:w="9780" w:type="dxa"/>
            <w:vAlign w:val="center"/>
          </w:tcPr>
          <w:p w:rsidR="00531064" w:rsidRPr="00882B7E" w:rsidRDefault="00531064" w:rsidP="00531064">
            <w:pPr>
              <w:pStyle w:val="ConsNormal"/>
              <w:tabs>
                <w:tab w:val="left" w:pos="851"/>
                <w:tab w:val="left" w:pos="993"/>
                <w:tab w:val="left" w:pos="4020"/>
              </w:tabs>
              <w:spacing w:line="276" w:lineRule="auto"/>
              <w:ind w:firstLine="0"/>
              <w:contextualSpacing/>
              <w:jc w:val="both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882B7E">
              <w:rPr>
                <w:rFonts w:ascii="Times New Roman" w:hAnsi="Times New Roman"/>
                <w:snapToGrid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30.12.2021 № 61-г/1.</w:t>
            </w:r>
          </w:p>
        </w:tc>
      </w:tr>
    </w:tbl>
    <w:p w:rsidR="00FF3699" w:rsidRPr="00FD40D3" w:rsidRDefault="00FF3699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B21D3E" w:rsidRPr="00531064" w:rsidRDefault="00B21D3E" w:rsidP="00531064">
      <w:pPr>
        <w:pStyle w:val="ConsNormal"/>
        <w:numPr>
          <w:ilvl w:val="0"/>
          <w:numId w:val="41"/>
        </w:numPr>
        <w:tabs>
          <w:tab w:val="left" w:pos="851"/>
          <w:tab w:val="left" w:pos="993"/>
          <w:tab w:val="left" w:pos="4020"/>
        </w:tabs>
        <w:spacing w:line="264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31064">
        <w:rPr>
          <w:rFonts w:ascii="Times New Roman" w:hAnsi="Times New Roman"/>
          <w:b/>
          <w:sz w:val="24"/>
          <w:szCs w:val="24"/>
        </w:rPr>
        <w:t xml:space="preserve">СЛУШАЛИ: </w:t>
      </w:r>
      <w:r w:rsidR="00531064" w:rsidRPr="00531064">
        <w:rPr>
          <w:rFonts w:ascii="Times New Roman" w:hAnsi="Times New Roman"/>
          <w:b/>
          <w:sz w:val="24"/>
          <w:szCs w:val="24"/>
        </w:rPr>
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 (многоквартирного жилого дома), расположенного по адресу: г. Иваново, ул. Гнедина, дом 18, лит. </w:t>
      </w:r>
      <w:proofErr w:type="gramStart"/>
      <w:r w:rsidR="00531064" w:rsidRPr="00531064">
        <w:rPr>
          <w:rFonts w:ascii="Times New Roman" w:hAnsi="Times New Roman"/>
          <w:b/>
          <w:sz w:val="24"/>
          <w:szCs w:val="24"/>
        </w:rPr>
        <w:t>Б</w:t>
      </w:r>
      <w:proofErr w:type="gramEnd"/>
      <w:r w:rsidR="00531064" w:rsidRPr="00531064">
        <w:rPr>
          <w:rFonts w:ascii="Times New Roman" w:hAnsi="Times New Roman"/>
          <w:b/>
          <w:sz w:val="24"/>
          <w:szCs w:val="24"/>
        </w:rPr>
        <w:t xml:space="preserve"> на земельном участке с кадастровым номером 37:24:020332:20, по индивидуальному проекту</w:t>
      </w:r>
      <w:r w:rsidRPr="00531064">
        <w:rPr>
          <w:rFonts w:ascii="Times New Roman" w:hAnsi="Times New Roman"/>
          <w:b/>
          <w:sz w:val="24"/>
          <w:szCs w:val="24"/>
        </w:rPr>
        <w:t xml:space="preserve"> (Краснятова А.С.)</w:t>
      </w:r>
    </w:p>
    <w:p w:rsidR="00DA2116" w:rsidRPr="00FD40D3" w:rsidRDefault="00336A7E" w:rsidP="0054746E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  <w:highlight w:val="yellow"/>
        </w:rPr>
      </w:pPr>
      <w:r w:rsidRPr="00336A7E">
        <w:rPr>
          <w:rFonts w:ascii="Times New Roman" w:hAnsi="Times New Roman"/>
          <w:snapToGrid/>
          <w:sz w:val="24"/>
          <w:szCs w:val="24"/>
        </w:rPr>
        <w:t xml:space="preserve">Письмом 08.04.2022 № ДЩ-08-09/789 АО «Газпром газораспределение Иваново» (далее – ГРО) представило заявление, обосновывающие материалы и расчет платы по </w:t>
      </w:r>
      <w:proofErr w:type="gramStart"/>
      <w:r w:rsidRPr="00336A7E">
        <w:rPr>
          <w:rFonts w:ascii="Times New Roman" w:hAnsi="Times New Roman"/>
          <w:snapToGrid/>
          <w:sz w:val="24"/>
          <w:szCs w:val="24"/>
        </w:rPr>
        <w:t>индивидуальному проекту</w:t>
      </w:r>
      <w:proofErr w:type="gramEnd"/>
      <w:r w:rsidRPr="00336A7E">
        <w:rPr>
          <w:rFonts w:ascii="Times New Roman" w:hAnsi="Times New Roman"/>
          <w:snapToGrid/>
          <w:sz w:val="24"/>
          <w:szCs w:val="24"/>
        </w:rPr>
        <w:t xml:space="preserve"> за технологическое присоединение объекта капитального строительства (многоквартирного жилого дома), расположенного по адресу: г. Иваново, ул. Гнедина, д. 18 лит. </w:t>
      </w:r>
      <w:proofErr w:type="gramStart"/>
      <w:r w:rsidRPr="00336A7E">
        <w:rPr>
          <w:rFonts w:ascii="Times New Roman" w:hAnsi="Times New Roman"/>
          <w:snapToGrid/>
          <w:sz w:val="24"/>
          <w:szCs w:val="24"/>
        </w:rPr>
        <w:t>Б</w:t>
      </w:r>
      <w:proofErr w:type="gramEnd"/>
      <w:r w:rsidRPr="00336A7E">
        <w:rPr>
          <w:rFonts w:ascii="Times New Roman" w:hAnsi="Times New Roman"/>
          <w:snapToGrid/>
          <w:sz w:val="24"/>
          <w:szCs w:val="24"/>
        </w:rPr>
        <w:t xml:space="preserve"> на земельном участке с кадастровым номером 37:24:020332:20.</w:t>
      </w:r>
    </w:p>
    <w:p w:rsidR="00777A89" w:rsidRPr="00FD40D3" w:rsidRDefault="00336A7E" w:rsidP="0054746E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  <w:highlight w:val="yellow"/>
        </w:rPr>
      </w:pPr>
      <w:r w:rsidRPr="00336A7E">
        <w:rPr>
          <w:rFonts w:ascii="Times New Roman" w:hAnsi="Times New Roman"/>
          <w:snapToGrid/>
          <w:sz w:val="24"/>
          <w:szCs w:val="24"/>
        </w:rPr>
        <w:t>Материалы для расчета платы представлены АО «Газпром газораспределение Иваново» в электронной форме в соответствии с пунктом 26(23) Основных положений формирования и государственного регулирования цен на газ и тарифов на услуги по его транспортировке на территории Российской Федерации, утвержденных постановлением Правительства РФ от 29.12.2000 № 1021. При рассмотрении материалов исходили из того, что представленные данные являются достоверными, ответственность за достоверность предоставленных документов несут уполномоченные лица АО «Газпром газораспределение Иваново».</w:t>
      </w:r>
    </w:p>
    <w:p w:rsidR="00777A89" w:rsidRPr="00FD40D3" w:rsidRDefault="00336A7E" w:rsidP="0054746E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  <w:highlight w:val="yellow"/>
        </w:rPr>
      </w:pPr>
      <w:r w:rsidRPr="00336A7E">
        <w:rPr>
          <w:rFonts w:ascii="Times New Roman" w:hAnsi="Times New Roman"/>
          <w:snapToGrid/>
          <w:sz w:val="24"/>
          <w:szCs w:val="24"/>
        </w:rPr>
        <w:lastRenderedPageBreak/>
        <w:t>В соответствии с заявлением ГРО, расчет платы за подключение осуществлялся исходя из необходимости выполнения мероприятий, указанных в технических условиях от 20.04.2021 № 70-000728(179). Общая сумма расходов ГРО составила 2 618,88610 тыс. руб. (без НДС).</w:t>
      </w:r>
    </w:p>
    <w:p w:rsidR="00777A89" w:rsidRDefault="00336A7E" w:rsidP="0054746E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336A7E">
        <w:rPr>
          <w:rFonts w:ascii="Times New Roman" w:hAnsi="Times New Roman"/>
          <w:snapToGrid/>
          <w:sz w:val="24"/>
          <w:szCs w:val="24"/>
        </w:rPr>
        <w:t xml:space="preserve">Основанием для установления платы по </w:t>
      </w:r>
      <w:proofErr w:type="gramStart"/>
      <w:r w:rsidRPr="00336A7E">
        <w:rPr>
          <w:rFonts w:ascii="Times New Roman" w:hAnsi="Times New Roman"/>
          <w:snapToGrid/>
          <w:sz w:val="24"/>
          <w:szCs w:val="24"/>
        </w:rPr>
        <w:t>индивидуальному проекту</w:t>
      </w:r>
      <w:proofErr w:type="gramEnd"/>
      <w:r w:rsidRPr="00336A7E">
        <w:rPr>
          <w:rFonts w:ascii="Times New Roman" w:hAnsi="Times New Roman"/>
          <w:snapToGrid/>
          <w:sz w:val="24"/>
          <w:szCs w:val="24"/>
        </w:rPr>
        <w:t xml:space="preserve"> является:  прокладка газопровода наружным диаметром свыше 219 мм и протяженностью более 30 м бестраншейным способом.</w:t>
      </w:r>
    </w:p>
    <w:p w:rsidR="00336A7E" w:rsidRDefault="007F4308" w:rsidP="0054746E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7F4308">
        <w:rPr>
          <w:rFonts w:ascii="Times New Roman" w:hAnsi="Times New Roman"/>
          <w:snapToGrid/>
          <w:sz w:val="24"/>
          <w:szCs w:val="24"/>
        </w:rPr>
        <w:t>Проектируемый газопровод, расположенный под асфальтированным участком и под проезжей частью, заключается в</w:t>
      </w:r>
      <w:r>
        <w:rPr>
          <w:rFonts w:ascii="Times New Roman" w:hAnsi="Times New Roman"/>
          <w:snapToGrid/>
          <w:sz w:val="24"/>
          <w:szCs w:val="24"/>
        </w:rPr>
        <w:t xml:space="preserve"> футляр из полиэтиленовой трубы, с п</w:t>
      </w:r>
      <w:r w:rsidRPr="007F4308">
        <w:rPr>
          <w:rFonts w:ascii="Times New Roman" w:hAnsi="Times New Roman"/>
          <w:snapToGrid/>
          <w:sz w:val="24"/>
          <w:szCs w:val="24"/>
        </w:rPr>
        <w:t>рокладк</w:t>
      </w:r>
      <w:r>
        <w:rPr>
          <w:rFonts w:ascii="Times New Roman" w:hAnsi="Times New Roman"/>
          <w:snapToGrid/>
          <w:sz w:val="24"/>
          <w:szCs w:val="24"/>
        </w:rPr>
        <w:t>ой</w:t>
      </w:r>
      <w:r w:rsidRPr="007F4308">
        <w:rPr>
          <w:rFonts w:ascii="Times New Roman" w:hAnsi="Times New Roman"/>
          <w:snapToGrid/>
          <w:sz w:val="24"/>
          <w:szCs w:val="24"/>
        </w:rPr>
        <w:t xml:space="preserve"> футляра методом горизонтально-направленного бурения наружным диаметром свыше 219 мм и протяженностью более 30 м.</w:t>
      </w:r>
    </w:p>
    <w:p w:rsidR="002E1529" w:rsidRPr="002E1529" w:rsidRDefault="002E1529" w:rsidP="002E1529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2E1529">
        <w:rPr>
          <w:rFonts w:ascii="Times New Roman" w:hAnsi="Times New Roman"/>
          <w:snapToGrid/>
          <w:sz w:val="24"/>
          <w:szCs w:val="24"/>
        </w:rPr>
        <w:t xml:space="preserve">Состав расходов, включаемых в плату за технологическое присоединение газоиспользующего оборудования объекта капитального строительства по </w:t>
      </w:r>
      <w:proofErr w:type="gramStart"/>
      <w:r w:rsidRPr="002E1529">
        <w:rPr>
          <w:rFonts w:ascii="Times New Roman" w:hAnsi="Times New Roman"/>
          <w:snapToGrid/>
          <w:sz w:val="24"/>
          <w:szCs w:val="24"/>
        </w:rPr>
        <w:t>индивидуальному проекту</w:t>
      </w:r>
      <w:proofErr w:type="gramEnd"/>
      <w:r w:rsidRPr="002E1529">
        <w:rPr>
          <w:rFonts w:ascii="Times New Roman" w:hAnsi="Times New Roman"/>
          <w:snapToGrid/>
          <w:sz w:val="24"/>
          <w:szCs w:val="24"/>
        </w:rPr>
        <w:t>:</w:t>
      </w:r>
    </w:p>
    <w:p w:rsidR="002E1529" w:rsidRPr="002E1529" w:rsidRDefault="002E1529" w:rsidP="002E1529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2E1529">
        <w:rPr>
          <w:rFonts w:ascii="Times New Roman" w:hAnsi="Times New Roman"/>
          <w:snapToGrid/>
          <w:sz w:val="24"/>
          <w:szCs w:val="24"/>
        </w:rPr>
        <w:t>1. Расходы  на разработку проектной документации – 180,32177 тыс. руб., проектные работы выполнялись хоз. способом и с привлечением подрядных организаций, стоимость подтверждена первичной документацией</w:t>
      </w:r>
      <w:r>
        <w:rPr>
          <w:rFonts w:ascii="Times New Roman" w:hAnsi="Times New Roman"/>
          <w:snapToGrid/>
          <w:sz w:val="24"/>
          <w:szCs w:val="24"/>
        </w:rPr>
        <w:t>. Э</w:t>
      </w:r>
      <w:r w:rsidRPr="002E1529">
        <w:rPr>
          <w:rFonts w:ascii="Times New Roman" w:hAnsi="Times New Roman"/>
          <w:snapToGrid/>
          <w:sz w:val="24"/>
          <w:szCs w:val="24"/>
        </w:rPr>
        <w:t>кспертиза проектной документации ГРО не проводилась в соответствии с положениями статьи 49 Градостроительного кодекса РФ от 29.12.2004 № 190-ФЗ.</w:t>
      </w:r>
    </w:p>
    <w:p w:rsidR="00336A7E" w:rsidRDefault="002E1529" w:rsidP="002E1529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2E1529">
        <w:rPr>
          <w:rFonts w:ascii="Times New Roman" w:hAnsi="Times New Roman"/>
          <w:snapToGrid/>
          <w:sz w:val="24"/>
          <w:szCs w:val="24"/>
        </w:rPr>
        <w:t>В соответствии с требованиями Методических указаний, расходы на разработку проектной документации определяются на основании фактических данных по разработке проектной документации и проведению экспертизы проектной документации, в случаях, предусмотренных законодательством Российской Федерации.</w:t>
      </w:r>
    </w:p>
    <w:p w:rsidR="002E1529" w:rsidRPr="002E1529" w:rsidRDefault="002E1529" w:rsidP="002E1529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2E1529">
        <w:rPr>
          <w:rFonts w:ascii="Times New Roman" w:hAnsi="Times New Roman"/>
          <w:snapToGrid/>
          <w:sz w:val="24"/>
          <w:szCs w:val="24"/>
        </w:rPr>
        <w:t>2. Расходы на выполнение технических условий – 1 734,17945 тыс. руб.</w:t>
      </w:r>
    </w:p>
    <w:p w:rsidR="00336A7E" w:rsidRDefault="002E1529" w:rsidP="002E1529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2E1529">
        <w:rPr>
          <w:rFonts w:ascii="Times New Roman" w:hAnsi="Times New Roman"/>
          <w:snapToGrid/>
          <w:sz w:val="24"/>
          <w:szCs w:val="24"/>
        </w:rPr>
        <w:t>Расходы на выполнение технических условий складываются из расходов на строительство газопровода. По указанным мероприятиям АО «Газпром газораспределение Иваново» представило проектную документацию и локальный сметный расчет.</w:t>
      </w:r>
    </w:p>
    <w:p w:rsidR="00336A7E" w:rsidRDefault="002E1529" w:rsidP="0054746E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2E1529">
        <w:rPr>
          <w:rFonts w:ascii="Times New Roman" w:hAnsi="Times New Roman"/>
          <w:snapToGrid/>
          <w:sz w:val="24"/>
          <w:szCs w:val="24"/>
        </w:rPr>
        <w:t xml:space="preserve">В соответствии с пунктом 18 Методических указаний, расходы, включаемые в расчет размера платы за подключение по </w:t>
      </w:r>
      <w:proofErr w:type="gramStart"/>
      <w:r w:rsidRPr="002E1529">
        <w:rPr>
          <w:rFonts w:ascii="Times New Roman" w:hAnsi="Times New Roman"/>
          <w:snapToGrid/>
          <w:sz w:val="24"/>
          <w:szCs w:val="24"/>
        </w:rPr>
        <w:t>индивидуальному проекту</w:t>
      </w:r>
      <w:proofErr w:type="gramEnd"/>
      <w:r w:rsidRPr="002E1529">
        <w:rPr>
          <w:rFonts w:ascii="Times New Roman" w:hAnsi="Times New Roman"/>
          <w:snapToGrid/>
          <w:sz w:val="24"/>
          <w:szCs w:val="24"/>
        </w:rPr>
        <w:t xml:space="preserve"> определяются на основании представленной ГРО сметной стоимости строительства, но не выше средних рыночных цен материалов (работ, услуг), необходимых для строительства газораспределительной сети в целях технологического присоединения.</w:t>
      </w:r>
    </w:p>
    <w:p w:rsidR="002E1529" w:rsidRDefault="002E1529" w:rsidP="0054746E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При проведении экспертизы превышений </w:t>
      </w:r>
      <w:r w:rsidR="00FF171B">
        <w:rPr>
          <w:rFonts w:ascii="Times New Roman" w:hAnsi="Times New Roman"/>
          <w:snapToGrid/>
          <w:sz w:val="24"/>
          <w:szCs w:val="24"/>
        </w:rPr>
        <w:t>объема выполняемых работ и примененных расценок не выявлено.</w:t>
      </w:r>
    </w:p>
    <w:p w:rsidR="00336A7E" w:rsidRDefault="00FF171B" w:rsidP="0054746E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FF171B">
        <w:rPr>
          <w:rFonts w:ascii="Times New Roman" w:hAnsi="Times New Roman"/>
          <w:snapToGrid/>
          <w:sz w:val="24"/>
          <w:szCs w:val="24"/>
        </w:rPr>
        <w:t>3. Расходы, связанные с мониторингом выполнения Заявителем технических условий и 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 – 180,60766 тыс. руб.</w:t>
      </w:r>
    </w:p>
    <w:p w:rsidR="00FF171B" w:rsidRDefault="0017256D" w:rsidP="0054746E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proofErr w:type="gramStart"/>
      <w:r w:rsidRPr="0017256D">
        <w:rPr>
          <w:rFonts w:ascii="Times New Roman" w:hAnsi="Times New Roman"/>
          <w:snapToGrid/>
          <w:sz w:val="24"/>
          <w:szCs w:val="24"/>
        </w:rPr>
        <w:t>В соответствии с примечанием к составу расходов, включаемых в плату за технологическое присоединение, указанных в приложении 2 Методических указаний, «расходы, связанные с мониторингом выполнения Заявителем технических условий и осуществлением фактического подключения (технологического присоединения) объектов капитального строительства Заявителя к сети газораспределения с проведением пуска газа, учитываются исходя из установленных стандартизированных тарифных ставок в текущем периоде регулирования с учетом индекса потребительских цен</w:t>
      </w:r>
      <w:proofErr w:type="gramEnd"/>
      <w:r w:rsidRPr="0017256D">
        <w:rPr>
          <w:rFonts w:ascii="Times New Roman" w:hAnsi="Times New Roman"/>
          <w:snapToGrid/>
          <w:sz w:val="24"/>
          <w:szCs w:val="24"/>
        </w:rPr>
        <w:t xml:space="preserve"> на очередной календарный год</w:t>
      </w:r>
      <w:proofErr w:type="gramStart"/>
      <w:r w:rsidRPr="0017256D">
        <w:rPr>
          <w:rFonts w:ascii="Times New Roman" w:hAnsi="Times New Roman"/>
          <w:snapToGrid/>
          <w:sz w:val="24"/>
          <w:szCs w:val="24"/>
        </w:rPr>
        <w:t>.»</w:t>
      </w:r>
      <w:proofErr w:type="gramEnd"/>
    </w:p>
    <w:p w:rsidR="0017256D" w:rsidRDefault="0017256D" w:rsidP="0054746E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Соответствующие стандартизированные тарифные ставки на 2022 год </w:t>
      </w:r>
      <w:r w:rsidRPr="0017256D">
        <w:rPr>
          <w:rFonts w:ascii="Times New Roman" w:hAnsi="Times New Roman"/>
          <w:snapToGrid/>
          <w:sz w:val="24"/>
          <w:szCs w:val="24"/>
        </w:rPr>
        <w:t>установлены постановлением Департамента энергетики и тарифов Ивановской области от 30.12.2021 № 61-г/1</w:t>
      </w:r>
      <w:r>
        <w:rPr>
          <w:rFonts w:ascii="Times New Roman" w:hAnsi="Times New Roman"/>
          <w:snapToGrid/>
          <w:sz w:val="24"/>
          <w:szCs w:val="24"/>
        </w:rPr>
        <w:t>,</w:t>
      </w:r>
      <w:r w:rsidRPr="0017256D">
        <w:t xml:space="preserve"> </w:t>
      </w:r>
      <w:r>
        <w:rPr>
          <w:rFonts w:ascii="Times New Roman" w:hAnsi="Times New Roman"/>
          <w:snapToGrid/>
          <w:sz w:val="24"/>
          <w:szCs w:val="24"/>
        </w:rPr>
        <w:t>и</w:t>
      </w:r>
      <w:r w:rsidRPr="0017256D">
        <w:rPr>
          <w:rFonts w:ascii="Times New Roman" w:hAnsi="Times New Roman"/>
          <w:snapToGrid/>
          <w:sz w:val="24"/>
          <w:szCs w:val="24"/>
        </w:rPr>
        <w:t xml:space="preserve">ндекс потребительских цен на 2023 год составляет 104,0% (Прогноз социально-экономического </w:t>
      </w:r>
      <w:r w:rsidRPr="0017256D">
        <w:rPr>
          <w:rFonts w:ascii="Times New Roman" w:hAnsi="Times New Roman"/>
          <w:snapToGrid/>
          <w:sz w:val="24"/>
          <w:szCs w:val="24"/>
        </w:rPr>
        <w:lastRenderedPageBreak/>
        <w:t>развития Российской Федерации на 2022 год и на плановый период 2023 и 2024 годов, опубликованный на сайте Минэкономразвития РФ от 30.09.2021).</w:t>
      </w:r>
      <w:r>
        <w:rPr>
          <w:rFonts w:ascii="Times New Roman" w:hAnsi="Times New Roman"/>
          <w:snapToGrid/>
          <w:sz w:val="24"/>
          <w:szCs w:val="24"/>
        </w:rPr>
        <w:t xml:space="preserve"> </w:t>
      </w:r>
    </w:p>
    <w:p w:rsidR="00687FC5" w:rsidRPr="00687FC5" w:rsidRDefault="00687FC5" w:rsidP="00687FC5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687FC5">
        <w:rPr>
          <w:rFonts w:ascii="Times New Roman" w:hAnsi="Times New Roman"/>
          <w:snapToGrid/>
          <w:sz w:val="24"/>
          <w:szCs w:val="24"/>
        </w:rPr>
        <w:t>4. Эффективная ставка налога на прибыль 20%, соответственно налог на прибыль составит 523,77722 тыс. руб.</w:t>
      </w:r>
    </w:p>
    <w:p w:rsidR="00687FC5" w:rsidRDefault="00687FC5" w:rsidP="00687FC5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687FC5">
        <w:rPr>
          <w:rFonts w:ascii="Times New Roman" w:hAnsi="Times New Roman"/>
          <w:snapToGrid/>
          <w:sz w:val="24"/>
          <w:szCs w:val="24"/>
        </w:rPr>
        <w:t>Эффективная ставка налога на прибыль принимается в размере 20%, не превышающей ставку налога на прибыль, установленную ст. 284 гл. 25 НК РФ.</w:t>
      </w:r>
    </w:p>
    <w:p w:rsidR="00BF3912" w:rsidRPr="00BF3912" w:rsidRDefault="00BF3912" w:rsidP="00BF3912">
      <w:pPr>
        <w:ind w:firstLine="709"/>
        <w:jc w:val="both"/>
        <w:rPr>
          <w:sz w:val="24"/>
          <w:szCs w:val="24"/>
        </w:rPr>
      </w:pPr>
      <w:r w:rsidRPr="00BF3912">
        <w:rPr>
          <w:sz w:val="24"/>
          <w:szCs w:val="24"/>
        </w:rPr>
        <w:t xml:space="preserve">Таким образом, рассмотрев представленные обосновывающие материалы, экспертная группа предлагает установить плату за технологическое присоединение объекта капитального строительства (многоквартирный жилой дом), расположенного по адресу г. Иваново, ул. Гнедина, д. 18 </w:t>
      </w:r>
      <w:proofErr w:type="spellStart"/>
      <w:r w:rsidRPr="00BF3912">
        <w:rPr>
          <w:sz w:val="24"/>
          <w:szCs w:val="24"/>
        </w:rPr>
        <w:t>лит</w:t>
      </w:r>
      <w:proofErr w:type="gramStart"/>
      <w:r w:rsidRPr="00BF3912">
        <w:rPr>
          <w:sz w:val="24"/>
          <w:szCs w:val="24"/>
        </w:rPr>
        <w:t>.Б</w:t>
      </w:r>
      <w:proofErr w:type="spellEnd"/>
      <w:proofErr w:type="gramEnd"/>
      <w:r w:rsidRPr="00BF3912">
        <w:rPr>
          <w:sz w:val="24"/>
          <w:szCs w:val="24"/>
        </w:rPr>
        <w:t xml:space="preserve"> на земельном участке с кадастровым номером 37:24:020332:20, по индивидуальному проекту в размере:</w:t>
      </w:r>
    </w:p>
    <w:p w:rsidR="00BF3912" w:rsidRPr="00BF3912" w:rsidRDefault="00BF3912" w:rsidP="00BF3912">
      <w:pPr>
        <w:ind w:firstLine="567"/>
        <w:jc w:val="center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ТП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Р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ИП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Ст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НП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эф</m:t>
                    </m:r>
                  </m:sup>
                </m:sSubSup>
              </m:e>
            </m:d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2 095 108,88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1-0,2</m:t>
                </m:r>
              </m:e>
            </m:d>
          </m:den>
        </m:f>
        <m:r>
          <w:rPr>
            <w:rFonts w:ascii="Cambria Math" w:hAnsi="Cambria Math"/>
            <w:sz w:val="24"/>
            <w:szCs w:val="24"/>
          </w:rPr>
          <m:t>=2 618 886,10</m:t>
        </m:r>
      </m:oMath>
      <w:r w:rsidRPr="00BF3912">
        <w:rPr>
          <w:sz w:val="24"/>
          <w:szCs w:val="24"/>
        </w:rPr>
        <w:t xml:space="preserve"> руб. (без НДС).</w:t>
      </w:r>
    </w:p>
    <w:p w:rsidR="00251B96" w:rsidRPr="00BF3912" w:rsidRDefault="00251B96" w:rsidP="0054746E">
      <w:pPr>
        <w:spacing w:line="276" w:lineRule="auto"/>
        <w:ind w:firstLine="709"/>
        <w:jc w:val="both"/>
        <w:rPr>
          <w:sz w:val="24"/>
          <w:szCs w:val="24"/>
        </w:rPr>
      </w:pPr>
      <w:r w:rsidRPr="00BF3912">
        <w:rPr>
          <w:sz w:val="24"/>
          <w:szCs w:val="24"/>
        </w:rPr>
        <w:t>Рассмотрев представленные документы и обоснования, предлагается:</w:t>
      </w:r>
    </w:p>
    <w:p w:rsidR="00BF3912" w:rsidRPr="000B604F" w:rsidRDefault="00BF3912" w:rsidP="00BF3912">
      <w:pPr>
        <w:pStyle w:val="af2"/>
        <w:widowControl/>
        <w:numPr>
          <w:ilvl w:val="0"/>
          <w:numId w:val="40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right="0" w:firstLine="709"/>
        <w:rPr>
          <w:sz w:val="24"/>
          <w:szCs w:val="24"/>
        </w:rPr>
      </w:pPr>
      <w:r w:rsidRPr="00BF3912">
        <w:rPr>
          <w:sz w:val="24"/>
          <w:szCs w:val="24"/>
        </w:rPr>
        <w:t xml:space="preserve">Установить плату за подключение (технологическое присоединение) газоиспользующего оборудования к газораспределительным сетям АО «Газпром газораспределение Иваново» объекта капитального строительства (многоквартирного жилого дома), расположенного по адресу: г. Иваново, ул. Гнедина, дом 18, лит. </w:t>
      </w:r>
      <w:proofErr w:type="gramStart"/>
      <w:r w:rsidRPr="00BF3912">
        <w:rPr>
          <w:sz w:val="24"/>
          <w:szCs w:val="24"/>
        </w:rPr>
        <w:t>Б</w:t>
      </w:r>
      <w:proofErr w:type="gramEnd"/>
      <w:r w:rsidRPr="00BF3912">
        <w:rPr>
          <w:sz w:val="24"/>
          <w:szCs w:val="24"/>
        </w:rPr>
        <w:t xml:space="preserve"> на земельном участке с кадастровым номером 37:24:020332:20, по индивидуальному проекту в размере 2 618 886,10 руб. (без НДС), на выполнение работ, </w:t>
      </w:r>
      <w:bookmarkStart w:id="0" w:name="_GoBack"/>
      <w:r w:rsidRPr="000B604F">
        <w:rPr>
          <w:sz w:val="24"/>
          <w:szCs w:val="24"/>
        </w:rPr>
        <w:t>указанных в приложении.</w:t>
      </w:r>
    </w:p>
    <w:bookmarkEnd w:id="0"/>
    <w:p w:rsidR="00BF3912" w:rsidRPr="00BF3912" w:rsidRDefault="00BF3912" w:rsidP="00BF3912">
      <w:pPr>
        <w:pStyle w:val="af2"/>
        <w:widowControl/>
        <w:numPr>
          <w:ilvl w:val="0"/>
          <w:numId w:val="40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BF3912">
        <w:rPr>
          <w:sz w:val="24"/>
          <w:szCs w:val="24"/>
        </w:rPr>
        <w:t>остановление вступает в силу со дня его официального опубликования.</w:t>
      </w:r>
    </w:p>
    <w:p w:rsidR="00251B96" w:rsidRPr="00FD40D3" w:rsidRDefault="00251B96" w:rsidP="0054746E">
      <w:pPr>
        <w:spacing w:line="276" w:lineRule="auto"/>
        <w:ind w:firstLine="709"/>
        <w:jc w:val="both"/>
        <w:rPr>
          <w:sz w:val="24"/>
          <w:szCs w:val="24"/>
          <w:highlight w:val="yellow"/>
        </w:rPr>
      </w:pPr>
    </w:p>
    <w:p w:rsidR="005B46AD" w:rsidRPr="004C09F2" w:rsidRDefault="005B46AD" w:rsidP="0054746E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4C09F2">
        <w:rPr>
          <w:rFonts w:ascii="Times New Roman" w:hAnsi="Times New Roman"/>
          <w:snapToGrid/>
          <w:sz w:val="24"/>
          <w:szCs w:val="24"/>
        </w:rPr>
        <w:t xml:space="preserve">Извещение о заседании Правления Департамента энергетики и тарифов Ивановской области, проект решения и экспертное заключение направлено в адрес организации письмом от </w:t>
      </w:r>
      <w:r w:rsidR="004C09F2" w:rsidRPr="004C09F2">
        <w:rPr>
          <w:rFonts w:ascii="Times New Roman" w:hAnsi="Times New Roman"/>
          <w:snapToGrid/>
          <w:sz w:val="24"/>
          <w:szCs w:val="24"/>
        </w:rPr>
        <w:t>26.04</w:t>
      </w:r>
      <w:r w:rsidR="004F769A" w:rsidRPr="004C09F2">
        <w:rPr>
          <w:rFonts w:ascii="Times New Roman" w:hAnsi="Times New Roman"/>
          <w:snapToGrid/>
          <w:sz w:val="24"/>
          <w:szCs w:val="24"/>
        </w:rPr>
        <w:t>.2022</w:t>
      </w:r>
      <w:r w:rsidRPr="004C09F2">
        <w:rPr>
          <w:rFonts w:ascii="Times New Roman" w:hAnsi="Times New Roman"/>
          <w:snapToGrid/>
          <w:sz w:val="24"/>
          <w:szCs w:val="24"/>
        </w:rPr>
        <w:t xml:space="preserve"> № исх-</w:t>
      </w:r>
      <w:r w:rsidR="004C09F2" w:rsidRPr="004C09F2">
        <w:rPr>
          <w:rFonts w:ascii="Times New Roman" w:hAnsi="Times New Roman"/>
          <w:snapToGrid/>
          <w:sz w:val="24"/>
          <w:szCs w:val="24"/>
        </w:rPr>
        <w:t>744</w:t>
      </w:r>
      <w:r w:rsidR="004F769A" w:rsidRPr="004C09F2">
        <w:rPr>
          <w:rFonts w:ascii="Times New Roman" w:hAnsi="Times New Roman"/>
          <w:snapToGrid/>
          <w:sz w:val="24"/>
          <w:szCs w:val="24"/>
        </w:rPr>
        <w:t>-018/4-2-10</w:t>
      </w:r>
      <w:r w:rsidRPr="004C09F2">
        <w:rPr>
          <w:rFonts w:ascii="Times New Roman" w:hAnsi="Times New Roman"/>
          <w:snapToGrid/>
          <w:sz w:val="24"/>
          <w:szCs w:val="24"/>
        </w:rPr>
        <w:t xml:space="preserve">. </w:t>
      </w:r>
    </w:p>
    <w:p w:rsidR="005B46AD" w:rsidRPr="004C09F2" w:rsidRDefault="004F769A" w:rsidP="0054746E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4C09F2">
        <w:rPr>
          <w:rFonts w:ascii="Times New Roman" w:hAnsi="Times New Roman"/>
          <w:snapToGrid/>
          <w:sz w:val="24"/>
          <w:szCs w:val="24"/>
        </w:rPr>
        <w:t>АО «Газпром газораспределение Иваново»</w:t>
      </w:r>
      <w:r w:rsidR="006D42C6" w:rsidRPr="004C09F2">
        <w:rPr>
          <w:rFonts w:ascii="Times New Roman" w:hAnsi="Times New Roman"/>
          <w:snapToGrid/>
          <w:sz w:val="24"/>
          <w:szCs w:val="24"/>
        </w:rPr>
        <w:t xml:space="preserve"> по</w:t>
      </w:r>
      <w:r w:rsidR="005B46AD" w:rsidRPr="004C09F2">
        <w:rPr>
          <w:rFonts w:ascii="Times New Roman" w:hAnsi="Times New Roman"/>
          <w:snapToGrid/>
          <w:sz w:val="24"/>
          <w:szCs w:val="24"/>
        </w:rPr>
        <w:t xml:space="preserve"> проекту решения</w:t>
      </w:r>
      <w:r w:rsidR="006D42C6" w:rsidRPr="004C09F2">
        <w:rPr>
          <w:rFonts w:ascii="Times New Roman" w:hAnsi="Times New Roman"/>
          <w:snapToGrid/>
          <w:sz w:val="24"/>
          <w:szCs w:val="24"/>
        </w:rPr>
        <w:t xml:space="preserve"> замечаний не представил, просил рассмотреть данн</w:t>
      </w:r>
      <w:r w:rsidR="009A0AA8" w:rsidRPr="004C09F2">
        <w:rPr>
          <w:rFonts w:ascii="Times New Roman" w:hAnsi="Times New Roman"/>
          <w:snapToGrid/>
          <w:sz w:val="24"/>
          <w:szCs w:val="24"/>
        </w:rPr>
        <w:t>ый</w:t>
      </w:r>
      <w:r w:rsidR="006D42C6" w:rsidRPr="004C09F2">
        <w:rPr>
          <w:rFonts w:ascii="Times New Roman" w:hAnsi="Times New Roman"/>
          <w:snapToGrid/>
          <w:sz w:val="24"/>
          <w:szCs w:val="24"/>
        </w:rPr>
        <w:t xml:space="preserve"> вопрос без участия представителя</w:t>
      </w:r>
      <w:r w:rsidR="005B46AD" w:rsidRPr="004C09F2">
        <w:rPr>
          <w:rFonts w:ascii="Times New Roman" w:hAnsi="Times New Roman"/>
          <w:snapToGrid/>
          <w:sz w:val="24"/>
          <w:szCs w:val="24"/>
        </w:rPr>
        <w:t xml:space="preserve"> (письмо от </w:t>
      </w:r>
      <w:r w:rsidR="004C09F2" w:rsidRPr="004C09F2">
        <w:rPr>
          <w:rFonts w:ascii="Times New Roman" w:hAnsi="Times New Roman"/>
          <w:snapToGrid/>
          <w:sz w:val="24"/>
          <w:szCs w:val="24"/>
        </w:rPr>
        <w:t>27.04</w:t>
      </w:r>
      <w:r w:rsidR="006D42C6" w:rsidRPr="004C09F2">
        <w:rPr>
          <w:rFonts w:ascii="Times New Roman" w:hAnsi="Times New Roman"/>
          <w:snapToGrid/>
          <w:sz w:val="24"/>
          <w:szCs w:val="24"/>
        </w:rPr>
        <w:t>.2022</w:t>
      </w:r>
      <w:r w:rsidR="005B46AD" w:rsidRPr="004C09F2">
        <w:rPr>
          <w:rFonts w:ascii="Times New Roman" w:hAnsi="Times New Roman"/>
          <w:snapToGrid/>
          <w:sz w:val="24"/>
          <w:szCs w:val="24"/>
        </w:rPr>
        <w:t xml:space="preserve"> № </w:t>
      </w:r>
      <w:r w:rsidR="004C09F2" w:rsidRPr="004C09F2">
        <w:rPr>
          <w:rFonts w:ascii="Times New Roman" w:hAnsi="Times New Roman"/>
          <w:snapToGrid/>
          <w:sz w:val="24"/>
          <w:szCs w:val="24"/>
        </w:rPr>
        <w:t>ДЩ</w:t>
      </w:r>
      <w:r w:rsidR="006D42C6" w:rsidRPr="004C09F2">
        <w:rPr>
          <w:rFonts w:ascii="Times New Roman" w:hAnsi="Times New Roman"/>
          <w:snapToGrid/>
          <w:sz w:val="24"/>
          <w:szCs w:val="24"/>
        </w:rPr>
        <w:t>-08-0</w:t>
      </w:r>
      <w:r w:rsidR="00A8602C" w:rsidRPr="004C09F2">
        <w:rPr>
          <w:rFonts w:ascii="Times New Roman" w:hAnsi="Times New Roman"/>
          <w:snapToGrid/>
          <w:sz w:val="24"/>
          <w:szCs w:val="24"/>
        </w:rPr>
        <w:t>9</w:t>
      </w:r>
      <w:r w:rsidR="006D42C6" w:rsidRPr="004C09F2">
        <w:rPr>
          <w:rFonts w:ascii="Times New Roman" w:hAnsi="Times New Roman"/>
          <w:snapToGrid/>
          <w:sz w:val="24"/>
          <w:szCs w:val="24"/>
        </w:rPr>
        <w:t>/</w:t>
      </w:r>
      <w:r w:rsidR="004C09F2" w:rsidRPr="004C09F2">
        <w:rPr>
          <w:rFonts w:ascii="Times New Roman" w:hAnsi="Times New Roman"/>
          <w:snapToGrid/>
          <w:sz w:val="24"/>
          <w:szCs w:val="24"/>
        </w:rPr>
        <w:t>911</w:t>
      </w:r>
      <w:r w:rsidR="006D42C6" w:rsidRPr="004C09F2">
        <w:rPr>
          <w:rFonts w:ascii="Times New Roman" w:hAnsi="Times New Roman"/>
          <w:snapToGrid/>
          <w:sz w:val="24"/>
          <w:szCs w:val="24"/>
        </w:rPr>
        <w:t>)</w:t>
      </w:r>
      <w:r w:rsidR="005B46AD" w:rsidRPr="004C09F2">
        <w:rPr>
          <w:rFonts w:ascii="Times New Roman" w:hAnsi="Times New Roman"/>
          <w:snapToGrid/>
          <w:sz w:val="24"/>
          <w:szCs w:val="24"/>
        </w:rPr>
        <w:t>.</w:t>
      </w:r>
    </w:p>
    <w:p w:rsidR="00195BA4" w:rsidRPr="004C09F2" w:rsidRDefault="00195BA4" w:rsidP="0054746E">
      <w:pPr>
        <w:spacing w:line="276" w:lineRule="auto"/>
        <w:ind w:firstLine="709"/>
        <w:contextualSpacing/>
        <w:jc w:val="both"/>
        <w:rPr>
          <w:b/>
          <w:sz w:val="24"/>
          <w:szCs w:val="24"/>
        </w:rPr>
      </w:pPr>
    </w:p>
    <w:p w:rsidR="005B46AD" w:rsidRPr="00517212" w:rsidRDefault="005B46AD" w:rsidP="0054746E">
      <w:pPr>
        <w:spacing w:line="276" w:lineRule="auto"/>
        <w:ind w:firstLine="709"/>
        <w:contextualSpacing/>
        <w:jc w:val="both"/>
        <w:rPr>
          <w:b/>
          <w:sz w:val="24"/>
          <w:szCs w:val="24"/>
        </w:rPr>
      </w:pPr>
      <w:r w:rsidRPr="00517212">
        <w:rPr>
          <w:b/>
          <w:sz w:val="24"/>
          <w:szCs w:val="24"/>
        </w:rPr>
        <w:t>РЕШИЛИ:</w:t>
      </w:r>
    </w:p>
    <w:p w:rsidR="005B46AD" w:rsidRPr="004747CF" w:rsidRDefault="00777A89" w:rsidP="0054746E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4747CF">
        <w:rPr>
          <w:rFonts w:ascii="Times New Roman" w:hAnsi="Times New Roman"/>
          <w:snapToGrid/>
          <w:sz w:val="24"/>
          <w:szCs w:val="24"/>
        </w:rPr>
        <w:t>В соответствии с Федеральным законом от 31.03.1999 № 69-ФЗ «О газоснабжении в Российской Федерации», постановлениями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Федерации», приказом ФАС России от 16.08.2018 № 1151/18 «Об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и(или) размеров стандартизированных тарифных ставок, определяющих ее величину»</w:t>
      </w:r>
      <w:r w:rsidR="009A0AA8" w:rsidRPr="004747CF">
        <w:rPr>
          <w:rFonts w:ascii="Times New Roman" w:hAnsi="Times New Roman"/>
          <w:snapToGrid/>
          <w:sz w:val="24"/>
          <w:szCs w:val="24"/>
        </w:rPr>
        <w:t xml:space="preserve">: </w:t>
      </w:r>
    </w:p>
    <w:p w:rsidR="004747CF" w:rsidRPr="000B604F" w:rsidRDefault="004747CF" w:rsidP="004747CF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1. </w:t>
      </w:r>
      <w:r w:rsidRPr="004747CF">
        <w:rPr>
          <w:rFonts w:ascii="Times New Roman" w:hAnsi="Times New Roman"/>
          <w:snapToGrid/>
          <w:sz w:val="24"/>
          <w:szCs w:val="24"/>
        </w:rPr>
        <w:t xml:space="preserve">Установить плату за подключение (технологическое присоединение) газоиспользующего оборудования к газораспределительным сетям АО «Газпром газораспределение Иваново» объекта капитального строительства (многоквартирного жилого дома), расположенного по адресу: г. Иваново, ул. Гнедина, дом 18, лит. </w:t>
      </w:r>
      <w:proofErr w:type="gramStart"/>
      <w:r w:rsidRPr="004747CF">
        <w:rPr>
          <w:rFonts w:ascii="Times New Roman" w:hAnsi="Times New Roman"/>
          <w:snapToGrid/>
          <w:sz w:val="24"/>
          <w:szCs w:val="24"/>
        </w:rPr>
        <w:t>Б</w:t>
      </w:r>
      <w:proofErr w:type="gramEnd"/>
      <w:r w:rsidRPr="004747CF">
        <w:rPr>
          <w:rFonts w:ascii="Times New Roman" w:hAnsi="Times New Roman"/>
          <w:snapToGrid/>
          <w:sz w:val="24"/>
          <w:szCs w:val="24"/>
        </w:rPr>
        <w:t xml:space="preserve"> на земельном участке с кадастровым номером 37:24:020332:20, по индивидуальному проекту в размере 2 618 886,10 руб. (без НДС), на выполнение работ, </w:t>
      </w:r>
      <w:r w:rsidRPr="000B604F">
        <w:rPr>
          <w:rFonts w:ascii="Times New Roman" w:hAnsi="Times New Roman"/>
          <w:snapToGrid/>
          <w:sz w:val="24"/>
          <w:szCs w:val="24"/>
        </w:rPr>
        <w:t>указанных в приложении.</w:t>
      </w:r>
    </w:p>
    <w:p w:rsidR="00777A89" w:rsidRPr="004747CF" w:rsidRDefault="004747CF" w:rsidP="004747CF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lastRenderedPageBreak/>
        <w:t xml:space="preserve">2. </w:t>
      </w:r>
      <w:r w:rsidRPr="004747CF">
        <w:rPr>
          <w:rFonts w:ascii="Times New Roman" w:hAnsi="Times New Roman"/>
          <w:snapToGrid/>
          <w:sz w:val="24"/>
          <w:szCs w:val="24"/>
        </w:rPr>
        <w:t>Постановление вступает в силу со дня его официального опубликования.</w:t>
      </w:r>
    </w:p>
    <w:p w:rsidR="001D6F30" w:rsidRPr="00FD40D3" w:rsidRDefault="001D6F30" w:rsidP="00D83845">
      <w:pPr>
        <w:pStyle w:val="ConsNormal"/>
        <w:spacing w:line="264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6F2B12" w:rsidRPr="006F2B12" w:rsidRDefault="006F2B12" w:rsidP="006F2B12">
      <w:pPr>
        <w:pStyle w:val="ConsNormal"/>
        <w:spacing w:line="264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F2B12">
        <w:rPr>
          <w:rFonts w:ascii="Times New Roman" w:hAnsi="Times New Roman"/>
          <w:sz w:val="24"/>
          <w:szCs w:val="24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6F2B12" w:rsidRPr="006F2B12" w:rsidTr="002B5EAB">
        <w:tc>
          <w:tcPr>
            <w:tcW w:w="959" w:type="dxa"/>
          </w:tcPr>
          <w:p w:rsidR="006F2B12" w:rsidRPr="006F2B12" w:rsidRDefault="006F2B12" w:rsidP="002B5EAB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 xml:space="preserve">№ </w:t>
            </w:r>
            <w:proofErr w:type="gramStart"/>
            <w:r w:rsidRPr="006F2B12">
              <w:rPr>
                <w:sz w:val="24"/>
                <w:szCs w:val="24"/>
              </w:rPr>
              <w:t>п</w:t>
            </w:r>
            <w:proofErr w:type="gramEnd"/>
            <w:r w:rsidRPr="006F2B12">
              <w:rPr>
                <w:sz w:val="24"/>
                <w:szCs w:val="24"/>
              </w:rPr>
              <w:t>/п</w:t>
            </w:r>
          </w:p>
        </w:tc>
        <w:tc>
          <w:tcPr>
            <w:tcW w:w="2727" w:type="dxa"/>
          </w:tcPr>
          <w:p w:rsidR="006F2B12" w:rsidRPr="006F2B12" w:rsidRDefault="006F2B12" w:rsidP="002B5EAB">
            <w:pPr>
              <w:tabs>
                <w:tab w:val="left" w:pos="4020"/>
              </w:tabs>
              <w:spacing w:line="264" w:lineRule="auto"/>
              <w:contextualSpacing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157" w:type="dxa"/>
          </w:tcPr>
          <w:p w:rsidR="006F2B12" w:rsidRPr="006F2B12" w:rsidRDefault="006F2B12" w:rsidP="002B5EAB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Результаты голосования</w:t>
            </w:r>
          </w:p>
        </w:tc>
      </w:tr>
      <w:tr w:rsidR="006F2B12" w:rsidRPr="006F2B12" w:rsidTr="002B5EAB">
        <w:tc>
          <w:tcPr>
            <w:tcW w:w="959" w:type="dxa"/>
          </w:tcPr>
          <w:p w:rsidR="006F2B12" w:rsidRPr="006F2B12" w:rsidRDefault="006F2B12" w:rsidP="002B5EAB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1.</w:t>
            </w:r>
          </w:p>
        </w:tc>
        <w:tc>
          <w:tcPr>
            <w:tcW w:w="2727" w:type="dxa"/>
          </w:tcPr>
          <w:p w:rsidR="006F2B12" w:rsidRPr="006F2B12" w:rsidRDefault="006F2B12" w:rsidP="002B5EAB">
            <w:pPr>
              <w:tabs>
                <w:tab w:val="left" w:pos="4020"/>
              </w:tabs>
              <w:spacing w:line="264" w:lineRule="auto"/>
              <w:contextualSpacing/>
              <w:rPr>
                <w:sz w:val="24"/>
                <w:szCs w:val="24"/>
              </w:rPr>
            </w:pPr>
            <w:proofErr w:type="spellStart"/>
            <w:r w:rsidRPr="006F2B12">
              <w:rPr>
                <w:sz w:val="24"/>
                <w:szCs w:val="24"/>
              </w:rPr>
              <w:t>Морева</w:t>
            </w:r>
            <w:proofErr w:type="spellEnd"/>
            <w:r w:rsidRPr="006F2B12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3157" w:type="dxa"/>
          </w:tcPr>
          <w:p w:rsidR="006F2B12" w:rsidRPr="006F2B12" w:rsidRDefault="006F2B12" w:rsidP="002B5EAB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за</w:t>
            </w:r>
          </w:p>
        </w:tc>
      </w:tr>
      <w:tr w:rsidR="006F2B12" w:rsidRPr="006F2B12" w:rsidTr="002B5EAB">
        <w:tc>
          <w:tcPr>
            <w:tcW w:w="959" w:type="dxa"/>
          </w:tcPr>
          <w:p w:rsidR="006F2B12" w:rsidRPr="006F2B12" w:rsidRDefault="006F2B12" w:rsidP="002B5EAB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2.</w:t>
            </w:r>
          </w:p>
        </w:tc>
        <w:tc>
          <w:tcPr>
            <w:tcW w:w="2727" w:type="dxa"/>
          </w:tcPr>
          <w:p w:rsidR="006F2B12" w:rsidRPr="006F2B12" w:rsidRDefault="006F2B12" w:rsidP="002B5EAB">
            <w:pPr>
              <w:tabs>
                <w:tab w:val="left" w:pos="4020"/>
              </w:tabs>
              <w:spacing w:line="264" w:lineRule="auto"/>
              <w:contextualSpacing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Бугаева С.Е.</w:t>
            </w:r>
          </w:p>
        </w:tc>
        <w:tc>
          <w:tcPr>
            <w:tcW w:w="3157" w:type="dxa"/>
          </w:tcPr>
          <w:p w:rsidR="006F2B12" w:rsidRPr="006F2B12" w:rsidRDefault="006F2B12" w:rsidP="002B5EAB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за</w:t>
            </w:r>
          </w:p>
        </w:tc>
      </w:tr>
      <w:tr w:rsidR="006F2B12" w:rsidRPr="006F2B12" w:rsidTr="002B5EAB">
        <w:tc>
          <w:tcPr>
            <w:tcW w:w="959" w:type="dxa"/>
          </w:tcPr>
          <w:p w:rsidR="006F2B12" w:rsidRPr="006F2B12" w:rsidRDefault="006F2B12" w:rsidP="002B5EAB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3.</w:t>
            </w:r>
          </w:p>
        </w:tc>
        <w:tc>
          <w:tcPr>
            <w:tcW w:w="2727" w:type="dxa"/>
          </w:tcPr>
          <w:p w:rsidR="006F2B12" w:rsidRPr="006F2B12" w:rsidRDefault="006F2B12" w:rsidP="002B5EAB">
            <w:pPr>
              <w:tabs>
                <w:tab w:val="left" w:pos="4020"/>
              </w:tabs>
              <w:spacing w:line="264" w:lineRule="auto"/>
              <w:contextualSpacing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Гущина Н.Б.</w:t>
            </w:r>
          </w:p>
        </w:tc>
        <w:tc>
          <w:tcPr>
            <w:tcW w:w="3157" w:type="dxa"/>
          </w:tcPr>
          <w:p w:rsidR="006F2B12" w:rsidRPr="006F2B12" w:rsidRDefault="006F2B12" w:rsidP="002B5EAB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-</w:t>
            </w:r>
          </w:p>
        </w:tc>
      </w:tr>
      <w:tr w:rsidR="006F2B12" w:rsidRPr="006F2B12" w:rsidTr="002B5EAB">
        <w:tc>
          <w:tcPr>
            <w:tcW w:w="959" w:type="dxa"/>
          </w:tcPr>
          <w:p w:rsidR="006F2B12" w:rsidRPr="006F2B12" w:rsidRDefault="006F2B12" w:rsidP="002B5EAB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4.</w:t>
            </w:r>
          </w:p>
        </w:tc>
        <w:tc>
          <w:tcPr>
            <w:tcW w:w="2727" w:type="dxa"/>
          </w:tcPr>
          <w:p w:rsidR="006F2B12" w:rsidRPr="006F2B12" w:rsidRDefault="006F2B12" w:rsidP="002B5EAB">
            <w:pPr>
              <w:tabs>
                <w:tab w:val="left" w:pos="4020"/>
              </w:tabs>
              <w:spacing w:line="264" w:lineRule="auto"/>
              <w:contextualSpacing/>
              <w:rPr>
                <w:sz w:val="24"/>
                <w:szCs w:val="24"/>
              </w:rPr>
            </w:pPr>
            <w:proofErr w:type="spellStart"/>
            <w:r w:rsidRPr="006F2B12">
              <w:rPr>
                <w:sz w:val="24"/>
                <w:szCs w:val="24"/>
              </w:rPr>
              <w:t>Курчанинова</w:t>
            </w:r>
            <w:proofErr w:type="spellEnd"/>
            <w:r w:rsidRPr="006F2B12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157" w:type="dxa"/>
          </w:tcPr>
          <w:p w:rsidR="006F2B12" w:rsidRPr="006F2B12" w:rsidRDefault="006F2B12" w:rsidP="002B5EAB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за</w:t>
            </w:r>
          </w:p>
        </w:tc>
      </w:tr>
      <w:tr w:rsidR="006F2B12" w:rsidRPr="006F2B12" w:rsidTr="002B5EAB">
        <w:tc>
          <w:tcPr>
            <w:tcW w:w="959" w:type="dxa"/>
          </w:tcPr>
          <w:p w:rsidR="006F2B12" w:rsidRPr="006F2B12" w:rsidRDefault="006F2B12" w:rsidP="002B5EAB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5.</w:t>
            </w:r>
          </w:p>
        </w:tc>
        <w:tc>
          <w:tcPr>
            <w:tcW w:w="2727" w:type="dxa"/>
          </w:tcPr>
          <w:p w:rsidR="006F2B12" w:rsidRPr="006F2B12" w:rsidRDefault="006F2B12" w:rsidP="002B5EAB">
            <w:pPr>
              <w:tabs>
                <w:tab w:val="left" w:pos="4020"/>
              </w:tabs>
              <w:spacing w:line="264" w:lineRule="auto"/>
              <w:contextualSpacing/>
              <w:rPr>
                <w:sz w:val="24"/>
                <w:szCs w:val="24"/>
              </w:rPr>
            </w:pPr>
            <w:proofErr w:type="spellStart"/>
            <w:r w:rsidRPr="006F2B12">
              <w:rPr>
                <w:sz w:val="24"/>
                <w:szCs w:val="24"/>
              </w:rPr>
              <w:t>Турбачкина</w:t>
            </w:r>
            <w:proofErr w:type="spellEnd"/>
            <w:r w:rsidRPr="006F2B12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157" w:type="dxa"/>
          </w:tcPr>
          <w:p w:rsidR="006F2B12" w:rsidRPr="006F2B12" w:rsidRDefault="006F2B12" w:rsidP="002B5EAB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за</w:t>
            </w:r>
          </w:p>
        </w:tc>
      </w:tr>
      <w:tr w:rsidR="006F2B12" w:rsidRPr="006F2B12" w:rsidTr="002B5EAB">
        <w:tc>
          <w:tcPr>
            <w:tcW w:w="959" w:type="dxa"/>
          </w:tcPr>
          <w:p w:rsidR="006F2B12" w:rsidRPr="006F2B12" w:rsidRDefault="006F2B12" w:rsidP="002B5EAB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6.</w:t>
            </w:r>
          </w:p>
        </w:tc>
        <w:tc>
          <w:tcPr>
            <w:tcW w:w="2727" w:type="dxa"/>
          </w:tcPr>
          <w:p w:rsidR="006F2B12" w:rsidRPr="006F2B12" w:rsidRDefault="006F2B12" w:rsidP="002B5EAB">
            <w:pPr>
              <w:tabs>
                <w:tab w:val="left" w:pos="4020"/>
              </w:tabs>
              <w:spacing w:line="264" w:lineRule="auto"/>
              <w:contextualSpacing/>
              <w:rPr>
                <w:sz w:val="24"/>
                <w:szCs w:val="24"/>
              </w:rPr>
            </w:pPr>
            <w:proofErr w:type="spellStart"/>
            <w:r w:rsidRPr="006F2B12">
              <w:rPr>
                <w:sz w:val="24"/>
                <w:szCs w:val="24"/>
              </w:rPr>
              <w:t>Коннова</w:t>
            </w:r>
            <w:proofErr w:type="spellEnd"/>
            <w:r w:rsidRPr="006F2B12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157" w:type="dxa"/>
          </w:tcPr>
          <w:p w:rsidR="006F2B12" w:rsidRPr="006F2B12" w:rsidRDefault="006F2B12" w:rsidP="002B5EAB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за</w:t>
            </w:r>
          </w:p>
        </w:tc>
      </w:tr>
      <w:tr w:rsidR="006F2B12" w:rsidRPr="006F2B12" w:rsidTr="002B5EAB">
        <w:tc>
          <w:tcPr>
            <w:tcW w:w="959" w:type="dxa"/>
          </w:tcPr>
          <w:p w:rsidR="006F2B12" w:rsidRPr="006F2B12" w:rsidRDefault="006F2B12" w:rsidP="002B5EAB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7.</w:t>
            </w:r>
          </w:p>
        </w:tc>
        <w:tc>
          <w:tcPr>
            <w:tcW w:w="2727" w:type="dxa"/>
          </w:tcPr>
          <w:p w:rsidR="006F2B12" w:rsidRPr="006F2B12" w:rsidRDefault="006F2B12" w:rsidP="002B5EAB">
            <w:pPr>
              <w:tabs>
                <w:tab w:val="left" w:pos="4020"/>
              </w:tabs>
              <w:spacing w:line="264" w:lineRule="auto"/>
              <w:contextualSpacing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Агапова О.П.</w:t>
            </w:r>
          </w:p>
        </w:tc>
        <w:tc>
          <w:tcPr>
            <w:tcW w:w="3157" w:type="dxa"/>
          </w:tcPr>
          <w:p w:rsidR="006F2B12" w:rsidRPr="006F2B12" w:rsidRDefault="006F2B12" w:rsidP="002B5EAB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за</w:t>
            </w:r>
          </w:p>
        </w:tc>
      </w:tr>
    </w:tbl>
    <w:p w:rsidR="006F2B12" w:rsidRPr="006F2B12" w:rsidRDefault="006F2B12" w:rsidP="006F2B12">
      <w:pPr>
        <w:widowControl/>
        <w:autoSpaceDE w:val="0"/>
        <w:autoSpaceDN w:val="0"/>
        <w:adjustRightInd w:val="0"/>
        <w:spacing w:line="264" w:lineRule="auto"/>
        <w:ind w:firstLine="540"/>
        <w:contextualSpacing/>
        <w:jc w:val="both"/>
        <w:outlineLvl w:val="3"/>
        <w:rPr>
          <w:b/>
          <w:sz w:val="24"/>
          <w:szCs w:val="24"/>
        </w:rPr>
      </w:pPr>
      <w:r w:rsidRPr="006F2B12">
        <w:rPr>
          <w:sz w:val="24"/>
          <w:szCs w:val="24"/>
        </w:rPr>
        <w:t xml:space="preserve">Итого: за – 6, против – 0, воздержался – 0, отсутствуют </w:t>
      </w:r>
      <w:r w:rsidRPr="006F2B12">
        <w:rPr>
          <w:b/>
          <w:sz w:val="24"/>
          <w:szCs w:val="24"/>
        </w:rPr>
        <w:t>–</w:t>
      </w:r>
      <w:r w:rsidRPr="006F2B12">
        <w:rPr>
          <w:sz w:val="24"/>
          <w:szCs w:val="24"/>
        </w:rPr>
        <w:t xml:space="preserve"> 1.</w:t>
      </w:r>
      <w:r w:rsidRPr="006F2B12">
        <w:rPr>
          <w:b/>
          <w:sz w:val="24"/>
          <w:szCs w:val="24"/>
        </w:rPr>
        <w:t xml:space="preserve"> </w:t>
      </w:r>
    </w:p>
    <w:p w:rsidR="006F2B12" w:rsidRPr="00FD40D3" w:rsidRDefault="006F2B12" w:rsidP="006F2B12">
      <w:pPr>
        <w:pStyle w:val="ConsNormal"/>
        <w:spacing w:line="264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8135B" w:rsidRPr="00EB309C" w:rsidRDefault="00C8135B" w:rsidP="00EB309C">
      <w:pPr>
        <w:pStyle w:val="ConsNormal"/>
        <w:numPr>
          <w:ilvl w:val="0"/>
          <w:numId w:val="41"/>
        </w:numPr>
        <w:tabs>
          <w:tab w:val="left" w:pos="851"/>
          <w:tab w:val="left" w:pos="993"/>
          <w:tab w:val="left" w:pos="4020"/>
        </w:tabs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B309C">
        <w:rPr>
          <w:rFonts w:ascii="Times New Roman" w:hAnsi="Times New Roman"/>
          <w:b/>
          <w:sz w:val="24"/>
          <w:szCs w:val="24"/>
        </w:rPr>
        <w:t xml:space="preserve">СЛУШАЛИ: </w:t>
      </w:r>
      <w:r w:rsidR="00EB309C" w:rsidRPr="00EB309C">
        <w:rPr>
          <w:rFonts w:ascii="Times New Roman" w:hAnsi="Times New Roman"/>
          <w:b/>
          <w:sz w:val="24"/>
          <w:szCs w:val="24"/>
        </w:rPr>
        <w:t>О внесении изменений в постановление Департамента энергетики и тарифов Ивановской области от 30.12.2021 № 61-г/1.</w:t>
      </w:r>
      <w:r w:rsidRPr="00EB309C">
        <w:rPr>
          <w:rFonts w:ascii="Times New Roman" w:hAnsi="Times New Roman"/>
          <w:b/>
          <w:sz w:val="24"/>
          <w:szCs w:val="24"/>
        </w:rPr>
        <w:t xml:space="preserve"> (Краснятова А.С.)</w:t>
      </w:r>
    </w:p>
    <w:p w:rsidR="008D6CF5" w:rsidRDefault="008D6CF5" w:rsidP="0054746E">
      <w:pPr>
        <w:pStyle w:val="ConsNormal"/>
        <w:spacing w:line="276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proofErr w:type="gramStart"/>
      <w:r w:rsidRPr="008D6CF5">
        <w:rPr>
          <w:rFonts w:ascii="Times New Roman" w:hAnsi="Times New Roman"/>
          <w:snapToGrid/>
          <w:sz w:val="24"/>
          <w:szCs w:val="24"/>
        </w:rPr>
        <w:t>АО «Газпром газораспределение Иваново» (далее – ГРО) письмом от 19.04.2022 № ДЩ-08-09/854 представило расчет и обосновывающие материалы по установлению стандартизированных тарифных ставок на покрытие расходов ГРО, связанных с проектированием и строительством пунктов редуцирования с диапазоном максимального часового расхода 400 – 999 м3/час и 1 000 – 1 999 м3/час, используемых для определения величины платы за технологическое присоединение газоиспользующего оборудования к газораспределительным</w:t>
      </w:r>
      <w:proofErr w:type="gramEnd"/>
      <w:r w:rsidRPr="008D6CF5">
        <w:rPr>
          <w:rFonts w:ascii="Times New Roman" w:hAnsi="Times New Roman"/>
          <w:snapToGrid/>
          <w:sz w:val="24"/>
          <w:szCs w:val="24"/>
        </w:rPr>
        <w:t xml:space="preserve"> сетям АО «Газпром газораспределение Иваново» на 2022 год.</w:t>
      </w:r>
    </w:p>
    <w:p w:rsidR="00295A73" w:rsidRPr="00FD40D3" w:rsidRDefault="008D6CF5" w:rsidP="0054746E">
      <w:pPr>
        <w:pStyle w:val="ConsNormal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8D6CF5">
        <w:rPr>
          <w:rFonts w:ascii="Times New Roman" w:hAnsi="Times New Roman"/>
          <w:sz w:val="24"/>
          <w:szCs w:val="24"/>
        </w:rPr>
        <w:t>Материалы для расчета стандартизированных тарифных ставок представлены АО «Газпром газораспределение Иваново» в электронной форме в соответствии с пунктом 26(23) Основных положений формирования и государственного регулирования цен на газ и тарифов на услуги по его транспортировке на территории Российской Федерации, утвержденных постановлением Правительства РФ от 29.12.2000 № 1021. При рассмотрении материалов исходили из того, что представленные данные являются достоверными, ответственность за достоверность предоставленных документов несут уполномоченные лица АО «Газпром газораспределение Иваново».</w:t>
      </w:r>
    </w:p>
    <w:p w:rsidR="00790E5E" w:rsidRPr="00790E5E" w:rsidRDefault="00790E5E" w:rsidP="00790E5E">
      <w:pPr>
        <w:pStyle w:val="ConsNormal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90E5E">
        <w:rPr>
          <w:rFonts w:ascii="Times New Roman" w:hAnsi="Times New Roman"/>
          <w:sz w:val="24"/>
          <w:szCs w:val="24"/>
        </w:rPr>
        <w:t>В целях определения платы за подключение к своим газораспределительным сетям, в соответствии с поданными заявками заявителя, ГРО представила предложения об установлении стандартизированных тарифных ставок С5 (на покрытие расходов ГРО, связанных с проектированием и строительством пунктов редуцирования) для диапазонов подключаемой нагрузки:</w:t>
      </w:r>
    </w:p>
    <w:p w:rsidR="00790E5E" w:rsidRPr="00790E5E" w:rsidRDefault="00790E5E" w:rsidP="00790E5E">
      <w:pPr>
        <w:pStyle w:val="ConsNormal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90E5E">
        <w:rPr>
          <w:rFonts w:ascii="Times New Roman" w:hAnsi="Times New Roman"/>
          <w:sz w:val="24"/>
          <w:szCs w:val="24"/>
        </w:rPr>
        <w:t>«400 – 999 м3/час» в размере 2 260,18 руб./м3;</w:t>
      </w:r>
    </w:p>
    <w:p w:rsidR="00790E5E" w:rsidRPr="00790E5E" w:rsidRDefault="00790E5E" w:rsidP="00790E5E">
      <w:pPr>
        <w:pStyle w:val="ConsNormal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90E5E">
        <w:rPr>
          <w:rFonts w:ascii="Times New Roman" w:hAnsi="Times New Roman"/>
          <w:sz w:val="24"/>
          <w:szCs w:val="24"/>
        </w:rPr>
        <w:t>«1 000 – 1 999 м3/час» в размере 1 031,27 руб./м3.</w:t>
      </w:r>
    </w:p>
    <w:p w:rsidR="00790E5E" w:rsidRPr="00790E5E" w:rsidRDefault="00790E5E" w:rsidP="00790E5E">
      <w:pPr>
        <w:pStyle w:val="ConsNormal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90E5E">
        <w:rPr>
          <w:rFonts w:ascii="Times New Roman" w:hAnsi="Times New Roman"/>
          <w:sz w:val="24"/>
          <w:szCs w:val="24"/>
        </w:rPr>
        <w:t>Стоимость выполнения всех видов работ, учтенных в локальных сметах на строительство, определена ГРО с учетом действующих Государственных элементных сметных норм ГЭСН-2020, утвержденных Минстроем России.</w:t>
      </w:r>
    </w:p>
    <w:p w:rsidR="00790E5E" w:rsidRDefault="001C3B04" w:rsidP="00790E5E">
      <w:pPr>
        <w:pStyle w:val="ConsNormal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Сметная стоимость </w:t>
      </w:r>
      <w:r w:rsidRPr="001C3B04">
        <w:rPr>
          <w:rFonts w:ascii="Times New Roman" w:hAnsi="Times New Roman"/>
          <w:sz w:val="24"/>
          <w:szCs w:val="24"/>
        </w:rPr>
        <w:t>выполнения всех видов работ</w:t>
      </w:r>
      <w:r>
        <w:rPr>
          <w:rFonts w:ascii="Times New Roman" w:hAnsi="Times New Roman"/>
          <w:sz w:val="24"/>
          <w:szCs w:val="24"/>
        </w:rPr>
        <w:t xml:space="preserve"> по проектированию и установке ШРП</w:t>
      </w:r>
      <w:r w:rsidRPr="001C3B04">
        <w:rPr>
          <w:rFonts w:ascii="Times New Roman" w:hAnsi="Times New Roman"/>
          <w:sz w:val="24"/>
          <w:szCs w:val="24"/>
        </w:rPr>
        <w:t>, учтенных в локальных сметах на строительство, сформирована ГРО с учетом действующих Государственных элементных сметных норм ГЭСН-2020, утвержденных приказом Минстроя России от 20.12.2021 № 961/</w:t>
      </w:r>
      <w:proofErr w:type="spellStart"/>
      <w:proofErr w:type="gramStart"/>
      <w:r w:rsidRPr="001C3B04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1C3B04">
        <w:rPr>
          <w:rFonts w:ascii="Times New Roman" w:hAnsi="Times New Roman"/>
          <w:sz w:val="24"/>
          <w:szCs w:val="24"/>
        </w:rPr>
        <w:t>, дополнительных расходов с установкой молниезащиты  и благоустройства. Сметная стоимость на ШРП учтена на основе проведенного конъюнктурного анализа по наиболее экономичному варианту.</w:t>
      </w:r>
    </w:p>
    <w:p w:rsidR="00A73FBC" w:rsidRPr="00A73FBC" w:rsidRDefault="00A73FBC" w:rsidP="00A73FBC">
      <w:pPr>
        <w:pStyle w:val="ConsNormal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73FBC">
        <w:rPr>
          <w:rFonts w:ascii="Times New Roman" w:hAnsi="Times New Roman"/>
          <w:sz w:val="24"/>
          <w:szCs w:val="24"/>
        </w:rPr>
        <w:lastRenderedPageBreak/>
        <w:t>Эксперты отмечают, что тип, марка и производитель устанавливаемого ГРПШ будет определен после разработки проектной документации, исходя из рабочих характеристик и характера нагрузки.</w:t>
      </w:r>
    </w:p>
    <w:p w:rsidR="00A73FBC" w:rsidRPr="00A73FBC" w:rsidRDefault="00A73FBC" w:rsidP="00A73FBC">
      <w:pPr>
        <w:pStyle w:val="ConsNormal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73FBC">
        <w:rPr>
          <w:rFonts w:ascii="Times New Roman" w:hAnsi="Times New Roman"/>
          <w:sz w:val="24"/>
          <w:szCs w:val="24"/>
        </w:rPr>
        <w:t xml:space="preserve">При проведении оценки экономической обоснованности </w:t>
      </w:r>
      <w:proofErr w:type="gramStart"/>
      <w:r w:rsidRPr="00A73FBC">
        <w:rPr>
          <w:rFonts w:ascii="Times New Roman" w:hAnsi="Times New Roman"/>
          <w:sz w:val="24"/>
          <w:szCs w:val="24"/>
        </w:rPr>
        <w:t>представленного</w:t>
      </w:r>
      <w:proofErr w:type="gramEnd"/>
      <w:r w:rsidRPr="00A73FBC">
        <w:rPr>
          <w:rFonts w:ascii="Times New Roman" w:hAnsi="Times New Roman"/>
          <w:sz w:val="24"/>
          <w:szCs w:val="24"/>
        </w:rPr>
        <w:t xml:space="preserve"> ГРО, эксперты принимали во внимание:</w:t>
      </w:r>
    </w:p>
    <w:p w:rsidR="00A73FBC" w:rsidRPr="00A73FBC" w:rsidRDefault="00A73FBC" w:rsidP="00A73FBC">
      <w:pPr>
        <w:pStyle w:val="ConsNormal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73FBC">
        <w:rPr>
          <w:rFonts w:ascii="Times New Roman" w:hAnsi="Times New Roman"/>
          <w:sz w:val="24"/>
          <w:szCs w:val="24"/>
        </w:rPr>
        <w:t>- стоимость аналогичных работ по установке ШРП, определенную в соответствии с НЦС 81-02-19-2021 «Сборник № 19. Здания и сооружения городской инфраструктуры», утвержденным приказом Минстроя России от 11.03.2021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3FBC">
        <w:rPr>
          <w:rFonts w:ascii="Times New Roman" w:hAnsi="Times New Roman"/>
          <w:sz w:val="24"/>
          <w:szCs w:val="24"/>
        </w:rPr>
        <w:t>№ 123/</w:t>
      </w:r>
      <w:proofErr w:type="spellStart"/>
      <w:proofErr w:type="gramStart"/>
      <w:r w:rsidRPr="00A73FBC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A73FBC">
        <w:rPr>
          <w:rFonts w:ascii="Times New Roman" w:hAnsi="Times New Roman"/>
          <w:sz w:val="24"/>
          <w:szCs w:val="24"/>
        </w:rPr>
        <w:t>;</w:t>
      </w:r>
    </w:p>
    <w:p w:rsidR="00A73FBC" w:rsidRPr="00A73FBC" w:rsidRDefault="00A73FBC" w:rsidP="00A73FBC">
      <w:pPr>
        <w:pStyle w:val="ConsNormal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73FBC">
        <w:rPr>
          <w:rFonts w:ascii="Times New Roman" w:hAnsi="Times New Roman"/>
          <w:sz w:val="24"/>
          <w:szCs w:val="24"/>
        </w:rPr>
        <w:t>- стоимость дополнительных работ, не учтенных НЦС и определяемых на основании средних рыночных цен материалов (работ, услуг);</w:t>
      </w:r>
    </w:p>
    <w:p w:rsidR="00A73FBC" w:rsidRPr="00A73FBC" w:rsidRDefault="00A73FBC" w:rsidP="00A73FBC">
      <w:pPr>
        <w:pStyle w:val="ConsNormal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73FBC">
        <w:rPr>
          <w:rFonts w:ascii="Times New Roman" w:hAnsi="Times New Roman"/>
          <w:sz w:val="24"/>
          <w:szCs w:val="24"/>
        </w:rPr>
        <w:t>- стоимость оборудования учтена в соответствии с представленным ГРО экономичным вариантом на основе конъюнктурного анализа.</w:t>
      </w:r>
    </w:p>
    <w:p w:rsidR="00790E5E" w:rsidRDefault="00A73FBC" w:rsidP="00A73FBC">
      <w:pPr>
        <w:pStyle w:val="ConsNormal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73FBC">
        <w:rPr>
          <w:rFonts w:ascii="Times New Roman" w:hAnsi="Times New Roman"/>
          <w:sz w:val="24"/>
          <w:szCs w:val="24"/>
        </w:rPr>
        <w:t>Проведя экспертную оценку состава и видов работ, завышений сметной стоимости не выявлено.</w:t>
      </w:r>
    </w:p>
    <w:p w:rsidR="003B28CD" w:rsidRPr="003B28CD" w:rsidRDefault="003B28CD" w:rsidP="003B28CD">
      <w:pPr>
        <w:ind w:firstLine="709"/>
        <w:jc w:val="both"/>
        <w:rPr>
          <w:sz w:val="24"/>
          <w:szCs w:val="24"/>
        </w:rPr>
      </w:pPr>
      <w:r w:rsidRPr="003B28CD">
        <w:rPr>
          <w:sz w:val="24"/>
          <w:szCs w:val="24"/>
        </w:rPr>
        <w:t>Рассмотрев представленные документы и обоснования, предлагается:</w:t>
      </w:r>
    </w:p>
    <w:p w:rsidR="003B28CD" w:rsidRPr="003B28CD" w:rsidRDefault="003B28CD" w:rsidP="003B28C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B28CD">
        <w:rPr>
          <w:sz w:val="24"/>
          <w:szCs w:val="24"/>
        </w:rPr>
        <w:t xml:space="preserve">1. </w:t>
      </w:r>
      <w:proofErr w:type="gramStart"/>
      <w:r w:rsidRPr="003B28CD">
        <w:rPr>
          <w:sz w:val="24"/>
          <w:szCs w:val="24"/>
        </w:rPr>
        <w:t>Внести в раздел V «Стандартизированная тарифная ставка С</w:t>
      </w:r>
      <w:r w:rsidRPr="003B28CD">
        <w:rPr>
          <w:sz w:val="24"/>
          <w:szCs w:val="24"/>
          <w:vertAlign w:val="subscript"/>
        </w:rPr>
        <w:t>5</w:t>
      </w:r>
      <w:r w:rsidRPr="003B28CD">
        <w:rPr>
          <w:sz w:val="24"/>
          <w:szCs w:val="24"/>
        </w:rPr>
        <w:t xml:space="preserve"> на покрытие расходов ГРО, связанных с проектированием и строительством пунктов редуцирования газа m-</w:t>
      </w:r>
      <w:proofErr w:type="spellStart"/>
      <w:r w:rsidRPr="003B28CD">
        <w:rPr>
          <w:sz w:val="24"/>
          <w:szCs w:val="24"/>
        </w:rPr>
        <w:t>го</w:t>
      </w:r>
      <w:proofErr w:type="spellEnd"/>
      <w:r w:rsidRPr="003B28CD">
        <w:rPr>
          <w:sz w:val="24"/>
          <w:szCs w:val="24"/>
        </w:rPr>
        <w:t xml:space="preserve"> диапазона максимального часового расхода газа, в расчете на 1 м3 (руб./м3)» приложения 1 к постановлению Департамента энергетики и тарифов Ивановской области от 30.12.2021 № 61-г/1 «Об установлении стандартизированных тарифных ставок, используемых для определения величины платы за технологическое присоединение</w:t>
      </w:r>
      <w:proofErr w:type="gramEnd"/>
      <w:r w:rsidRPr="003B28CD">
        <w:rPr>
          <w:sz w:val="24"/>
          <w:szCs w:val="24"/>
        </w:rPr>
        <w:t xml:space="preserve"> газоиспользующего оборудования к газораспределительным сетям АО «Газпром газораспределение Иваново» на 2022 год» изменения, изложив строки 4 и 5 в новой редакции: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251"/>
        <w:gridCol w:w="2464"/>
      </w:tblGrid>
      <w:tr w:rsidR="003B28CD" w:rsidRPr="003B28CD" w:rsidTr="002B5EAB">
        <w:trPr>
          <w:jc w:val="center"/>
        </w:trPr>
        <w:tc>
          <w:tcPr>
            <w:tcW w:w="675" w:type="dxa"/>
          </w:tcPr>
          <w:p w:rsidR="003B28CD" w:rsidRPr="003B28CD" w:rsidRDefault="003B28CD" w:rsidP="002B5EAB">
            <w:pPr>
              <w:pStyle w:val="a4"/>
              <w:autoSpaceDE w:val="0"/>
              <w:autoSpaceDN w:val="0"/>
              <w:adjustRightInd w:val="0"/>
              <w:spacing w:line="300" w:lineRule="auto"/>
              <w:ind w:left="0"/>
              <w:jc w:val="center"/>
              <w:rPr>
                <w:sz w:val="24"/>
                <w:szCs w:val="24"/>
              </w:rPr>
            </w:pPr>
            <w:r w:rsidRPr="003B28CD">
              <w:rPr>
                <w:sz w:val="24"/>
                <w:szCs w:val="24"/>
              </w:rPr>
              <w:t>«4</w:t>
            </w:r>
          </w:p>
        </w:tc>
        <w:tc>
          <w:tcPr>
            <w:tcW w:w="4251" w:type="dxa"/>
          </w:tcPr>
          <w:p w:rsidR="003B28CD" w:rsidRPr="003B28CD" w:rsidRDefault="003B28CD" w:rsidP="002B5EAB">
            <w:pPr>
              <w:pStyle w:val="a4"/>
              <w:autoSpaceDE w:val="0"/>
              <w:autoSpaceDN w:val="0"/>
              <w:adjustRightInd w:val="0"/>
              <w:spacing w:line="300" w:lineRule="auto"/>
              <w:ind w:left="0"/>
              <w:rPr>
                <w:sz w:val="24"/>
                <w:szCs w:val="24"/>
              </w:rPr>
            </w:pPr>
            <w:r w:rsidRPr="003B28CD">
              <w:rPr>
                <w:sz w:val="24"/>
                <w:szCs w:val="24"/>
              </w:rPr>
              <w:t>400 – 999 м</w:t>
            </w:r>
            <w:r w:rsidRPr="003B28CD">
              <w:rPr>
                <w:sz w:val="24"/>
                <w:szCs w:val="24"/>
                <w:vertAlign w:val="superscript"/>
              </w:rPr>
              <w:t>3</w:t>
            </w:r>
            <w:r w:rsidRPr="003B28CD">
              <w:rPr>
                <w:sz w:val="24"/>
                <w:szCs w:val="24"/>
              </w:rPr>
              <w:t>/час</w:t>
            </w:r>
          </w:p>
        </w:tc>
        <w:tc>
          <w:tcPr>
            <w:tcW w:w="2464" w:type="dxa"/>
          </w:tcPr>
          <w:p w:rsidR="003B28CD" w:rsidRPr="003B28CD" w:rsidRDefault="003B28CD" w:rsidP="002B5EAB">
            <w:pPr>
              <w:pStyle w:val="a4"/>
              <w:autoSpaceDE w:val="0"/>
              <w:autoSpaceDN w:val="0"/>
              <w:adjustRightInd w:val="0"/>
              <w:spacing w:line="300" w:lineRule="auto"/>
              <w:ind w:left="0"/>
              <w:jc w:val="center"/>
              <w:rPr>
                <w:sz w:val="24"/>
                <w:szCs w:val="24"/>
              </w:rPr>
            </w:pPr>
            <w:r w:rsidRPr="003B28CD">
              <w:rPr>
                <w:sz w:val="24"/>
                <w:szCs w:val="24"/>
              </w:rPr>
              <w:t>2 260,18</w:t>
            </w:r>
          </w:p>
        </w:tc>
      </w:tr>
      <w:tr w:rsidR="003B28CD" w:rsidRPr="003B28CD" w:rsidTr="002B5EAB">
        <w:trPr>
          <w:jc w:val="center"/>
        </w:trPr>
        <w:tc>
          <w:tcPr>
            <w:tcW w:w="675" w:type="dxa"/>
          </w:tcPr>
          <w:p w:rsidR="003B28CD" w:rsidRPr="003B28CD" w:rsidRDefault="003B28CD" w:rsidP="002B5EAB">
            <w:pPr>
              <w:pStyle w:val="a4"/>
              <w:autoSpaceDE w:val="0"/>
              <w:autoSpaceDN w:val="0"/>
              <w:adjustRightInd w:val="0"/>
              <w:spacing w:line="300" w:lineRule="auto"/>
              <w:ind w:left="0"/>
              <w:jc w:val="center"/>
              <w:rPr>
                <w:sz w:val="24"/>
                <w:szCs w:val="24"/>
              </w:rPr>
            </w:pPr>
            <w:r w:rsidRPr="003B28CD"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3B28CD" w:rsidRPr="003B28CD" w:rsidRDefault="003B28CD" w:rsidP="002B5EAB">
            <w:pPr>
              <w:pStyle w:val="a4"/>
              <w:autoSpaceDE w:val="0"/>
              <w:autoSpaceDN w:val="0"/>
              <w:adjustRightInd w:val="0"/>
              <w:spacing w:line="300" w:lineRule="auto"/>
              <w:ind w:left="0"/>
              <w:rPr>
                <w:sz w:val="24"/>
                <w:szCs w:val="24"/>
              </w:rPr>
            </w:pPr>
            <w:r w:rsidRPr="003B28CD">
              <w:rPr>
                <w:sz w:val="24"/>
                <w:szCs w:val="24"/>
              </w:rPr>
              <w:t>1 000 – 1 999 м</w:t>
            </w:r>
            <w:r w:rsidRPr="003B28CD">
              <w:rPr>
                <w:sz w:val="24"/>
                <w:szCs w:val="24"/>
                <w:vertAlign w:val="superscript"/>
              </w:rPr>
              <w:t>3</w:t>
            </w:r>
            <w:r w:rsidRPr="003B28CD">
              <w:rPr>
                <w:sz w:val="24"/>
                <w:szCs w:val="24"/>
              </w:rPr>
              <w:t>/час</w:t>
            </w:r>
          </w:p>
        </w:tc>
        <w:tc>
          <w:tcPr>
            <w:tcW w:w="2464" w:type="dxa"/>
          </w:tcPr>
          <w:p w:rsidR="003B28CD" w:rsidRPr="003B28CD" w:rsidRDefault="003B28CD" w:rsidP="002B5EAB">
            <w:pPr>
              <w:pStyle w:val="a4"/>
              <w:autoSpaceDE w:val="0"/>
              <w:autoSpaceDN w:val="0"/>
              <w:adjustRightInd w:val="0"/>
              <w:spacing w:line="300" w:lineRule="auto"/>
              <w:ind w:left="0"/>
              <w:jc w:val="center"/>
              <w:rPr>
                <w:sz w:val="24"/>
                <w:szCs w:val="24"/>
              </w:rPr>
            </w:pPr>
            <w:r w:rsidRPr="003B28CD">
              <w:rPr>
                <w:sz w:val="24"/>
                <w:szCs w:val="24"/>
              </w:rPr>
              <w:t>1 031,27»</w:t>
            </w:r>
          </w:p>
        </w:tc>
      </w:tr>
    </w:tbl>
    <w:p w:rsidR="00790E5E" w:rsidRPr="003B28CD" w:rsidRDefault="003B28CD" w:rsidP="00790E5E">
      <w:pPr>
        <w:pStyle w:val="ConsNormal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B28CD">
        <w:rPr>
          <w:rFonts w:ascii="Times New Roman" w:hAnsi="Times New Roman"/>
          <w:sz w:val="24"/>
          <w:szCs w:val="24"/>
        </w:rPr>
        <w:t>2. Постановление вступает в силу со дня его официального опубликования.</w:t>
      </w:r>
    </w:p>
    <w:p w:rsidR="00790E5E" w:rsidRPr="00FD40D3" w:rsidRDefault="00790E5E" w:rsidP="00790E5E">
      <w:pPr>
        <w:pStyle w:val="ConsNormal"/>
        <w:spacing w:line="276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B28CD" w:rsidRPr="004C09F2" w:rsidRDefault="003B28CD" w:rsidP="003B28CD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4C09F2">
        <w:rPr>
          <w:rFonts w:ascii="Times New Roman" w:hAnsi="Times New Roman"/>
          <w:snapToGrid/>
          <w:sz w:val="24"/>
          <w:szCs w:val="24"/>
        </w:rPr>
        <w:t xml:space="preserve">Извещение о заседании Правления Департамента энергетики и тарифов Ивановской области, проект решения и экспертное заключение направлено в адрес организации письмом от 26.04.2022 № исх-744-018/4-2-10. </w:t>
      </w:r>
    </w:p>
    <w:p w:rsidR="003B28CD" w:rsidRPr="004C09F2" w:rsidRDefault="003B28CD" w:rsidP="003B28CD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4C09F2">
        <w:rPr>
          <w:rFonts w:ascii="Times New Roman" w:hAnsi="Times New Roman"/>
          <w:snapToGrid/>
          <w:sz w:val="24"/>
          <w:szCs w:val="24"/>
        </w:rPr>
        <w:t>АО «Газпром газораспределение Иваново» по проекту решения замечаний не представил, просил рассмотреть данный вопрос без участия представителя (письмо от 27.04.2022 № ДЩ-08-09/911).</w:t>
      </w:r>
    </w:p>
    <w:p w:rsidR="004D5F4B" w:rsidRPr="00FD40D3" w:rsidRDefault="004D5F4B" w:rsidP="0054746E">
      <w:pPr>
        <w:spacing w:line="276" w:lineRule="auto"/>
        <w:ind w:firstLine="709"/>
        <w:contextualSpacing/>
        <w:jc w:val="both"/>
        <w:rPr>
          <w:b/>
          <w:sz w:val="24"/>
          <w:szCs w:val="24"/>
          <w:highlight w:val="yellow"/>
        </w:rPr>
      </w:pPr>
    </w:p>
    <w:p w:rsidR="004D5F4B" w:rsidRPr="008553E0" w:rsidRDefault="004D5F4B" w:rsidP="0054746E">
      <w:pPr>
        <w:spacing w:line="276" w:lineRule="auto"/>
        <w:ind w:firstLine="709"/>
        <w:contextualSpacing/>
        <w:jc w:val="both"/>
        <w:rPr>
          <w:b/>
          <w:sz w:val="24"/>
          <w:szCs w:val="24"/>
        </w:rPr>
      </w:pPr>
      <w:r w:rsidRPr="008553E0">
        <w:rPr>
          <w:b/>
          <w:sz w:val="24"/>
          <w:szCs w:val="24"/>
        </w:rPr>
        <w:t>РЕШИЛИ:</w:t>
      </w:r>
    </w:p>
    <w:p w:rsidR="004D5F4B" w:rsidRPr="008553E0" w:rsidRDefault="008553E0" w:rsidP="0054746E">
      <w:pPr>
        <w:pStyle w:val="ConsNormal"/>
        <w:tabs>
          <w:tab w:val="left" w:pos="851"/>
          <w:tab w:val="left" w:pos="993"/>
          <w:tab w:val="left" w:pos="4020"/>
        </w:tabs>
        <w:spacing w:line="276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proofErr w:type="gramStart"/>
      <w:r w:rsidRPr="008553E0">
        <w:rPr>
          <w:rFonts w:ascii="Times New Roman" w:hAnsi="Times New Roman"/>
          <w:snapToGrid/>
          <w:sz w:val="24"/>
          <w:szCs w:val="24"/>
        </w:rPr>
        <w:t>В соответствии с Федеральным законом от 31.03.1999 № 69-ФЗ «О газоснабжении в Российской Федерации», постановлениями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 от 13.09.2021 № 1547 «Об утверждении Правил подключения (технологического присоединения) газоиспользующего оборудования и объектов капитального</w:t>
      </w:r>
      <w:proofErr w:type="gramEnd"/>
      <w:r w:rsidRPr="008553E0">
        <w:rPr>
          <w:rFonts w:ascii="Times New Roman" w:hAnsi="Times New Roman"/>
          <w:snapToGrid/>
          <w:sz w:val="24"/>
          <w:szCs w:val="24"/>
        </w:rPr>
        <w:t xml:space="preserve"> строительства к сетям газораспределения и о признании утратившими силу некоторых актов Правительства Российской Федерации», приказом ФАС России от 16.08.2018 № 1151/18 «Об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</w:t>
      </w:r>
      <w:proofErr w:type="gramStart"/>
      <w:r w:rsidRPr="008553E0">
        <w:rPr>
          <w:rFonts w:ascii="Times New Roman" w:hAnsi="Times New Roman"/>
          <w:snapToGrid/>
          <w:sz w:val="24"/>
          <w:szCs w:val="24"/>
        </w:rPr>
        <w:t>и(</w:t>
      </w:r>
      <w:proofErr w:type="gramEnd"/>
      <w:r w:rsidRPr="008553E0">
        <w:rPr>
          <w:rFonts w:ascii="Times New Roman" w:hAnsi="Times New Roman"/>
          <w:snapToGrid/>
          <w:sz w:val="24"/>
          <w:szCs w:val="24"/>
        </w:rPr>
        <w:t xml:space="preserve">или) размеров стандартизированных тарифных ставок, </w:t>
      </w:r>
      <w:r w:rsidRPr="008553E0">
        <w:rPr>
          <w:rFonts w:ascii="Times New Roman" w:hAnsi="Times New Roman"/>
          <w:snapToGrid/>
          <w:sz w:val="24"/>
          <w:szCs w:val="24"/>
        </w:rPr>
        <w:lastRenderedPageBreak/>
        <w:t>определяющих ее величину», Департамент энергетики и тарифов Ивановской области</w:t>
      </w:r>
      <w:r w:rsidR="004D5F4B" w:rsidRPr="008553E0">
        <w:rPr>
          <w:rFonts w:ascii="Times New Roman" w:hAnsi="Times New Roman"/>
          <w:snapToGrid/>
          <w:sz w:val="24"/>
          <w:szCs w:val="24"/>
        </w:rPr>
        <w:t xml:space="preserve"> постановляет:</w:t>
      </w:r>
    </w:p>
    <w:p w:rsidR="008553E0" w:rsidRPr="008553E0" w:rsidRDefault="008553E0" w:rsidP="008553E0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8553E0">
        <w:rPr>
          <w:sz w:val="24"/>
          <w:szCs w:val="24"/>
        </w:rPr>
        <w:t xml:space="preserve">1. </w:t>
      </w:r>
      <w:proofErr w:type="gramStart"/>
      <w:r w:rsidRPr="008553E0">
        <w:rPr>
          <w:sz w:val="24"/>
          <w:szCs w:val="24"/>
        </w:rPr>
        <w:t>Внести в раздел V «Стандартизированная тарифная ставка С</w:t>
      </w:r>
      <w:r w:rsidRPr="008553E0">
        <w:rPr>
          <w:sz w:val="24"/>
          <w:szCs w:val="24"/>
          <w:vertAlign w:val="subscript"/>
        </w:rPr>
        <w:t>5</w:t>
      </w:r>
      <w:r w:rsidRPr="008553E0">
        <w:rPr>
          <w:sz w:val="24"/>
          <w:szCs w:val="24"/>
        </w:rPr>
        <w:t xml:space="preserve"> на покрытие расходов ГРО, связанных с проектированием и строительством пунктов редуцирования газа m-</w:t>
      </w:r>
      <w:proofErr w:type="spellStart"/>
      <w:r w:rsidRPr="008553E0">
        <w:rPr>
          <w:sz w:val="24"/>
          <w:szCs w:val="24"/>
        </w:rPr>
        <w:t>го</w:t>
      </w:r>
      <w:proofErr w:type="spellEnd"/>
      <w:r w:rsidRPr="008553E0">
        <w:rPr>
          <w:sz w:val="24"/>
          <w:szCs w:val="24"/>
        </w:rPr>
        <w:t xml:space="preserve"> диапазона максимального часового расхода газа, в расчете на 1 м3 (руб./м3)» приложения 1 к постановлению Департамента энергетики и тарифов Ивановской области от 30.12.2021 № 61-г/1 «Об установлении стандартизированных тарифных ставок, используемых для определения величины платы за технологическое присоединение</w:t>
      </w:r>
      <w:proofErr w:type="gramEnd"/>
      <w:r w:rsidRPr="008553E0">
        <w:rPr>
          <w:sz w:val="24"/>
          <w:szCs w:val="24"/>
        </w:rPr>
        <w:t xml:space="preserve"> газоиспользующего оборудования к газораспределительным сетям АО «Газпром газораспределение Иваново» на 2022 год» изменения, изложив строки 4 и 5 в новой редакции: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251"/>
        <w:gridCol w:w="2464"/>
      </w:tblGrid>
      <w:tr w:rsidR="008553E0" w:rsidRPr="008553E0" w:rsidTr="008553E0">
        <w:trPr>
          <w:trHeight w:val="335"/>
          <w:jc w:val="center"/>
        </w:trPr>
        <w:tc>
          <w:tcPr>
            <w:tcW w:w="675" w:type="dxa"/>
            <w:vAlign w:val="center"/>
          </w:tcPr>
          <w:p w:rsidR="008553E0" w:rsidRPr="008553E0" w:rsidRDefault="008553E0" w:rsidP="002B5EAB">
            <w:pPr>
              <w:pStyle w:val="a4"/>
              <w:autoSpaceDE w:val="0"/>
              <w:autoSpaceDN w:val="0"/>
              <w:adjustRightInd w:val="0"/>
              <w:spacing w:line="300" w:lineRule="auto"/>
              <w:ind w:left="0"/>
              <w:rPr>
                <w:sz w:val="24"/>
                <w:szCs w:val="24"/>
              </w:rPr>
            </w:pPr>
            <w:r w:rsidRPr="008553E0">
              <w:rPr>
                <w:sz w:val="24"/>
                <w:szCs w:val="24"/>
              </w:rPr>
              <w:t>«4</w:t>
            </w:r>
          </w:p>
        </w:tc>
        <w:tc>
          <w:tcPr>
            <w:tcW w:w="4251" w:type="dxa"/>
            <w:vAlign w:val="center"/>
          </w:tcPr>
          <w:p w:rsidR="008553E0" w:rsidRPr="008553E0" w:rsidRDefault="008553E0" w:rsidP="002B5EAB">
            <w:pPr>
              <w:pStyle w:val="a4"/>
              <w:autoSpaceDE w:val="0"/>
              <w:autoSpaceDN w:val="0"/>
              <w:adjustRightInd w:val="0"/>
              <w:spacing w:line="300" w:lineRule="auto"/>
              <w:ind w:left="0"/>
              <w:rPr>
                <w:sz w:val="24"/>
                <w:szCs w:val="24"/>
              </w:rPr>
            </w:pPr>
            <w:r w:rsidRPr="008553E0">
              <w:rPr>
                <w:sz w:val="24"/>
                <w:szCs w:val="24"/>
              </w:rPr>
              <w:t>400 – 999 м</w:t>
            </w:r>
            <w:r w:rsidRPr="008553E0">
              <w:rPr>
                <w:sz w:val="24"/>
                <w:szCs w:val="24"/>
                <w:vertAlign w:val="superscript"/>
              </w:rPr>
              <w:t>3</w:t>
            </w:r>
            <w:r w:rsidRPr="008553E0">
              <w:rPr>
                <w:sz w:val="24"/>
                <w:szCs w:val="24"/>
              </w:rPr>
              <w:t>/час</w:t>
            </w:r>
          </w:p>
        </w:tc>
        <w:tc>
          <w:tcPr>
            <w:tcW w:w="2464" w:type="dxa"/>
            <w:vAlign w:val="center"/>
          </w:tcPr>
          <w:p w:rsidR="008553E0" w:rsidRPr="008553E0" w:rsidRDefault="008553E0" w:rsidP="002B5EAB">
            <w:pPr>
              <w:pStyle w:val="a4"/>
              <w:autoSpaceDE w:val="0"/>
              <w:autoSpaceDN w:val="0"/>
              <w:adjustRightInd w:val="0"/>
              <w:spacing w:line="300" w:lineRule="auto"/>
              <w:ind w:left="0"/>
              <w:jc w:val="center"/>
              <w:rPr>
                <w:sz w:val="24"/>
                <w:szCs w:val="24"/>
              </w:rPr>
            </w:pPr>
            <w:r w:rsidRPr="008553E0">
              <w:rPr>
                <w:sz w:val="24"/>
                <w:szCs w:val="24"/>
              </w:rPr>
              <w:t>2 260,18</w:t>
            </w:r>
          </w:p>
        </w:tc>
      </w:tr>
      <w:tr w:rsidR="008553E0" w:rsidRPr="008553E0" w:rsidTr="008553E0">
        <w:trPr>
          <w:trHeight w:val="113"/>
          <w:jc w:val="center"/>
        </w:trPr>
        <w:tc>
          <w:tcPr>
            <w:tcW w:w="675" w:type="dxa"/>
            <w:vAlign w:val="center"/>
          </w:tcPr>
          <w:p w:rsidR="008553E0" w:rsidRPr="008553E0" w:rsidRDefault="008553E0" w:rsidP="002B5EAB">
            <w:pPr>
              <w:pStyle w:val="a4"/>
              <w:autoSpaceDE w:val="0"/>
              <w:autoSpaceDN w:val="0"/>
              <w:adjustRightInd w:val="0"/>
              <w:spacing w:line="300" w:lineRule="auto"/>
              <w:ind w:left="0"/>
              <w:jc w:val="center"/>
              <w:rPr>
                <w:sz w:val="24"/>
                <w:szCs w:val="24"/>
              </w:rPr>
            </w:pPr>
            <w:r w:rsidRPr="008553E0"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  <w:vAlign w:val="center"/>
          </w:tcPr>
          <w:p w:rsidR="008553E0" w:rsidRPr="008553E0" w:rsidRDefault="008553E0" w:rsidP="002B5EAB">
            <w:pPr>
              <w:pStyle w:val="a4"/>
              <w:autoSpaceDE w:val="0"/>
              <w:autoSpaceDN w:val="0"/>
              <w:adjustRightInd w:val="0"/>
              <w:spacing w:line="300" w:lineRule="auto"/>
              <w:ind w:left="0"/>
              <w:rPr>
                <w:sz w:val="24"/>
                <w:szCs w:val="24"/>
              </w:rPr>
            </w:pPr>
            <w:r w:rsidRPr="008553E0">
              <w:rPr>
                <w:sz w:val="24"/>
                <w:szCs w:val="24"/>
              </w:rPr>
              <w:t>1 000 – 1 999 м3/час</w:t>
            </w:r>
          </w:p>
        </w:tc>
        <w:tc>
          <w:tcPr>
            <w:tcW w:w="2464" w:type="dxa"/>
            <w:vAlign w:val="center"/>
          </w:tcPr>
          <w:p w:rsidR="008553E0" w:rsidRPr="008553E0" w:rsidRDefault="008553E0" w:rsidP="002B5EAB">
            <w:pPr>
              <w:pStyle w:val="a4"/>
              <w:autoSpaceDE w:val="0"/>
              <w:autoSpaceDN w:val="0"/>
              <w:adjustRightInd w:val="0"/>
              <w:spacing w:line="300" w:lineRule="auto"/>
              <w:ind w:left="0"/>
              <w:jc w:val="center"/>
              <w:rPr>
                <w:sz w:val="24"/>
                <w:szCs w:val="24"/>
              </w:rPr>
            </w:pPr>
            <w:r w:rsidRPr="008553E0">
              <w:rPr>
                <w:sz w:val="24"/>
                <w:szCs w:val="24"/>
              </w:rPr>
              <w:t>1 031,27»</w:t>
            </w:r>
          </w:p>
        </w:tc>
      </w:tr>
    </w:tbl>
    <w:p w:rsidR="007E62EC" w:rsidRPr="008553E0" w:rsidRDefault="008553E0" w:rsidP="008553E0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8553E0">
        <w:rPr>
          <w:sz w:val="24"/>
          <w:szCs w:val="24"/>
        </w:rPr>
        <w:t>2. Настоящее постановление вступает в силу со дня его официального опубликования</w:t>
      </w:r>
      <w:r w:rsidRPr="008553E0">
        <w:rPr>
          <w:sz w:val="24"/>
          <w:szCs w:val="24"/>
        </w:rPr>
        <w:t>.</w:t>
      </w:r>
    </w:p>
    <w:p w:rsidR="00864DA0" w:rsidRPr="00FD40D3" w:rsidRDefault="00864DA0" w:rsidP="0054746E">
      <w:pPr>
        <w:pStyle w:val="ConsNormal"/>
        <w:spacing w:line="276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864DA0" w:rsidRPr="006F2B12" w:rsidRDefault="00864DA0" w:rsidP="00864DA0">
      <w:pPr>
        <w:pStyle w:val="ConsNormal"/>
        <w:spacing w:line="264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F2B12">
        <w:rPr>
          <w:rFonts w:ascii="Times New Roman" w:hAnsi="Times New Roman"/>
          <w:sz w:val="24"/>
          <w:szCs w:val="24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864DA0" w:rsidRPr="006F2B12" w:rsidTr="00531064">
        <w:tc>
          <w:tcPr>
            <w:tcW w:w="959" w:type="dxa"/>
          </w:tcPr>
          <w:p w:rsidR="00864DA0" w:rsidRPr="006F2B12" w:rsidRDefault="00864DA0" w:rsidP="00531064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 xml:space="preserve">№ </w:t>
            </w:r>
            <w:proofErr w:type="gramStart"/>
            <w:r w:rsidRPr="006F2B12">
              <w:rPr>
                <w:sz w:val="24"/>
                <w:szCs w:val="24"/>
              </w:rPr>
              <w:t>п</w:t>
            </w:r>
            <w:proofErr w:type="gramEnd"/>
            <w:r w:rsidRPr="006F2B12">
              <w:rPr>
                <w:sz w:val="24"/>
                <w:szCs w:val="24"/>
              </w:rPr>
              <w:t>/п</w:t>
            </w:r>
          </w:p>
        </w:tc>
        <w:tc>
          <w:tcPr>
            <w:tcW w:w="2727" w:type="dxa"/>
          </w:tcPr>
          <w:p w:rsidR="00864DA0" w:rsidRPr="006F2B12" w:rsidRDefault="00864DA0" w:rsidP="00531064">
            <w:pPr>
              <w:tabs>
                <w:tab w:val="left" w:pos="4020"/>
              </w:tabs>
              <w:spacing w:line="264" w:lineRule="auto"/>
              <w:contextualSpacing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157" w:type="dxa"/>
          </w:tcPr>
          <w:p w:rsidR="00864DA0" w:rsidRPr="006F2B12" w:rsidRDefault="00864DA0" w:rsidP="00531064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Результаты голосования</w:t>
            </w:r>
          </w:p>
        </w:tc>
      </w:tr>
      <w:tr w:rsidR="00864DA0" w:rsidRPr="006F2B12" w:rsidTr="00531064">
        <w:tc>
          <w:tcPr>
            <w:tcW w:w="959" w:type="dxa"/>
          </w:tcPr>
          <w:p w:rsidR="00864DA0" w:rsidRPr="006F2B12" w:rsidRDefault="00864DA0" w:rsidP="00531064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1.</w:t>
            </w:r>
          </w:p>
        </w:tc>
        <w:tc>
          <w:tcPr>
            <w:tcW w:w="2727" w:type="dxa"/>
          </w:tcPr>
          <w:p w:rsidR="00864DA0" w:rsidRPr="006F2B12" w:rsidRDefault="00864DA0" w:rsidP="00531064">
            <w:pPr>
              <w:tabs>
                <w:tab w:val="left" w:pos="4020"/>
              </w:tabs>
              <w:spacing w:line="264" w:lineRule="auto"/>
              <w:contextualSpacing/>
              <w:rPr>
                <w:sz w:val="24"/>
                <w:szCs w:val="24"/>
              </w:rPr>
            </w:pPr>
            <w:proofErr w:type="spellStart"/>
            <w:r w:rsidRPr="006F2B12">
              <w:rPr>
                <w:sz w:val="24"/>
                <w:szCs w:val="24"/>
              </w:rPr>
              <w:t>Морева</w:t>
            </w:r>
            <w:proofErr w:type="spellEnd"/>
            <w:r w:rsidRPr="006F2B12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3157" w:type="dxa"/>
          </w:tcPr>
          <w:p w:rsidR="00864DA0" w:rsidRPr="006F2B12" w:rsidRDefault="00864DA0" w:rsidP="00531064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за</w:t>
            </w:r>
          </w:p>
        </w:tc>
      </w:tr>
      <w:tr w:rsidR="00864DA0" w:rsidRPr="006F2B12" w:rsidTr="00531064">
        <w:tc>
          <w:tcPr>
            <w:tcW w:w="959" w:type="dxa"/>
          </w:tcPr>
          <w:p w:rsidR="00864DA0" w:rsidRPr="006F2B12" w:rsidRDefault="00864DA0" w:rsidP="00531064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2.</w:t>
            </w:r>
          </w:p>
        </w:tc>
        <w:tc>
          <w:tcPr>
            <w:tcW w:w="2727" w:type="dxa"/>
          </w:tcPr>
          <w:p w:rsidR="00864DA0" w:rsidRPr="006F2B12" w:rsidRDefault="00864DA0" w:rsidP="00531064">
            <w:pPr>
              <w:tabs>
                <w:tab w:val="left" w:pos="4020"/>
              </w:tabs>
              <w:spacing w:line="264" w:lineRule="auto"/>
              <w:contextualSpacing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Бугаева С.Е.</w:t>
            </w:r>
          </w:p>
        </w:tc>
        <w:tc>
          <w:tcPr>
            <w:tcW w:w="3157" w:type="dxa"/>
          </w:tcPr>
          <w:p w:rsidR="00864DA0" w:rsidRPr="006F2B12" w:rsidRDefault="00864DA0" w:rsidP="00531064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за</w:t>
            </w:r>
          </w:p>
        </w:tc>
      </w:tr>
      <w:tr w:rsidR="00864DA0" w:rsidRPr="006F2B12" w:rsidTr="00531064">
        <w:tc>
          <w:tcPr>
            <w:tcW w:w="959" w:type="dxa"/>
          </w:tcPr>
          <w:p w:rsidR="00864DA0" w:rsidRPr="006F2B12" w:rsidRDefault="00864DA0" w:rsidP="00531064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3.</w:t>
            </w:r>
          </w:p>
        </w:tc>
        <w:tc>
          <w:tcPr>
            <w:tcW w:w="2727" w:type="dxa"/>
          </w:tcPr>
          <w:p w:rsidR="00864DA0" w:rsidRPr="006F2B12" w:rsidRDefault="00864DA0" w:rsidP="00531064">
            <w:pPr>
              <w:tabs>
                <w:tab w:val="left" w:pos="4020"/>
              </w:tabs>
              <w:spacing w:line="264" w:lineRule="auto"/>
              <w:contextualSpacing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Гущина Н.Б.</w:t>
            </w:r>
          </w:p>
        </w:tc>
        <w:tc>
          <w:tcPr>
            <w:tcW w:w="3157" w:type="dxa"/>
          </w:tcPr>
          <w:p w:rsidR="00864DA0" w:rsidRPr="006F2B12" w:rsidRDefault="006F2B12" w:rsidP="00531064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-</w:t>
            </w:r>
          </w:p>
        </w:tc>
      </w:tr>
      <w:tr w:rsidR="00864DA0" w:rsidRPr="006F2B12" w:rsidTr="00531064">
        <w:tc>
          <w:tcPr>
            <w:tcW w:w="959" w:type="dxa"/>
          </w:tcPr>
          <w:p w:rsidR="00864DA0" w:rsidRPr="006F2B12" w:rsidRDefault="00864DA0" w:rsidP="00531064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4.</w:t>
            </w:r>
          </w:p>
        </w:tc>
        <w:tc>
          <w:tcPr>
            <w:tcW w:w="2727" w:type="dxa"/>
          </w:tcPr>
          <w:p w:rsidR="00864DA0" w:rsidRPr="006F2B12" w:rsidRDefault="00864DA0" w:rsidP="00531064">
            <w:pPr>
              <w:tabs>
                <w:tab w:val="left" w:pos="4020"/>
              </w:tabs>
              <w:spacing w:line="264" w:lineRule="auto"/>
              <w:contextualSpacing/>
              <w:rPr>
                <w:sz w:val="24"/>
                <w:szCs w:val="24"/>
              </w:rPr>
            </w:pPr>
            <w:proofErr w:type="spellStart"/>
            <w:r w:rsidRPr="006F2B12">
              <w:rPr>
                <w:sz w:val="24"/>
                <w:szCs w:val="24"/>
              </w:rPr>
              <w:t>Курчанинова</w:t>
            </w:r>
            <w:proofErr w:type="spellEnd"/>
            <w:r w:rsidRPr="006F2B12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157" w:type="dxa"/>
          </w:tcPr>
          <w:p w:rsidR="00864DA0" w:rsidRPr="006F2B12" w:rsidRDefault="006F2B12" w:rsidP="00531064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за</w:t>
            </w:r>
          </w:p>
        </w:tc>
      </w:tr>
      <w:tr w:rsidR="00864DA0" w:rsidRPr="006F2B12" w:rsidTr="00531064">
        <w:tc>
          <w:tcPr>
            <w:tcW w:w="959" w:type="dxa"/>
          </w:tcPr>
          <w:p w:rsidR="00864DA0" w:rsidRPr="006F2B12" w:rsidRDefault="00864DA0" w:rsidP="00531064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5.</w:t>
            </w:r>
          </w:p>
        </w:tc>
        <w:tc>
          <w:tcPr>
            <w:tcW w:w="2727" w:type="dxa"/>
          </w:tcPr>
          <w:p w:rsidR="00864DA0" w:rsidRPr="006F2B12" w:rsidRDefault="00864DA0" w:rsidP="00531064">
            <w:pPr>
              <w:tabs>
                <w:tab w:val="left" w:pos="4020"/>
              </w:tabs>
              <w:spacing w:line="264" w:lineRule="auto"/>
              <w:contextualSpacing/>
              <w:rPr>
                <w:sz w:val="24"/>
                <w:szCs w:val="24"/>
              </w:rPr>
            </w:pPr>
            <w:proofErr w:type="spellStart"/>
            <w:r w:rsidRPr="006F2B12">
              <w:rPr>
                <w:sz w:val="24"/>
                <w:szCs w:val="24"/>
              </w:rPr>
              <w:t>Турбачкина</w:t>
            </w:r>
            <w:proofErr w:type="spellEnd"/>
            <w:r w:rsidRPr="006F2B12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157" w:type="dxa"/>
          </w:tcPr>
          <w:p w:rsidR="00864DA0" w:rsidRPr="006F2B12" w:rsidRDefault="00864DA0" w:rsidP="00531064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за</w:t>
            </w:r>
          </w:p>
        </w:tc>
      </w:tr>
      <w:tr w:rsidR="00864DA0" w:rsidRPr="006F2B12" w:rsidTr="00531064">
        <w:tc>
          <w:tcPr>
            <w:tcW w:w="959" w:type="dxa"/>
          </w:tcPr>
          <w:p w:rsidR="00864DA0" w:rsidRPr="006F2B12" w:rsidRDefault="00864DA0" w:rsidP="00531064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6.</w:t>
            </w:r>
          </w:p>
        </w:tc>
        <w:tc>
          <w:tcPr>
            <w:tcW w:w="2727" w:type="dxa"/>
          </w:tcPr>
          <w:p w:rsidR="00864DA0" w:rsidRPr="006F2B12" w:rsidRDefault="00864DA0" w:rsidP="00531064">
            <w:pPr>
              <w:tabs>
                <w:tab w:val="left" w:pos="4020"/>
              </w:tabs>
              <w:spacing w:line="264" w:lineRule="auto"/>
              <w:contextualSpacing/>
              <w:rPr>
                <w:sz w:val="24"/>
                <w:szCs w:val="24"/>
              </w:rPr>
            </w:pPr>
            <w:proofErr w:type="spellStart"/>
            <w:r w:rsidRPr="006F2B12">
              <w:rPr>
                <w:sz w:val="24"/>
                <w:szCs w:val="24"/>
              </w:rPr>
              <w:t>Коннова</w:t>
            </w:r>
            <w:proofErr w:type="spellEnd"/>
            <w:r w:rsidRPr="006F2B12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157" w:type="dxa"/>
          </w:tcPr>
          <w:p w:rsidR="00864DA0" w:rsidRPr="006F2B12" w:rsidRDefault="00864DA0" w:rsidP="00531064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за</w:t>
            </w:r>
          </w:p>
        </w:tc>
      </w:tr>
      <w:tr w:rsidR="00864DA0" w:rsidRPr="006F2B12" w:rsidTr="00531064">
        <w:tc>
          <w:tcPr>
            <w:tcW w:w="959" w:type="dxa"/>
          </w:tcPr>
          <w:p w:rsidR="00864DA0" w:rsidRPr="006F2B12" w:rsidRDefault="00864DA0" w:rsidP="00531064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7.</w:t>
            </w:r>
          </w:p>
        </w:tc>
        <w:tc>
          <w:tcPr>
            <w:tcW w:w="2727" w:type="dxa"/>
          </w:tcPr>
          <w:p w:rsidR="00864DA0" w:rsidRPr="006F2B12" w:rsidRDefault="00864DA0" w:rsidP="00531064">
            <w:pPr>
              <w:tabs>
                <w:tab w:val="left" w:pos="4020"/>
              </w:tabs>
              <w:spacing w:line="264" w:lineRule="auto"/>
              <w:contextualSpacing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Агапова О.П.</w:t>
            </w:r>
          </w:p>
        </w:tc>
        <w:tc>
          <w:tcPr>
            <w:tcW w:w="3157" w:type="dxa"/>
          </w:tcPr>
          <w:p w:rsidR="00864DA0" w:rsidRPr="006F2B12" w:rsidRDefault="00864DA0" w:rsidP="00531064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2B12">
              <w:rPr>
                <w:sz w:val="24"/>
                <w:szCs w:val="24"/>
              </w:rPr>
              <w:t>за</w:t>
            </w:r>
          </w:p>
        </w:tc>
      </w:tr>
    </w:tbl>
    <w:p w:rsidR="00864DA0" w:rsidRPr="006F2B12" w:rsidRDefault="00864DA0" w:rsidP="00864DA0">
      <w:pPr>
        <w:widowControl/>
        <w:autoSpaceDE w:val="0"/>
        <w:autoSpaceDN w:val="0"/>
        <w:adjustRightInd w:val="0"/>
        <w:spacing w:line="264" w:lineRule="auto"/>
        <w:ind w:firstLine="540"/>
        <w:contextualSpacing/>
        <w:jc w:val="both"/>
        <w:outlineLvl w:val="3"/>
        <w:rPr>
          <w:b/>
          <w:sz w:val="24"/>
          <w:szCs w:val="24"/>
        </w:rPr>
      </w:pPr>
      <w:r w:rsidRPr="006F2B12">
        <w:rPr>
          <w:sz w:val="24"/>
          <w:szCs w:val="24"/>
        </w:rPr>
        <w:t xml:space="preserve">Итого: за – 6, против – 0, воздержался – 0, отсутствуют </w:t>
      </w:r>
      <w:r w:rsidRPr="006F2B12">
        <w:rPr>
          <w:b/>
          <w:sz w:val="24"/>
          <w:szCs w:val="24"/>
        </w:rPr>
        <w:t>–</w:t>
      </w:r>
      <w:r w:rsidRPr="006F2B12">
        <w:rPr>
          <w:sz w:val="24"/>
          <w:szCs w:val="24"/>
        </w:rPr>
        <w:t xml:space="preserve"> 1.</w:t>
      </w:r>
      <w:r w:rsidRPr="006F2B12">
        <w:rPr>
          <w:b/>
          <w:sz w:val="24"/>
          <w:szCs w:val="24"/>
        </w:rPr>
        <w:t xml:space="preserve"> </w:t>
      </w:r>
    </w:p>
    <w:p w:rsidR="00864DA0" w:rsidRPr="00FD40D3" w:rsidRDefault="00864DA0" w:rsidP="00864DA0">
      <w:pPr>
        <w:pStyle w:val="ConsNormal"/>
        <w:spacing w:line="264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64DA0" w:rsidRPr="00FD40D3" w:rsidRDefault="00864DA0" w:rsidP="00295A73">
      <w:pPr>
        <w:pStyle w:val="ConsNormal"/>
        <w:spacing w:line="264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1"/>
        <w:tblW w:w="10736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417"/>
        <w:gridCol w:w="2231"/>
      </w:tblGrid>
      <w:tr w:rsidR="001D6F30" w:rsidRPr="000C17C3" w:rsidTr="00531064">
        <w:tc>
          <w:tcPr>
            <w:tcW w:w="7088" w:type="dxa"/>
            <w:vAlign w:val="bottom"/>
          </w:tcPr>
          <w:p w:rsidR="001D6F30" w:rsidRPr="000C17C3" w:rsidRDefault="001D6F30" w:rsidP="0070199F">
            <w:pPr>
              <w:contextualSpacing/>
              <w:rPr>
                <w:sz w:val="24"/>
                <w:szCs w:val="24"/>
              </w:rPr>
            </w:pPr>
            <w:r w:rsidRPr="000C17C3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417" w:type="dxa"/>
            <w:vAlign w:val="center"/>
          </w:tcPr>
          <w:p w:rsidR="001D6F30" w:rsidRPr="000C17C3" w:rsidRDefault="001D6F30" w:rsidP="0070199F">
            <w:pPr>
              <w:tabs>
                <w:tab w:val="left" w:pos="40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1D6F30" w:rsidRPr="000C17C3" w:rsidRDefault="000C17C3" w:rsidP="0070199F">
            <w:pPr>
              <w:tabs>
                <w:tab w:val="left" w:pos="4020"/>
              </w:tabs>
              <w:contextualSpacing/>
              <w:jc w:val="right"/>
              <w:rPr>
                <w:sz w:val="24"/>
                <w:szCs w:val="24"/>
              </w:rPr>
            </w:pPr>
            <w:r w:rsidRPr="000C17C3">
              <w:rPr>
                <w:sz w:val="24"/>
                <w:szCs w:val="24"/>
              </w:rPr>
              <w:t>А.В. Соколова</w:t>
            </w:r>
          </w:p>
        </w:tc>
      </w:tr>
      <w:tr w:rsidR="001D6F30" w:rsidRPr="000C17C3" w:rsidTr="00531064">
        <w:tc>
          <w:tcPr>
            <w:tcW w:w="7088" w:type="dxa"/>
            <w:vAlign w:val="bottom"/>
          </w:tcPr>
          <w:p w:rsidR="001D6F30" w:rsidRPr="000C17C3" w:rsidRDefault="001D6F30" w:rsidP="0070199F">
            <w:pPr>
              <w:contextualSpacing/>
              <w:rPr>
                <w:b/>
                <w:sz w:val="24"/>
                <w:szCs w:val="24"/>
              </w:rPr>
            </w:pPr>
            <w:r w:rsidRPr="000C17C3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417" w:type="dxa"/>
            <w:vAlign w:val="center"/>
          </w:tcPr>
          <w:p w:rsidR="001D6F30" w:rsidRPr="000C17C3" w:rsidRDefault="001D6F30" w:rsidP="0070199F">
            <w:pPr>
              <w:tabs>
                <w:tab w:val="left" w:pos="40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1D6F30" w:rsidRPr="000C17C3" w:rsidRDefault="001D6F30" w:rsidP="0070199F">
            <w:pPr>
              <w:tabs>
                <w:tab w:val="left" w:pos="4020"/>
              </w:tabs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1D6F30" w:rsidRPr="000C17C3" w:rsidTr="00531064">
        <w:trPr>
          <w:trHeight w:val="584"/>
        </w:trPr>
        <w:tc>
          <w:tcPr>
            <w:tcW w:w="7088" w:type="dxa"/>
            <w:vAlign w:val="bottom"/>
          </w:tcPr>
          <w:p w:rsidR="001D6F30" w:rsidRPr="000C17C3" w:rsidRDefault="001D6F30" w:rsidP="0070199F">
            <w:pPr>
              <w:contextualSpacing/>
              <w:rPr>
                <w:sz w:val="24"/>
                <w:szCs w:val="24"/>
              </w:rPr>
            </w:pPr>
            <w:r w:rsidRPr="000C17C3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417" w:type="dxa"/>
            <w:vAlign w:val="center"/>
          </w:tcPr>
          <w:p w:rsidR="001D6F30" w:rsidRPr="000C17C3" w:rsidRDefault="001D6F30" w:rsidP="0070199F">
            <w:pPr>
              <w:tabs>
                <w:tab w:val="left" w:pos="40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1D6F30" w:rsidRPr="000C17C3" w:rsidRDefault="001D6F30" w:rsidP="0070199F">
            <w:pPr>
              <w:tabs>
                <w:tab w:val="left" w:pos="4020"/>
              </w:tabs>
              <w:contextualSpacing/>
              <w:jc w:val="right"/>
              <w:rPr>
                <w:sz w:val="24"/>
                <w:szCs w:val="24"/>
              </w:rPr>
            </w:pPr>
            <w:r w:rsidRPr="000C17C3">
              <w:rPr>
                <w:sz w:val="24"/>
                <w:szCs w:val="24"/>
              </w:rPr>
              <w:t>С.Е. Бугаева</w:t>
            </w:r>
          </w:p>
        </w:tc>
      </w:tr>
      <w:tr w:rsidR="001D6F30" w:rsidRPr="000C17C3" w:rsidTr="00563720">
        <w:trPr>
          <w:trHeight w:val="694"/>
        </w:trPr>
        <w:tc>
          <w:tcPr>
            <w:tcW w:w="7088" w:type="dxa"/>
            <w:vAlign w:val="bottom"/>
          </w:tcPr>
          <w:p w:rsidR="001D6F30" w:rsidRPr="000C17C3" w:rsidRDefault="001D6F30" w:rsidP="0070199F">
            <w:pPr>
              <w:contextualSpacing/>
              <w:rPr>
                <w:sz w:val="24"/>
                <w:szCs w:val="24"/>
              </w:rPr>
            </w:pPr>
            <w:r w:rsidRPr="000C17C3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417" w:type="dxa"/>
            <w:vAlign w:val="center"/>
          </w:tcPr>
          <w:p w:rsidR="001D6F30" w:rsidRPr="000C17C3" w:rsidRDefault="000C17C3" w:rsidP="0070199F">
            <w:pPr>
              <w:tabs>
                <w:tab w:val="left" w:pos="4020"/>
              </w:tabs>
              <w:contextualSpacing/>
              <w:jc w:val="center"/>
              <w:rPr>
                <w:sz w:val="24"/>
                <w:szCs w:val="24"/>
              </w:rPr>
            </w:pPr>
            <w:r w:rsidRPr="000C17C3">
              <w:rPr>
                <w:sz w:val="24"/>
                <w:szCs w:val="24"/>
              </w:rPr>
              <w:t>-</w:t>
            </w:r>
          </w:p>
        </w:tc>
        <w:tc>
          <w:tcPr>
            <w:tcW w:w="2231" w:type="dxa"/>
            <w:vAlign w:val="bottom"/>
          </w:tcPr>
          <w:p w:rsidR="001D6F30" w:rsidRPr="000C17C3" w:rsidRDefault="001D6F30" w:rsidP="0070199F">
            <w:pPr>
              <w:tabs>
                <w:tab w:val="left" w:pos="4020"/>
              </w:tabs>
              <w:contextualSpacing/>
              <w:jc w:val="right"/>
              <w:rPr>
                <w:sz w:val="24"/>
                <w:szCs w:val="24"/>
              </w:rPr>
            </w:pPr>
            <w:r w:rsidRPr="000C17C3">
              <w:rPr>
                <w:sz w:val="24"/>
                <w:szCs w:val="24"/>
              </w:rPr>
              <w:t>Н.Б. Гущина</w:t>
            </w:r>
          </w:p>
        </w:tc>
      </w:tr>
      <w:tr w:rsidR="0070199F" w:rsidRPr="000C17C3" w:rsidTr="0070199F">
        <w:trPr>
          <w:trHeight w:val="961"/>
        </w:trPr>
        <w:tc>
          <w:tcPr>
            <w:tcW w:w="7088" w:type="dxa"/>
            <w:vAlign w:val="bottom"/>
          </w:tcPr>
          <w:p w:rsidR="0070199F" w:rsidRPr="000C17C3" w:rsidRDefault="0070199F" w:rsidP="0070199F">
            <w:pPr>
              <w:contextualSpacing/>
              <w:rPr>
                <w:sz w:val="24"/>
                <w:szCs w:val="24"/>
              </w:rPr>
            </w:pPr>
            <w:r w:rsidRPr="000C17C3">
              <w:rPr>
                <w:sz w:val="24"/>
                <w:szCs w:val="24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417" w:type="dxa"/>
            <w:vAlign w:val="center"/>
          </w:tcPr>
          <w:p w:rsidR="0070199F" w:rsidRPr="000C17C3" w:rsidRDefault="0070199F" w:rsidP="0070199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70199F" w:rsidRPr="000C17C3" w:rsidRDefault="0070199F" w:rsidP="0070199F">
            <w:pPr>
              <w:contextualSpacing/>
              <w:jc w:val="right"/>
              <w:rPr>
                <w:sz w:val="24"/>
                <w:szCs w:val="24"/>
              </w:rPr>
            </w:pPr>
            <w:r w:rsidRPr="000C17C3">
              <w:rPr>
                <w:sz w:val="24"/>
                <w:szCs w:val="24"/>
              </w:rPr>
              <w:t xml:space="preserve">О.П. Агапова </w:t>
            </w:r>
          </w:p>
        </w:tc>
      </w:tr>
      <w:tr w:rsidR="001B78FB" w:rsidRPr="000C17C3" w:rsidTr="00531064">
        <w:trPr>
          <w:trHeight w:val="710"/>
        </w:trPr>
        <w:tc>
          <w:tcPr>
            <w:tcW w:w="7088" w:type="dxa"/>
            <w:vAlign w:val="bottom"/>
          </w:tcPr>
          <w:p w:rsidR="001B78FB" w:rsidRPr="000C17C3" w:rsidRDefault="001B78FB" w:rsidP="0070199F">
            <w:pPr>
              <w:contextualSpacing/>
              <w:rPr>
                <w:sz w:val="24"/>
                <w:szCs w:val="24"/>
              </w:rPr>
            </w:pPr>
            <w:r w:rsidRPr="000C17C3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417" w:type="dxa"/>
            <w:vAlign w:val="center"/>
          </w:tcPr>
          <w:p w:rsidR="001B78FB" w:rsidRPr="000C17C3" w:rsidRDefault="001B78FB" w:rsidP="0070199F">
            <w:pPr>
              <w:tabs>
                <w:tab w:val="left" w:pos="40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1B78FB" w:rsidRPr="000C17C3" w:rsidRDefault="001B78FB" w:rsidP="0070199F">
            <w:pPr>
              <w:tabs>
                <w:tab w:val="left" w:pos="4020"/>
              </w:tabs>
              <w:contextualSpacing/>
              <w:jc w:val="right"/>
              <w:rPr>
                <w:sz w:val="24"/>
                <w:szCs w:val="24"/>
              </w:rPr>
            </w:pPr>
            <w:r w:rsidRPr="000C17C3">
              <w:rPr>
                <w:sz w:val="24"/>
                <w:szCs w:val="24"/>
              </w:rPr>
              <w:t xml:space="preserve">Е.А. </w:t>
            </w:r>
            <w:proofErr w:type="spellStart"/>
            <w:r w:rsidRPr="000C17C3">
              <w:rPr>
                <w:sz w:val="24"/>
                <w:szCs w:val="24"/>
              </w:rPr>
              <w:t>Коннова</w:t>
            </w:r>
            <w:proofErr w:type="spellEnd"/>
          </w:p>
        </w:tc>
      </w:tr>
      <w:tr w:rsidR="001B78FB" w:rsidRPr="000C17C3" w:rsidTr="00531064">
        <w:trPr>
          <w:trHeight w:val="687"/>
        </w:trPr>
        <w:tc>
          <w:tcPr>
            <w:tcW w:w="7088" w:type="dxa"/>
            <w:vAlign w:val="bottom"/>
          </w:tcPr>
          <w:p w:rsidR="001B78FB" w:rsidRPr="000C17C3" w:rsidRDefault="001B78FB" w:rsidP="0070199F">
            <w:pPr>
              <w:contextualSpacing/>
              <w:rPr>
                <w:sz w:val="24"/>
                <w:szCs w:val="24"/>
              </w:rPr>
            </w:pPr>
            <w:r w:rsidRPr="000C17C3">
              <w:rPr>
                <w:sz w:val="24"/>
                <w:szCs w:val="24"/>
              </w:rPr>
              <w:t>Начальник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417" w:type="dxa"/>
            <w:vAlign w:val="center"/>
          </w:tcPr>
          <w:p w:rsidR="001B78FB" w:rsidRPr="000C17C3" w:rsidRDefault="001B78FB" w:rsidP="0070199F">
            <w:pPr>
              <w:tabs>
                <w:tab w:val="left" w:pos="40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1B78FB" w:rsidRPr="000C17C3" w:rsidRDefault="001B78FB" w:rsidP="0070199F">
            <w:pPr>
              <w:tabs>
                <w:tab w:val="left" w:pos="4020"/>
              </w:tabs>
              <w:contextualSpacing/>
              <w:jc w:val="right"/>
              <w:rPr>
                <w:sz w:val="24"/>
                <w:szCs w:val="24"/>
              </w:rPr>
            </w:pPr>
            <w:r w:rsidRPr="000C17C3">
              <w:rPr>
                <w:sz w:val="24"/>
                <w:szCs w:val="24"/>
              </w:rPr>
              <w:t xml:space="preserve">О.А. </w:t>
            </w:r>
            <w:proofErr w:type="spellStart"/>
            <w:r w:rsidRPr="000C17C3">
              <w:rPr>
                <w:sz w:val="24"/>
                <w:szCs w:val="24"/>
              </w:rPr>
              <w:t>Курчанинова</w:t>
            </w:r>
            <w:proofErr w:type="spellEnd"/>
          </w:p>
        </w:tc>
      </w:tr>
      <w:tr w:rsidR="001D6F30" w:rsidRPr="000C17C3" w:rsidTr="00563720">
        <w:trPr>
          <w:trHeight w:val="704"/>
        </w:trPr>
        <w:tc>
          <w:tcPr>
            <w:tcW w:w="7088" w:type="dxa"/>
            <w:vAlign w:val="bottom"/>
          </w:tcPr>
          <w:p w:rsidR="001D6F30" w:rsidRPr="000C17C3" w:rsidRDefault="001D6F30" w:rsidP="0070199F">
            <w:pPr>
              <w:contextualSpacing/>
              <w:rPr>
                <w:sz w:val="24"/>
                <w:szCs w:val="24"/>
              </w:rPr>
            </w:pPr>
            <w:r w:rsidRPr="000C17C3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417" w:type="dxa"/>
            <w:vAlign w:val="center"/>
          </w:tcPr>
          <w:p w:rsidR="001D6F30" w:rsidRPr="000C17C3" w:rsidRDefault="001D6F30" w:rsidP="0070199F">
            <w:pPr>
              <w:tabs>
                <w:tab w:val="left" w:pos="40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1D6F30" w:rsidRPr="000C17C3" w:rsidRDefault="001D6F30" w:rsidP="0070199F">
            <w:pPr>
              <w:tabs>
                <w:tab w:val="left" w:pos="4020"/>
              </w:tabs>
              <w:contextualSpacing/>
              <w:jc w:val="right"/>
              <w:rPr>
                <w:sz w:val="24"/>
                <w:szCs w:val="24"/>
              </w:rPr>
            </w:pPr>
            <w:r w:rsidRPr="000C17C3">
              <w:rPr>
                <w:sz w:val="24"/>
                <w:szCs w:val="24"/>
              </w:rPr>
              <w:t xml:space="preserve">Е.В. </w:t>
            </w:r>
            <w:proofErr w:type="spellStart"/>
            <w:r w:rsidRPr="000C17C3">
              <w:rPr>
                <w:sz w:val="24"/>
                <w:szCs w:val="24"/>
              </w:rPr>
              <w:t>Турбачкина</w:t>
            </w:r>
            <w:proofErr w:type="spellEnd"/>
          </w:p>
        </w:tc>
      </w:tr>
      <w:tr w:rsidR="001D6F30" w:rsidRPr="000C17C3" w:rsidTr="001B78FB">
        <w:trPr>
          <w:trHeight w:val="871"/>
        </w:trPr>
        <w:tc>
          <w:tcPr>
            <w:tcW w:w="7088" w:type="dxa"/>
            <w:vAlign w:val="bottom"/>
          </w:tcPr>
          <w:p w:rsidR="001D6F30" w:rsidRPr="000C17C3" w:rsidRDefault="001D6F30" w:rsidP="0070199F">
            <w:pPr>
              <w:contextualSpacing/>
              <w:rPr>
                <w:sz w:val="24"/>
                <w:szCs w:val="24"/>
              </w:rPr>
            </w:pPr>
            <w:r w:rsidRPr="000C17C3">
              <w:rPr>
                <w:sz w:val="24"/>
                <w:szCs w:val="24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417" w:type="dxa"/>
            <w:vAlign w:val="center"/>
          </w:tcPr>
          <w:p w:rsidR="001D6F30" w:rsidRPr="000C17C3" w:rsidRDefault="001D6F30" w:rsidP="0070199F">
            <w:pPr>
              <w:tabs>
                <w:tab w:val="left" w:pos="4020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1D6F30" w:rsidRPr="000C17C3" w:rsidRDefault="001D6F30" w:rsidP="0070199F">
            <w:pPr>
              <w:tabs>
                <w:tab w:val="left" w:pos="4020"/>
              </w:tabs>
              <w:contextualSpacing/>
              <w:jc w:val="right"/>
              <w:rPr>
                <w:sz w:val="24"/>
                <w:szCs w:val="24"/>
              </w:rPr>
            </w:pPr>
            <w:r w:rsidRPr="000C17C3">
              <w:rPr>
                <w:sz w:val="24"/>
                <w:szCs w:val="24"/>
              </w:rPr>
              <w:t>Грехов М.В.</w:t>
            </w:r>
          </w:p>
        </w:tc>
      </w:tr>
    </w:tbl>
    <w:p w:rsidR="001D6F30" w:rsidRPr="00FD40D3" w:rsidRDefault="001D6F30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83845" w:rsidRPr="00FD40D3" w:rsidRDefault="00D83845" w:rsidP="006255C7">
      <w:pPr>
        <w:jc w:val="right"/>
        <w:rPr>
          <w:sz w:val="24"/>
          <w:szCs w:val="24"/>
          <w:highlight w:val="yellow"/>
        </w:rPr>
      </w:pPr>
    </w:p>
    <w:p w:rsidR="00D83845" w:rsidRPr="00FD40D3" w:rsidRDefault="00D83845">
      <w:pPr>
        <w:widowControl/>
        <w:spacing w:after="200" w:line="276" w:lineRule="auto"/>
        <w:rPr>
          <w:sz w:val="24"/>
          <w:szCs w:val="24"/>
          <w:highlight w:val="yellow"/>
        </w:rPr>
      </w:pPr>
      <w:r w:rsidRPr="00FD40D3">
        <w:rPr>
          <w:sz w:val="24"/>
          <w:szCs w:val="24"/>
          <w:highlight w:val="yellow"/>
        </w:rPr>
        <w:br w:type="page"/>
      </w:r>
    </w:p>
    <w:p w:rsidR="00D83845" w:rsidRPr="000A7A80" w:rsidRDefault="006255C7" w:rsidP="00D83845">
      <w:pPr>
        <w:jc w:val="right"/>
        <w:rPr>
          <w:sz w:val="24"/>
          <w:szCs w:val="24"/>
        </w:rPr>
      </w:pPr>
      <w:r w:rsidRPr="000A7A80">
        <w:rPr>
          <w:sz w:val="24"/>
          <w:szCs w:val="24"/>
        </w:rPr>
        <w:lastRenderedPageBreak/>
        <w:t xml:space="preserve">Приложение к </w:t>
      </w:r>
      <w:r w:rsidR="00D83845" w:rsidRPr="000A7A80">
        <w:rPr>
          <w:sz w:val="24"/>
          <w:szCs w:val="24"/>
        </w:rPr>
        <w:t>протоколу заседания</w:t>
      </w:r>
    </w:p>
    <w:p w:rsidR="00D83845" w:rsidRPr="000A7A80" w:rsidRDefault="00D83845" w:rsidP="00D83845">
      <w:pPr>
        <w:jc w:val="right"/>
        <w:rPr>
          <w:sz w:val="24"/>
          <w:szCs w:val="24"/>
        </w:rPr>
      </w:pPr>
      <w:r w:rsidRPr="000A7A80">
        <w:rPr>
          <w:sz w:val="24"/>
          <w:szCs w:val="24"/>
        </w:rPr>
        <w:t xml:space="preserve"> Правления Департамента энергетики</w:t>
      </w:r>
    </w:p>
    <w:p w:rsidR="00D83845" w:rsidRPr="000A7A80" w:rsidRDefault="00D83845" w:rsidP="00D83845">
      <w:pPr>
        <w:jc w:val="right"/>
        <w:rPr>
          <w:sz w:val="24"/>
          <w:szCs w:val="24"/>
        </w:rPr>
      </w:pPr>
      <w:r w:rsidRPr="000A7A80">
        <w:rPr>
          <w:sz w:val="24"/>
          <w:szCs w:val="24"/>
        </w:rPr>
        <w:t xml:space="preserve"> и тарифов  Ивановской области </w:t>
      </w:r>
    </w:p>
    <w:p w:rsidR="006255C7" w:rsidRPr="000A7A80" w:rsidRDefault="006255C7" w:rsidP="00D83845">
      <w:pPr>
        <w:jc w:val="right"/>
        <w:rPr>
          <w:sz w:val="24"/>
          <w:szCs w:val="24"/>
        </w:rPr>
      </w:pPr>
      <w:r w:rsidRPr="000A7A80">
        <w:rPr>
          <w:sz w:val="24"/>
          <w:szCs w:val="24"/>
        </w:rPr>
        <w:t xml:space="preserve">от </w:t>
      </w:r>
      <w:r w:rsidR="000A7A80" w:rsidRPr="000A7A80">
        <w:rPr>
          <w:sz w:val="24"/>
          <w:szCs w:val="24"/>
        </w:rPr>
        <w:t>28 апреля</w:t>
      </w:r>
      <w:r w:rsidRPr="000A7A80">
        <w:rPr>
          <w:sz w:val="24"/>
          <w:szCs w:val="24"/>
        </w:rPr>
        <w:t xml:space="preserve"> 2022 г. № </w:t>
      </w:r>
      <w:r w:rsidR="00864DA0" w:rsidRPr="000A7A80">
        <w:rPr>
          <w:sz w:val="24"/>
          <w:szCs w:val="24"/>
        </w:rPr>
        <w:t>1</w:t>
      </w:r>
      <w:r w:rsidR="000A7A80" w:rsidRPr="000A7A80">
        <w:rPr>
          <w:sz w:val="24"/>
          <w:szCs w:val="24"/>
        </w:rPr>
        <w:t>5</w:t>
      </w:r>
      <w:r w:rsidR="00864DA0" w:rsidRPr="000A7A80">
        <w:rPr>
          <w:sz w:val="24"/>
          <w:szCs w:val="24"/>
        </w:rPr>
        <w:t>/1</w:t>
      </w:r>
      <w:r w:rsidRPr="000A7A80">
        <w:rPr>
          <w:sz w:val="24"/>
          <w:szCs w:val="24"/>
        </w:rPr>
        <w:t xml:space="preserve"> </w:t>
      </w:r>
    </w:p>
    <w:p w:rsidR="006255C7" w:rsidRPr="000A7A80" w:rsidRDefault="006255C7" w:rsidP="006255C7">
      <w:pPr>
        <w:jc w:val="center"/>
        <w:rPr>
          <w:b/>
          <w:sz w:val="24"/>
          <w:szCs w:val="24"/>
        </w:rPr>
      </w:pPr>
    </w:p>
    <w:p w:rsidR="006255C7" w:rsidRPr="000A7A80" w:rsidRDefault="000A7A80" w:rsidP="000A7A80">
      <w:pPr>
        <w:widowControl/>
        <w:jc w:val="center"/>
        <w:rPr>
          <w:sz w:val="24"/>
          <w:szCs w:val="24"/>
        </w:rPr>
      </w:pPr>
      <w:r w:rsidRPr="000A7A80">
        <w:rPr>
          <w:sz w:val="24"/>
          <w:szCs w:val="24"/>
        </w:rPr>
        <w:t>Состав расходов, включаемых в плату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 (многоквартирного жилого дома), расположенного по адресу: г. Иваново,</w:t>
      </w:r>
      <w:r w:rsidRPr="000A7A80">
        <w:rPr>
          <w:sz w:val="24"/>
          <w:szCs w:val="24"/>
        </w:rPr>
        <w:t xml:space="preserve"> </w:t>
      </w:r>
      <w:r w:rsidRPr="000A7A80">
        <w:rPr>
          <w:sz w:val="24"/>
          <w:szCs w:val="24"/>
        </w:rPr>
        <w:t xml:space="preserve">ул. Гнедина, д. 18 </w:t>
      </w:r>
      <w:proofErr w:type="spellStart"/>
      <w:r w:rsidRPr="000A7A80">
        <w:rPr>
          <w:sz w:val="24"/>
          <w:szCs w:val="24"/>
        </w:rPr>
        <w:t>лит</w:t>
      </w:r>
      <w:proofErr w:type="gramStart"/>
      <w:r w:rsidRPr="000A7A80">
        <w:rPr>
          <w:sz w:val="24"/>
          <w:szCs w:val="24"/>
        </w:rPr>
        <w:t>.Б</w:t>
      </w:r>
      <w:proofErr w:type="spellEnd"/>
      <w:proofErr w:type="gramEnd"/>
      <w:r w:rsidRPr="000A7A80">
        <w:rPr>
          <w:sz w:val="24"/>
          <w:szCs w:val="24"/>
        </w:rPr>
        <w:t xml:space="preserve"> на земельном участке с кадастровым номером 37:24:020332:20, по индивидуальному проекту</w:t>
      </w:r>
    </w:p>
    <w:p w:rsidR="00384B98" w:rsidRPr="000A7A80" w:rsidRDefault="00384B98" w:rsidP="00384B98">
      <w:pPr>
        <w:widowControl/>
        <w:jc w:val="center"/>
        <w:rPr>
          <w:sz w:val="28"/>
          <w:szCs w:val="28"/>
        </w:rPr>
      </w:pPr>
    </w:p>
    <w:tbl>
      <w:tblPr>
        <w:tblW w:w="5000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7472"/>
        <w:gridCol w:w="2109"/>
      </w:tblGrid>
      <w:tr w:rsidR="00BC0FD4" w:rsidRPr="001A6A44" w:rsidTr="002B5EAB">
        <w:trPr>
          <w:trHeight w:val="329"/>
        </w:trPr>
        <w:tc>
          <w:tcPr>
            <w:tcW w:w="817" w:type="dxa"/>
            <w:shd w:val="clear" w:color="auto" w:fill="auto"/>
            <w:vAlign w:val="center"/>
            <w:hideMark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 xml:space="preserve">№ </w:t>
            </w:r>
            <w:proofErr w:type="gramStart"/>
            <w:r w:rsidRPr="001A6A44">
              <w:rPr>
                <w:sz w:val="24"/>
                <w:szCs w:val="24"/>
              </w:rPr>
              <w:t>п</w:t>
            </w:r>
            <w:proofErr w:type="gramEnd"/>
            <w:r w:rsidRPr="001A6A44">
              <w:rPr>
                <w:sz w:val="24"/>
                <w:szCs w:val="24"/>
              </w:rPr>
              <w:t>/п</w:t>
            </w:r>
          </w:p>
        </w:tc>
        <w:tc>
          <w:tcPr>
            <w:tcW w:w="7268" w:type="dxa"/>
            <w:shd w:val="clear" w:color="auto" w:fill="auto"/>
            <w:vAlign w:val="center"/>
            <w:hideMark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Показатели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 xml:space="preserve">Расходы,  </w:t>
            </w:r>
            <w:proofErr w:type="spellStart"/>
            <w:r w:rsidRPr="001A6A44">
              <w:rPr>
                <w:sz w:val="24"/>
                <w:szCs w:val="24"/>
              </w:rPr>
              <w:t>тыс</w:t>
            </w:r>
            <w:proofErr w:type="gramStart"/>
            <w:r w:rsidRPr="001A6A44">
              <w:rPr>
                <w:sz w:val="24"/>
                <w:szCs w:val="24"/>
              </w:rPr>
              <w:t>.р</w:t>
            </w:r>
            <w:proofErr w:type="gramEnd"/>
            <w:r w:rsidRPr="001A6A44">
              <w:rPr>
                <w:sz w:val="24"/>
                <w:szCs w:val="24"/>
              </w:rPr>
              <w:t>уб</w:t>
            </w:r>
            <w:proofErr w:type="spellEnd"/>
            <w:r w:rsidRPr="001A6A44">
              <w:rPr>
                <w:sz w:val="24"/>
                <w:szCs w:val="24"/>
              </w:rPr>
              <w:t>.</w:t>
            </w:r>
          </w:p>
        </w:tc>
      </w:tr>
      <w:tr w:rsidR="00BC0FD4" w:rsidRPr="001A6A44" w:rsidTr="002B5EAB">
        <w:trPr>
          <w:trHeight w:val="181"/>
        </w:trPr>
        <w:tc>
          <w:tcPr>
            <w:tcW w:w="817" w:type="dxa"/>
            <w:shd w:val="clear" w:color="auto" w:fill="auto"/>
            <w:vAlign w:val="center"/>
            <w:hideMark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1</w:t>
            </w:r>
          </w:p>
        </w:tc>
        <w:tc>
          <w:tcPr>
            <w:tcW w:w="7268" w:type="dxa"/>
            <w:shd w:val="clear" w:color="auto" w:fill="auto"/>
            <w:vAlign w:val="center"/>
            <w:hideMark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Расходы на разработку проектной документации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180,32177</w:t>
            </w:r>
          </w:p>
        </w:tc>
      </w:tr>
      <w:tr w:rsidR="00BC0FD4" w:rsidRPr="001A6A44" w:rsidTr="002B5EAB">
        <w:trPr>
          <w:trHeight w:val="157"/>
        </w:trPr>
        <w:tc>
          <w:tcPr>
            <w:tcW w:w="817" w:type="dxa"/>
            <w:shd w:val="clear" w:color="auto" w:fill="auto"/>
            <w:vAlign w:val="center"/>
            <w:hideMark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2</w:t>
            </w:r>
          </w:p>
        </w:tc>
        <w:tc>
          <w:tcPr>
            <w:tcW w:w="7268" w:type="dxa"/>
            <w:shd w:val="clear" w:color="auto" w:fill="auto"/>
            <w:vAlign w:val="center"/>
            <w:hideMark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Расходы на выполнение технических условий, в том числе: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1 734,17945</w:t>
            </w:r>
          </w:p>
        </w:tc>
      </w:tr>
      <w:tr w:rsidR="00BC0FD4" w:rsidRPr="001A6A44" w:rsidTr="002B5EAB">
        <w:trPr>
          <w:trHeight w:val="147"/>
        </w:trPr>
        <w:tc>
          <w:tcPr>
            <w:tcW w:w="817" w:type="dxa"/>
            <w:shd w:val="clear" w:color="auto" w:fill="auto"/>
            <w:vAlign w:val="center"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2.1</w:t>
            </w:r>
          </w:p>
        </w:tc>
        <w:tc>
          <w:tcPr>
            <w:tcW w:w="7268" w:type="dxa"/>
            <w:shd w:val="clear" w:color="auto" w:fill="auto"/>
            <w:vAlign w:val="center"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Строительство стальных газопроводов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126,75072</w:t>
            </w:r>
          </w:p>
        </w:tc>
      </w:tr>
      <w:tr w:rsidR="00BC0FD4" w:rsidRPr="001A6A44" w:rsidTr="002B5EAB">
        <w:trPr>
          <w:trHeight w:val="147"/>
        </w:trPr>
        <w:tc>
          <w:tcPr>
            <w:tcW w:w="817" w:type="dxa"/>
            <w:shd w:val="clear" w:color="auto" w:fill="auto"/>
            <w:vAlign w:val="center"/>
          </w:tcPr>
          <w:p w:rsidR="00BC0FD4" w:rsidRPr="006C5A69" w:rsidRDefault="00BC0FD4" w:rsidP="002B5EAB">
            <w:pPr>
              <w:jc w:val="center"/>
              <w:rPr>
                <w:color w:val="000000"/>
                <w:sz w:val="24"/>
                <w:szCs w:val="24"/>
              </w:rPr>
            </w:pPr>
            <w:r w:rsidRPr="006C5A69"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7268" w:type="dxa"/>
            <w:shd w:val="clear" w:color="auto" w:fill="auto"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Наземная (надземная) прокладка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37,09777</w:t>
            </w:r>
          </w:p>
        </w:tc>
      </w:tr>
      <w:tr w:rsidR="00BC0FD4" w:rsidRPr="001A6A44" w:rsidTr="002B5EAB">
        <w:trPr>
          <w:trHeight w:val="147"/>
        </w:trPr>
        <w:tc>
          <w:tcPr>
            <w:tcW w:w="817" w:type="dxa"/>
            <w:shd w:val="clear" w:color="auto" w:fill="auto"/>
            <w:vAlign w:val="center"/>
          </w:tcPr>
          <w:p w:rsidR="00BC0FD4" w:rsidRPr="006C5A69" w:rsidRDefault="00BC0FD4" w:rsidP="002B5E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  <w:vAlign w:val="center"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158 мм и менее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37,09777</w:t>
            </w:r>
          </w:p>
        </w:tc>
      </w:tr>
      <w:tr w:rsidR="00BC0FD4" w:rsidRPr="001A6A44" w:rsidTr="002B5EAB">
        <w:trPr>
          <w:trHeight w:val="147"/>
        </w:trPr>
        <w:tc>
          <w:tcPr>
            <w:tcW w:w="817" w:type="dxa"/>
            <w:shd w:val="clear" w:color="auto" w:fill="auto"/>
            <w:vAlign w:val="center"/>
          </w:tcPr>
          <w:p w:rsidR="00BC0FD4" w:rsidRPr="006C5A69" w:rsidRDefault="00BC0FD4" w:rsidP="002B5EAB">
            <w:pPr>
              <w:jc w:val="center"/>
              <w:rPr>
                <w:color w:val="000000"/>
                <w:sz w:val="24"/>
                <w:szCs w:val="24"/>
              </w:rPr>
            </w:pPr>
            <w:r w:rsidRPr="006C5A69">
              <w:rPr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7268" w:type="dxa"/>
            <w:shd w:val="clear" w:color="auto" w:fill="auto"/>
            <w:vAlign w:val="center"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 xml:space="preserve">Подземная прокладка 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89,65295</w:t>
            </w:r>
          </w:p>
        </w:tc>
      </w:tr>
      <w:tr w:rsidR="00BC0FD4" w:rsidRPr="001A6A44" w:rsidTr="002B5EAB">
        <w:trPr>
          <w:trHeight w:val="14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C0FD4" w:rsidRPr="001A6A44" w:rsidRDefault="00BC0FD4" w:rsidP="002B5E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  <w:vAlign w:val="center"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158 мм и менее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40,18925</w:t>
            </w:r>
          </w:p>
        </w:tc>
      </w:tr>
      <w:tr w:rsidR="00BC0FD4" w:rsidRPr="001A6A44" w:rsidTr="002B5EAB">
        <w:trPr>
          <w:trHeight w:val="147"/>
        </w:trPr>
        <w:tc>
          <w:tcPr>
            <w:tcW w:w="817" w:type="dxa"/>
            <w:vMerge/>
            <w:shd w:val="clear" w:color="auto" w:fill="auto"/>
            <w:vAlign w:val="center"/>
          </w:tcPr>
          <w:p w:rsidR="00BC0FD4" w:rsidRPr="001A6A44" w:rsidRDefault="00BC0FD4" w:rsidP="002B5E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  <w:vAlign w:val="center"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159 – 218 мм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49,46370</w:t>
            </w:r>
          </w:p>
        </w:tc>
      </w:tr>
      <w:tr w:rsidR="00BC0FD4" w:rsidRPr="001A6A44" w:rsidTr="002B5EAB">
        <w:trPr>
          <w:trHeight w:val="137"/>
        </w:trPr>
        <w:tc>
          <w:tcPr>
            <w:tcW w:w="817" w:type="dxa"/>
            <w:shd w:val="clear" w:color="auto" w:fill="auto"/>
            <w:vAlign w:val="center"/>
            <w:hideMark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2.2</w:t>
            </w:r>
          </w:p>
        </w:tc>
        <w:tc>
          <w:tcPr>
            <w:tcW w:w="7268" w:type="dxa"/>
            <w:shd w:val="clear" w:color="auto" w:fill="auto"/>
            <w:vAlign w:val="center"/>
            <w:hideMark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Строительство полиэтиленовых газопроводов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1 026,37173</w:t>
            </w:r>
          </w:p>
        </w:tc>
      </w:tr>
      <w:tr w:rsidR="00BC0FD4" w:rsidRPr="001A6A44" w:rsidTr="002B5EAB">
        <w:trPr>
          <w:trHeight w:val="13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C0FD4" w:rsidRPr="001A6A44" w:rsidRDefault="00BC0FD4" w:rsidP="002B5EAB">
            <w:pPr>
              <w:jc w:val="center"/>
              <w:rPr>
                <w:color w:val="000000"/>
              </w:rPr>
            </w:pPr>
          </w:p>
        </w:tc>
        <w:tc>
          <w:tcPr>
            <w:tcW w:w="7268" w:type="dxa"/>
            <w:shd w:val="clear" w:color="auto" w:fill="auto"/>
            <w:vAlign w:val="center"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109 мм и менее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760,50435</w:t>
            </w:r>
          </w:p>
        </w:tc>
      </w:tr>
      <w:tr w:rsidR="00BC0FD4" w:rsidRPr="001A6A44" w:rsidTr="002B5EAB">
        <w:trPr>
          <w:trHeight w:val="137"/>
        </w:trPr>
        <w:tc>
          <w:tcPr>
            <w:tcW w:w="817" w:type="dxa"/>
            <w:vMerge/>
            <w:shd w:val="clear" w:color="auto" w:fill="auto"/>
            <w:vAlign w:val="center"/>
          </w:tcPr>
          <w:p w:rsidR="00BC0FD4" w:rsidRPr="001A6A44" w:rsidRDefault="00BC0FD4" w:rsidP="002B5E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  <w:vAlign w:val="center"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160 - 224 мм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265,86738</w:t>
            </w:r>
          </w:p>
        </w:tc>
      </w:tr>
      <w:tr w:rsidR="00BC0FD4" w:rsidRPr="001A6A44" w:rsidTr="002B5EAB">
        <w:trPr>
          <w:trHeight w:val="209"/>
        </w:trPr>
        <w:tc>
          <w:tcPr>
            <w:tcW w:w="817" w:type="dxa"/>
            <w:shd w:val="clear" w:color="auto" w:fill="auto"/>
            <w:vAlign w:val="center"/>
            <w:hideMark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2.3</w:t>
            </w:r>
          </w:p>
        </w:tc>
        <w:tc>
          <w:tcPr>
            <w:tcW w:w="7268" w:type="dxa"/>
            <w:shd w:val="clear" w:color="auto" w:fill="auto"/>
            <w:vAlign w:val="center"/>
            <w:hideMark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Строительство (реконструкция) пунктов редуцирования газа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581,05700</w:t>
            </w:r>
          </w:p>
        </w:tc>
      </w:tr>
      <w:tr w:rsidR="00BC0FD4" w:rsidRPr="001A6A44" w:rsidTr="002B5EAB">
        <w:trPr>
          <w:trHeight w:val="209"/>
        </w:trPr>
        <w:tc>
          <w:tcPr>
            <w:tcW w:w="817" w:type="dxa"/>
            <w:shd w:val="clear" w:color="auto" w:fill="auto"/>
            <w:vAlign w:val="center"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68" w:type="dxa"/>
            <w:shd w:val="clear" w:color="auto" w:fill="auto"/>
            <w:vAlign w:val="center"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100 – 399 куб. метров в час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581,05700</w:t>
            </w:r>
          </w:p>
        </w:tc>
      </w:tr>
      <w:tr w:rsidR="00BC0FD4" w:rsidRPr="001A6A44" w:rsidTr="002B5EAB">
        <w:trPr>
          <w:trHeight w:val="397"/>
        </w:trPr>
        <w:tc>
          <w:tcPr>
            <w:tcW w:w="817" w:type="dxa"/>
            <w:shd w:val="clear" w:color="auto" w:fill="auto"/>
            <w:vAlign w:val="center"/>
            <w:hideMark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2.4</w:t>
            </w:r>
          </w:p>
        </w:tc>
        <w:tc>
          <w:tcPr>
            <w:tcW w:w="7268" w:type="dxa"/>
            <w:shd w:val="clear" w:color="auto" w:fill="auto"/>
            <w:vAlign w:val="center"/>
            <w:hideMark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Строительство (реконструкция) систем электрохимической (катодной) защиты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0,00</w:t>
            </w:r>
          </w:p>
        </w:tc>
      </w:tr>
      <w:tr w:rsidR="00BC0FD4" w:rsidRPr="001A6A44" w:rsidTr="002B5EAB">
        <w:trPr>
          <w:trHeight w:val="488"/>
        </w:trPr>
        <w:tc>
          <w:tcPr>
            <w:tcW w:w="817" w:type="dxa"/>
            <w:shd w:val="clear" w:color="auto" w:fill="auto"/>
            <w:vAlign w:val="center"/>
            <w:hideMark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2.5</w:t>
            </w:r>
          </w:p>
        </w:tc>
        <w:tc>
          <w:tcPr>
            <w:tcW w:w="7268" w:type="dxa"/>
            <w:shd w:val="clear" w:color="auto" w:fill="auto"/>
            <w:vAlign w:val="center"/>
            <w:hideMark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Расходы на ликвидацию дефицита пропускной способности существующих сетей газораспределения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0,00</w:t>
            </w:r>
          </w:p>
        </w:tc>
      </w:tr>
      <w:tr w:rsidR="00BC0FD4" w:rsidRPr="001A6A44" w:rsidTr="002B5EAB">
        <w:trPr>
          <w:trHeight w:val="442"/>
        </w:trPr>
        <w:tc>
          <w:tcPr>
            <w:tcW w:w="817" w:type="dxa"/>
            <w:shd w:val="clear" w:color="auto" w:fill="auto"/>
            <w:vAlign w:val="center"/>
            <w:hideMark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3</w:t>
            </w:r>
          </w:p>
        </w:tc>
        <w:tc>
          <w:tcPr>
            <w:tcW w:w="7268" w:type="dxa"/>
            <w:shd w:val="clear" w:color="auto" w:fill="auto"/>
            <w:vAlign w:val="center"/>
            <w:hideMark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Расходы, связанные с мониторингом выполнения Заявителем технических условий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4,87768</w:t>
            </w:r>
          </w:p>
        </w:tc>
      </w:tr>
      <w:tr w:rsidR="00BC0FD4" w:rsidRPr="001A6A44" w:rsidTr="002B5EAB">
        <w:trPr>
          <w:trHeight w:val="973"/>
        </w:trPr>
        <w:tc>
          <w:tcPr>
            <w:tcW w:w="817" w:type="dxa"/>
            <w:shd w:val="clear" w:color="auto" w:fill="auto"/>
            <w:vAlign w:val="center"/>
            <w:hideMark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4</w:t>
            </w:r>
          </w:p>
        </w:tc>
        <w:tc>
          <w:tcPr>
            <w:tcW w:w="7268" w:type="dxa"/>
            <w:shd w:val="clear" w:color="auto" w:fill="auto"/>
            <w:vAlign w:val="center"/>
            <w:hideMark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175,72998</w:t>
            </w:r>
          </w:p>
        </w:tc>
      </w:tr>
      <w:tr w:rsidR="00BC0FD4" w:rsidRPr="001A6A44" w:rsidTr="002B5EAB">
        <w:trPr>
          <w:trHeight w:val="264"/>
        </w:trPr>
        <w:tc>
          <w:tcPr>
            <w:tcW w:w="817" w:type="dxa"/>
            <w:shd w:val="clear" w:color="auto" w:fill="auto"/>
            <w:vAlign w:val="center"/>
            <w:hideMark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5</w:t>
            </w:r>
          </w:p>
        </w:tc>
        <w:tc>
          <w:tcPr>
            <w:tcW w:w="7268" w:type="dxa"/>
            <w:shd w:val="clear" w:color="auto" w:fill="auto"/>
            <w:vAlign w:val="center"/>
            <w:hideMark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 xml:space="preserve">Эффективная ставка налога на прибыль, </w:t>
            </w:r>
            <w:proofErr w:type="gramStart"/>
            <w:r w:rsidRPr="001A6A44">
              <w:rPr>
                <w:sz w:val="24"/>
                <w:szCs w:val="24"/>
              </w:rPr>
              <w:t>в</w:t>
            </w:r>
            <w:proofErr w:type="gramEnd"/>
            <w:r w:rsidRPr="001A6A44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20</w:t>
            </w:r>
          </w:p>
        </w:tc>
      </w:tr>
      <w:tr w:rsidR="00BC0FD4" w:rsidRPr="001A6A44" w:rsidTr="002B5EAB">
        <w:trPr>
          <w:trHeight w:val="236"/>
        </w:trPr>
        <w:tc>
          <w:tcPr>
            <w:tcW w:w="817" w:type="dxa"/>
            <w:shd w:val="clear" w:color="auto" w:fill="auto"/>
            <w:vAlign w:val="center"/>
            <w:hideMark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6</w:t>
            </w:r>
          </w:p>
        </w:tc>
        <w:tc>
          <w:tcPr>
            <w:tcW w:w="7268" w:type="dxa"/>
            <w:shd w:val="clear" w:color="auto" w:fill="auto"/>
            <w:vAlign w:val="center"/>
            <w:hideMark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523,77722</w:t>
            </w:r>
          </w:p>
        </w:tc>
      </w:tr>
      <w:tr w:rsidR="00BC0FD4" w:rsidRPr="00B24D5E" w:rsidTr="002B5EAB">
        <w:trPr>
          <w:trHeight w:val="448"/>
        </w:trPr>
        <w:tc>
          <w:tcPr>
            <w:tcW w:w="817" w:type="dxa"/>
            <w:shd w:val="clear" w:color="auto" w:fill="auto"/>
            <w:vAlign w:val="center"/>
            <w:hideMark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7</w:t>
            </w:r>
          </w:p>
        </w:tc>
        <w:tc>
          <w:tcPr>
            <w:tcW w:w="7268" w:type="dxa"/>
            <w:shd w:val="clear" w:color="auto" w:fill="auto"/>
            <w:vAlign w:val="center"/>
            <w:hideMark/>
          </w:tcPr>
          <w:p w:rsidR="00BC0FD4" w:rsidRPr="001A6A44" w:rsidRDefault="00BC0FD4" w:rsidP="002B5EAB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Расходы на проведение мероприятий по технологическому присоединению газоиспользующего оборудования заявителя (без НДС)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BC0FD4" w:rsidRPr="00B24D5E" w:rsidRDefault="00BC0FD4" w:rsidP="002B5EAB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A44">
              <w:rPr>
                <w:sz w:val="24"/>
                <w:szCs w:val="24"/>
              </w:rPr>
              <w:t>2 618,88610</w:t>
            </w:r>
          </w:p>
        </w:tc>
      </w:tr>
    </w:tbl>
    <w:p w:rsidR="00384B98" w:rsidRPr="005E7FF3" w:rsidRDefault="00384B98" w:rsidP="00384B98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D546B" w:rsidRPr="006F0FB1" w:rsidRDefault="001D546B" w:rsidP="00A14C01">
      <w:pPr>
        <w:widowControl/>
        <w:spacing w:after="200" w:line="276" w:lineRule="auto"/>
        <w:rPr>
          <w:snapToGrid w:val="0"/>
          <w:sz w:val="24"/>
          <w:szCs w:val="24"/>
        </w:rPr>
      </w:pPr>
    </w:p>
    <w:sectPr w:rsidR="001D546B" w:rsidRPr="006F0FB1" w:rsidSect="00D83845">
      <w:headerReference w:type="default" r:id="rId9"/>
      <w:pgSz w:w="11906" w:h="16838"/>
      <w:pgMar w:top="851" w:right="567" w:bottom="85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529" w:rsidRDefault="002E1529" w:rsidP="00510D4D">
      <w:r>
        <w:separator/>
      </w:r>
    </w:p>
  </w:endnote>
  <w:endnote w:type="continuationSeparator" w:id="0">
    <w:p w:rsidR="002E1529" w:rsidRDefault="002E1529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529" w:rsidRDefault="002E1529" w:rsidP="00510D4D">
      <w:r>
        <w:separator/>
      </w:r>
    </w:p>
  </w:footnote>
  <w:footnote w:type="continuationSeparator" w:id="0">
    <w:p w:rsidR="002E1529" w:rsidRDefault="002E1529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Content>
      <w:p w:rsidR="002E1529" w:rsidRDefault="002E152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0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E1529" w:rsidRDefault="002E15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6D4DFD"/>
    <w:multiLevelType w:val="hybridMultilevel"/>
    <w:tmpl w:val="857C6386"/>
    <w:lvl w:ilvl="0" w:tplc="C060AC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AC2516"/>
    <w:multiLevelType w:val="hybridMultilevel"/>
    <w:tmpl w:val="5C42B762"/>
    <w:lvl w:ilvl="0" w:tplc="F1EC7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5B2CC7"/>
    <w:multiLevelType w:val="hybridMultilevel"/>
    <w:tmpl w:val="78CCB270"/>
    <w:lvl w:ilvl="0" w:tplc="092650EC">
      <w:start w:val="7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8054FD3"/>
    <w:multiLevelType w:val="hybridMultilevel"/>
    <w:tmpl w:val="3F527B58"/>
    <w:lvl w:ilvl="0" w:tplc="BABC57E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296FD4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016392"/>
    <w:multiLevelType w:val="hybridMultilevel"/>
    <w:tmpl w:val="955EDCAC"/>
    <w:lvl w:ilvl="0" w:tplc="642683DE">
      <w:start w:val="1"/>
      <w:numFmt w:val="decimal"/>
      <w:lvlText w:val="%1."/>
      <w:lvlJc w:val="left"/>
      <w:pPr>
        <w:ind w:left="6626" w:hanging="13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7">
    <w:nsid w:val="0BA61A30"/>
    <w:multiLevelType w:val="hybridMultilevel"/>
    <w:tmpl w:val="D6B8E332"/>
    <w:lvl w:ilvl="0" w:tplc="92E27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F171551"/>
    <w:multiLevelType w:val="hybridMultilevel"/>
    <w:tmpl w:val="F2541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A7EF7"/>
    <w:multiLevelType w:val="hybridMultilevel"/>
    <w:tmpl w:val="101C8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33BD4"/>
    <w:multiLevelType w:val="hybridMultilevel"/>
    <w:tmpl w:val="CDD28D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42E4A39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D631EC8"/>
    <w:multiLevelType w:val="hybridMultilevel"/>
    <w:tmpl w:val="31D2B628"/>
    <w:lvl w:ilvl="0" w:tplc="CE504D6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93467B"/>
    <w:multiLevelType w:val="hybridMultilevel"/>
    <w:tmpl w:val="0B086CFA"/>
    <w:lvl w:ilvl="0" w:tplc="17FA2B5C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04D6BE6"/>
    <w:multiLevelType w:val="multilevel"/>
    <w:tmpl w:val="4C282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5">
    <w:nsid w:val="22135C82"/>
    <w:multiLevelType w:val="hybridMultilevel"/>
    <w:tmpl w:val="857C6386"/>
    <w:lvl w:ilvl="0" w:tplc="C060AC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3FC3E11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7">
    <w:nsid w:val="24AA3487"/>
    <w:multiLevelType w:val="hybridMultilevel"/>
    <w:tmpl w:val="658AF99A"/>
    <w:lvl w:ilvl="0" w:tplc="14F455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484F7B"/>
    <w:multiLevelType w:val="hybridMultilevel"/>
    <w:tmpl w:val="1D86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F363BE"/>
    <w:multiLevelType w:val="hybridMultilevel"/>
    <w:tmpl w:val="B36E27AC"/>
    <w:lvl w:ilvl="0" w:tplc="5986E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8D41904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1">
    <w:nsid w:val="2BEE16F9"/>
    <w:multiLevelType w:val="hybridMultilevel"/>
    <w:tmpl w:val="AA32DAAE"/>
    <w:lvl w:ilvl="0" w:tplc="DB18A034">
      <w:start w:val="1"/>
      <w:numFmt w:val="decimal"/>
      <w:lvlText w:val="%1."/>
      <w:lvlJc w:val="left"/>
      <w:pPr>
        <w:ind w:left="1392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C700946"/>
    <w:multiLevelType w:val="hybridMultilevel"/>
    <w:tmpl w:val="F1586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1E71AC"/>
    <w:multiLevelType w:val="hybridMultilevel"/>
    <w:tmpl w:val="976468E2"/>
    <w:lvl w:ilvl="0" w:tplc="21FE89B2">
      <w:start w:val="1"/>
      <w:numFmt w:val="decimal"/>
      <w:lvlText w:val="%1."/>
      <w:lvlJc w:val="left"/>
      <w:pPr>
        <w:ind w:left="3612" w:hanging="1485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3AA579F4"/>
    <w:multiLevelType w:val="hybridMultilevel"/>
    <w:tmpl w:val="8722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B91294"/>
    <w:multiLevelType w:val="hybridMultilevel"/>
    <w:tmpl w:val="7D769E32"/>
    <w:lvl w:ilvl="0" w:tplc="7B9A4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52553A9"/>
    <w:multiLevelType w:val="hybridMultilevel"/>
    <w:tmpl w:val="5E241B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>
    <w:nsid w:val="45FB7673"/>
    <w:multiLevelType w:val="hybridMultilevel"/>
    <w:tmpl w:val="DB3071F2"/>
    <w:lvl w:ilvl="0" w:tplc="C1823122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64B5E36"/>
    <w:multiLevelType w:val="hybridMultilevel"/>
    <w:tmpl w:val="A74CB1AE"/>
    <w:lvl w:ilvl="0" w:tplc="BFC0C276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B565E6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1">
    <w:nsid w:val="4EA27010"/>
    <w:multiLevelType w:val="hybridMultilevel"/>
    <w:tmpl w:val="DB3071F2"/>
    <w:lvl w:ilvl="0" w:tplc="C1823122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B2A20F8"/>
    <w:multiLevelType w:val="hybridMultilevel"/>
    <w:tmpl w:val="6D70BCB0"/>
    <w:lvl w:ilvl="0" w:tplc="EACEA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DD62C7A"/>
    <w:multiLevelType w:val="hybridMultilevel"/>
    <w:tmpl w:val="ECBC9572"/>
    <w:lvl w:ilvl="0" w:tplc="9C10A5C4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5">
    <w:nsid w:val="60FB56E4"/>
    <w:multiLevelType w:val="hybridMultilevel"/>
    <w:tmpl w:val="30127644"/>
    <w:lvl w:ilvl="0" w:tplc="F8B61B8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667A1022"/>
    <w:multiLevelType w:val="multilevel"/>
    <w:tmpl w:val="9528BF1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67963B1B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8">
    <w:nsid w:val="6B530CF9"/>
    <w:multiLevelType w:val="hybridMultilevel"/>
    <w:tmpl w:val="CFF8FC5E"/>
    <w:lvl w:ilvl="0" w:tplc="371A2BF6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72EE604C"/>
    <w:multiLevelType w:val="hybridMultilevel"/>
    <w:tmpl w:val="B34861B4"/>
    <w:lvl w:ilvl="0" w:tplc="4CD87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0A170A"/>
    <w:multiLevelType w:val="hybridMultilevel"/>
    <w:tmpl w:val="955EDCAC"/>
    <w:lvl w:ilvl="0" w:tplc="642683DE">
      <w:start w:val="1"/>
      <w:numFmt w:val="decimal"/>
      <w:lvlText w:val="%1."/>
      <w:lvlJc w:val="left"/>
      <w:pPr>
        <w:ind w:left="6626" w:hanging="13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41">
    <w:nsid w:val="7CDB1FCC"/>
    <w:multiLevelType w:val="hybridMultilevel"/>
    <w:tmpl w:val="38AED118"/>
    <w:lvl w:ilvl="0" w:tplc="1456A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750C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FE37829"/>
    <w:multiLevelType w:val="hybridMultilevel"/>
    <w:tmpl w:val="3050C832"/>
    <w:lvl w:ilvl="0" w:tplc="A21E07BA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4"/>
  </w:num>
  <w:num w:numId="3">
    <w:abstractNumId w:val="41"/>
  </w:num>
  <w:num w:numId="4">
    <w:abstractNumId w:val="25"/>
  </w:num>
  <w:num w:numId="5">
    <w:abstractNumId w:val="13"/>
  </w:num>
  <w:num w:numId="6">
    <w:abstractNumId w:val="4"/>
  </w:num>
  <w:num w:numId="7">
    <w:abstractNumId w:val="38"/>
  </w:num>
  <w:num w:numId="8">
    <w:abstractNumId w:val="42"/>
  </w:num>
  <w:num w:numId="9">
    <w:abstractNumId w:val="3"/>
  </w:num>
  <w:num w:numId="10">
    <w:abstractNumId w:val="32"/>
  </w:num>
  <w:num w:numId="11">
    <w:abstractNumId w:val="35"/>
  </w:num>
  <w:num w:numId="12">
    <w:abstractNumId w:val="2"/>
  </w:num>
  <w:num w:numId="13">
    <w:abstractNumId w:val="28"/>
  </w:num>
  <w:num w:numId="14">
    <w:abstractNumId w:val="27"/>
  </w:num>
  <w:num w:numId="15">
    <w:abstractNumId w:val="43"/>
  </w:num>
  <w:num w:numId="16">
    <w:abstractNumId w:val="5"/>
  </w:num>
  <w:num w:numId="17">
    <w:abstractNumId w:val="21"/>
  </w:num>
  <w:num w:numId="18">
    <w:abstractNumId w:val="29"/>
  </w:num>
  <w:num w:numId="19">
    <w:abstractNumId w:val="37"/>
  </w:num>
  <w:num w:numId="20">
    <w:abstractNumId w:val="31"/>
  </w:num>
  <w:num w:numId="21">
    <w:abstractNumId w:val="30"/>
  </w:num>
  <w:num w:numId="22">
    <w:abstractNumId w:val="11"/>
  </w:num>
  <w:num w:numId="23">
    <w:abstractNumId w:val="10"/>
  </w:num>
  <w:num w:numId="24">
    <w:abstractNumId w:val="18"/>
  </w:num>
  <w:num w:numId="25">
    <w:abstractNumId w:val="17"/>
  </w:num>
  <w:num w:numId="26">
    <w:abstractNumId w:val="26"/>
  </w:num>
  <w:num w:numId="27">
    <w:abstractNumId w:val="22"/>
  </w:num>
  <w:num w:numId="28">
    <w:abstractNumId w:val="9"/>
  </w:num>
  <w:num w:numId="29">
    <w:abstractNumId w:val="8"/>
  </w:num>
  <w:num w:numId="30">
    <w:abstractNumId w:val="33"/>
  </w:num>
  <w:num w:numId="31">
    <w:abstractNumId w:val="20"/>
  </w:num>
  <w:num w:numId="32">
    <w:abstractNumId w:val="19"/>
  </w:num>
  <w:num w:numId="33">
    <w:abstractNumId w:val="7"/>
  </w:num>
  <w:num w:numId="34">
    <w:abstractNumId w:val="14"/>
  </w:num>
  <w:num w:numId="35">
    <w:abstractNumId w:val="39"/>
  </w:num>
  <w:num w:numId="36">
    <w:abstractNumId w:val="24"/>
  </w:num>
  <w:num w:numId="37">
    <w:abstractNumId w:val="12"/>
  </w:num>
  <w:num w:numId="38">
    <w:abstractNumId w:val="16"/>
  </w:num>
  <w:num w:numId="39">
    <w:abstractNumId w:val="23"/>
  </w:num>
  <w:num w:numId="40">
    <w:abstractNumId w:val="6"/>
  </w:num>
  <w:num w:numId="41">
    <w:abstractNumId w:val="1"/>
  </w:num>
  <w:num w:numId="42">
    <w:abstractNumId w:val="36"/>
  </w:num>
  <w:num w:numId="43">
    <w:abstractNumId w:val="15"/>
  </w:num>
  <w:num w:numId="44">
    <w:abstractNumId w:val="4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304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690E"/>
    <w:rsid w:val="000070FF"/>
    <w:rsid w:val="00010875"/>
    <w:rsid w:val="00011349"/>
    <w:rsid w:val="00011A40"/>
    <w:rsid w:val="0001269F"/>
    <w:rsid w:val="000127BB"/>
    <w:rsid w:val="00013429"/>
    <w:rsid w:val="000142F5"/>
    <w:rsid w:val="000168A3"/>
    <w:rsid w:val="00017A92"/>
    <w:rsid w:val="00021AB6"/>
    <w:rsid w:val="0002346D"/>
    <w:rsid w:val="00026CEE"/>
    <w:rsid w:val="000273C9"/>
    <w:rsid w:val="0003041F"/>
    <w:rsid w:val="000308D6"/>
    <w:rsid w:val="0003102F"/>
    <w:rsid w:val="00033E97"/>
    <w:rsid w:val="00035F48"/>
    <w:rsid w:val="000364D8"/>
    <w:rsid w:val="00037961"/>
    <w:rsid w:val="000423C1"/>
    <w:rsid w:val="00047517"/>
    <w:rsid w:val="000512E4"/>
    <w:rsid w:val="0005218C"/>
    <w:rsid w:val="000527F1"/>
    <w:rsid w:val="0005377A"/>
    <w:rsid w:val="00053FE0"/>
    <w:rsid w:val="00054056"/>
    <w:rsid w:val="00054215"/>
    <w:rsid w:val="00054D38"/>
    <w:rsid w:val="0005506B"/>
    <w:rsid w:val="00055D37"/>
    <w:rsid w:val="00057289"/>
    <w:rsid w:val="000579CF"/>
    <w:rsid w:val="000620D4"/>
    <w:rsid w:val="000626D7"/>
    <w:rsid w:val="00062D8F"/>
    <w:rsid w:val="000630E2"/>
    <w:rsid w:val="00063F8F"/>
    <w:rsid w:val="00064802"/>
    <w:rsid w:val="00070EB9"/>
    <w:rsid w:val="0007103C"/>
    <w:rsid w:val="0007191D"/>
    <w:rsid w:val="00071D94"/>
    <w:rsid w:val="0007314E"/>
    <w:rsid w:val="000736F9"/>
    <w:rsid w:val="00074164"/>
    <w:rsid w:val="00074964"/>
    <w:rsid w:val="000750AE"/>
    <w:rsid w:val="00076365"/>
    <w:rsid w:val="000769E5"/>
    <w:rsid w:val="00076E2E"/>
    <w:rsid w:val="00077E77"/>
    <w:rsid w:val="00080D4B"/>
    <w:rsid w:val="00082273"/>
    <w:rsid w:val="00087306"/>
    <w:rsid w:val="0008799A"/>
    <w:rsid w:val="00092FA3"/>
    <w:rsid w:val="00094EB6"/>
    <w:rsid w:val="00096B7C"/>
    <w:rsid w:val="00096EF5"/>
    <w:rsid w:val="00096F95"/>
    <w:rsid w:val="00097E7B"/>
    <w:rsid w:val="000A160F"/>
    <w:rsid w:val="000A1671"/>
    <w:rsid w:val="000A1A5C"/>
    <w:rsid w:val="000A203F"/>
    <w:rsid w:val="000A2810"/>
    <w:rsid w:val="000A3453"/>
    <w:rsid w:val="000A5960"/>
    <w:rsid w:val="000A6BAC"/>
    <w:rsid w:val="000A7318"/>
    <w:rsid w:val="000A7A80"/>
    <w:rsid w:val="000B0EB3"/>
    <w:rsid w:val="000B187F"/>
    <w:rsid w:val="000B205F"/>
    <w:rsid w:val="000B5212"/>
    <w:rsid w:val="000B604F"/>
    <w:rsid w:val="000B6406"/>
    <w:rsid w:val="000B73A1"/>
    <w:rsid w:val="000B73EA"/>
    <w:rsid w:val="000C11DB"/>
    <w:rsid w:val="000C17C3"/>
    <w:rsid w:val="000C44A5"/>
    <w:rsid w:val="000C4665"/>
    <w:rsid w:val="000C4BB9"/>
    <w:rsid w:val="000C65AB"/>
    <w:rsid w:val="000C6CE1"/>
    <w:rsid w:val="000C7BC2"/>
    <w:rsid w:val="000D3556"/>
    <w:rsid w:val="000D460D"/>
    <w:rsid w:val="000D55D3"/>
    <w:rsid w:val="000D6800"/>
    <w:rsid w:val="000D7ECB"/>
    <w:rsid w:val="000E18F5"/>
    <w:rsid w:val="000E39F5"/>
    <w:rsid w:val="000E4782"/>
    <w:rsid w:val="000E540B"/>
    <w:rsid w:val="000E63B3"/>
    <w:rsid w:val="000F0C64"/>
    <w:rsid w:val="000F0D32"/>
    <w:rsid w:val="000F1425"/>
    <w:rsid w:val="000F1A82"/>
    <w:rsid w:val="000F70FB"/>
    <w:rsid w:val="000F73E1"/>
    <w:rsid w:val="0010019C"/>
    <w:rsid w:val="001017D4"/>
    <w:rsid w:val="00102953"/>
    <w:rsid w:val="001029D2"/>
    <w:rsid w:val="00104576"/>
    <w:rsid w:val="00104F9D"/>
    <w:rsid w:val="00106EFB"/>
    <w:rsid w:val="00107B13"/>
    <w:rsid w:val="00110BFC"/>
    <w:rsid w:val="001118D3"/>
    <w:rsid w:val="00112A73"/>
    <w:rsid w:val="00113CE0"/>
    <w:rsid w:val="00115E53"/>
    <w:rsid w:val="0011666E"/>
    <w:rsid w:val="00116AE1"/>
    <w:rsid w:val="00117401"/>
    <w:rsid w:val="00117A04"/>
    <w:rsid w:val="001209D1"/>
    <w:rsid w:val="001209FA"/>
    <w:rsid w:val="00121747"/>
    <w:rsid w:val="00122228"/>
    <w:rsid w:val="00123543"/>
    <w:rsid w:val="001235F6"/>
    <w:rsid w:val="001243DC"/>
    <w:rsid w:val="001256A6"/>
    <w:rsid w:val="001269DB"/>
    <w:rsid w:val="00126DD2"/>
    <w:rsid w:val="0012721E"/>
    <w:rsid w:val="001336BF"/>
    <w:rsid w:val="00134A60"/>
    <w:rsid w:val="00135404"/>
    <w:rsid w:val="001360AC"/>
    <w:rsid w:val="00136344"/>
    <w:rsid w:val="00136A09"/>
    <w:rsid w:val="00136D1F"/>
    <w:rsid w:val="00137C29"/>
    <w:rsid w:val="00137FA7"/>
    <w:rsid w:val="0014099D"/>
    <w:rsid w:val="00141DD1"/>
    <w:rsid w:val="00144792"/>
    <w:rsid w:val="001448E5"/>
    <w:rsid w:val="00146AEA"/>
    <w:rsid w:val="00146DF2"/>
    <w:rsid w:val="00147918"/>
    <w:rsid w:val="00147C1B"/>
    <w:rsid w:val="00147F8F"/>
    <w:rsid w:val="00153152"/>
    <w:rsid w:val="00153D1F"/>
    <w:rsid w:val="00153EE5"/>
    <w:rsid w:val="001541A6"/>
    <w:rsid w:val="001556FF"/>
    <w:rsid w:val="00156113"/>
    <w:rsid w:val="00156FB6"/>
    <w:rsid w:val="00157F14"/>
    <w:rsid w:val="001611EA"/>
    <w:rsid w:val="00162680"/>
    <w:rsid w:val="00162A22"/>
    <w:rsid w:val="00162F63"/>
    <w:rsid w:val="0017104A"/>
    <w:rsid w:val="001722BD"/>
    <w:rsid w:val="0017256D"/>
    <w:rsid w:val="0017452D"/>
    <w:rsid w:val="0017469F"/>
    <w:rsid w:val="00175470"/>
    <w:rsid w:val="00175C2C"/>
    <w:rsid w:val="0017677B"/>
    <w:rsid w:val="00176BDB"/>
    <w:rsid w:val="00177064"/>
    <w:rsid w:val="00177507"/>
    <w:rsid w:val="00177840"/>
    <w:rsid w:val="00177B3E"/>
    <w:rsid w:val="00181CE9"/>
    <w:rsid w:val="00182C26"/>
    <w:rsid w:val="00185156"/>
    <w:rsid w:val="00186D86"/>
    <w:rsid w:val="00187137"/>
    <w:rsid w:val="00191D9A"/>
    <w:rsid w:val="001921DC"/>
    <w:rsid w:val="001940E4"/>
    <w:rsid w:val="00195BA4"/>
    <w:rsid w:val="001A36B1"/>
    <w:rsid w:val="001A3E6B"/>
    <w:rsid w:val="001A453E"/>
    <w:rsid w:val="001A486E"/>
    <w:rsid w:val="001A52ED"/>
    <w:rsid w:val="001A533E"/>
    <w:rsid w:val="001B2343"/>
    <w:rsid w:val="001B2511"/>
    <w:rsid w:val="001B317A"/>
    <w:rsid w:val="001B3333"/>
    <w:rsid w:val="001B57BE"/>
    <w:rsid w:val="001B6951"/>
    <w:rsid w:val="001B696F"/>
    <w:rsid w:val="001B6DCA"/>
    <w:rsid w:val="001B78FB"/>
    <w:rsid w:val="001C3B04"/>
    <w:rsid w:val="001C5181"/>
    <w:rsid w:val="001C5311"/>
    <w:rsid w:val="001C6E88"/>
    <w:rsid w:val="001C728F"/>
    <w:rsid w:val="001C798C"/>
    <w:rsid w:val="001D0CEA"/>
    <w:rsid w:val="001D455D"/>
    <w:rsid w:val="001D546B"/>
    <w:rsid w:val="001D6060"/>
    <w:rsid w:val="001D6F30"/>
    <w:rsid w:val="001D7E5E"/>
    <w:rsid w:val="001E03E1"/>
    <w:rsid w:val="001E4406"/>
    <w:rsid w:val="001E482D"/>
    <w:rsid w:val="001E55B6"/>
    <w:rsid w:val="001E5655"/>
    <w:rsid w:val="001E6045"/>
    <w:rsid w:val="001E66FF"/>
    <w:rsid w:val="001E6D20"/>
    <w:rsid w:val="001E7394"/>
    <w:rsid w:val="001E7B90"/>
    <w:rsid w:val="001F2796"/>
    <w:rsid w:val="001F46BB"/>
    <w:rsid w:val="001F61F5"/>
    <w:rsid w:val="00201CB5"/>
    <w:rsid w:val="002022D0"/>
    <w:rsid w:val="002028C4"/>
    <w:rsid w:val="00202A68"/>
    <w:rsid w:val="00204907"/>
    <w:rsid w:val="002049E1"/>
    <w:rsid w:val="00205C1F"/>
    <w:rsid w:val="00205DC4"/>
    <w:rsid w:val="00206EAF"/>
    <w:rsid w:val="0020779C"/>
    <w:rsid w:val="00212BE7"/>
    <w:rsid w:val="00213131"/>
    <w:rsid w:val="0021410F"/>
    <w:rsid w:val="0022116D"/>
    <w:rsid w:val="0022197D"/>
    <w:rsid w:val="00222BDD"/>
    <w:rsid w:val="00222EA1"/>
    <w:rsid w:val="00223093"/>
    <w:rsid w:val="00224106"/>
    <w:rsid w:val="002262E1"/>
    <w:rsid w:val="002274AE"/>
    <w:rsid w:val="00230928"/>
    <w:rsid w:val="00231884"/>
    <w:rsid w:val="00231E96"/>
    <w:rsid w:val="002346DA"/>
    <w:rsid w:val="0023604B"/>
    <w:rsid w:val="00236283"/>
    <w:rsid w:val="00236B32"/>
    <w:rsid w:val="00237DDF"/>
    <w:rsid w:val="00240BAF"/>
    <w:rsid w:val="002421B6"/>
    <w:rsid w:val="00242266"/>
    <w:rsid w:val="002446DC"/>
    <w:rsid w:val="00244CD8"/>
    <w:rsid w:val="00245049"/>
    <w:rsid w:val="00246AC6"/>
    <w:rsid w:val="00246C3B"/>
    <w:rsid w:val="00251B96"/>
    <w:rsid w:val="00251E1A"/>
    <w:rsid w:val="00252182"/>
    <w:rsid w:val="002521C2"/>
    <w:rsid w:val="00253CF8"/>
    <w:rsid w:val="002543D2"/>
    <w:rsid w:val="00254EBE"/>
    <w:rsid w:val="00255A3E"/>
    <w:rsid w:val="00257737"/>
    <w:rsid w:val="00257B2C"/>
    <w:rsid w:val="002626A5"/>
    <w:rsid w:val="00263B8F"/>
    <w:rsid w:val="00264741"/>
    <w:rsid w:val="00265A91"/>
    <w:rsid w:val="002666C2"/>
    <w:rsid w:val="00271856"/>
    <w:rsid w:val="00272C26"/>
    <w:rsid w:val="00272F26"/>
    <w:rsid w:val="00273F9E"/>
    <w:rsid w:val="0027591F"/>
    <w:rsid w:val="00275AD4"/>
    <w:rsid w:val="00280E9F"/>
    <w:rsid w:val="00281253"/>
    <w:rsid w:val="002824AC"/>
    <w:rsid w:val="002842D1"/>
    <w:rsid w:val="00284C1E"/>
    <w:rsid w:val="00286AAE"/>
    <w:rsid w:val="00287227"/>
    <w:rsid w:val="00287542"/>
    <w:rsid w:val="00287671"/>
    <w:rsid w:val="00290E8F"/>
    <w:rsid w:val="00292E51"/>
    <w:rsid w:val="00293A5F"/>
    <w:rsid w:val="00294F9B"/>
    <w:rsid w:val="00295953"/>
    <w:rsid w:val="00295A73"/>
    <w:rsid w:val="002961CD"/>
    <w:rsid w:val="00296A11"/>
    <w:rsid w:val="00297C1B"/>
    <w:rsid w:val="002A0C43"/>
    <w:rsid w:val="002A1103"/>
    <w:rsid w:val="002A1EC0"/>
    <w:rsid w:val="002A2339"/>
    <w:rsid w:val="002A3994"/>
    <w:rsid w:val="002A46B9"/>
    <w:rsid w:val="002A4F7B"/>
    <w:rsid w:val="002A55C3"/>
    <w:rsid w:val="002A5912"/>
    <w:rsid w:val="002A66D2"/>
    <w:rsid w:val="002B1A41"/>
    <w:rsid w:val="002B692C"/>
    <w:rsid w:val="002C26A0"/>
    <w:rsid w:val="002C2A65"/>
    <w:rsid w:val="002C2E64"/>
    <w:rsid w:val="002C38E4"/>
    <w:rsid w:val="002C7355"/>
    <w:rsid w:val="002D31A0"/>
    <w:rsid w:val="002D3512"/>
    <w:rsid w:val="002D362C"/>
    <w:rsid w:val="002D4033"/>
    <w:rsid w:val="002D66B4"/>
    <w:rsid w:val="002D6C44"/>
    <w:rsid w:val="002D70AA"/>
    <w:rsid w:val="002E0677"/>
    <w:rsid w:val="002E1380"/>
    <w:rsid w:val="002E1529"/>
    <w:rsid w:val="002E75FD"/>
    <w:rsid w:val="002F03FB"/>
    <w:rsid w:val="002F1963"/>
    <w:rsid w:val="002F2DAC"/>
    <w:rsid w:val="002F358F"/>
    <w:rsid w:val="002F7DA5"/>
    <w:rsid w:val="00300202"/>
    <w:rsid w:val="003005C6"/>
    <w:rsid w:val="00300FCC"/>
    <w:rsid w:val="00301478"/>
    <w:rsid w:val="003016E3"/>
    <w:rsid w:val="00303E8D"/>
    <w:rsid w:val="00305BF8"/>
    <w:rsid w:val="00305E38"/>
    <w:rsid w:val="00306201"/>
    <w:rsid w:val="003071AB"/>
    <w:rsid w:val="003078BF"/>
    <w:rsid w:val="00307B06"/>
    <w:rsid w:val="00310260"/>
    <w:rsid w:val="003102F2"/>
    <w:rsid w:val="00310CE5"/>
    <w:rsid w:val="00310F4D"/>
    <w:rsid w:val="00311AD8"/>
    <w:rsid w:val="00311D21"/>
    <w:rsid w:val="0031662E"/>
    <w:rsid w:val="00316877"/>
    <w:rsid w:val="00316EB5"/>
    <w:rsid w:val="003213BE"/>
    <w:rsid w:val="00321C33"/>
    <w:rsid w:val="00323BFA"/>
    <w:rsid w:val="00323CB0"/>
    <w:rsid w:val="003242B9"/>
    <w:rsid w:val="00324BB7"/>
    <w:rsid w:val="003275A0"/>
    <w:rsid w:val="003327E8"/>
    <w:rsid w:val="00334ABE"/>
    <w:rsid w:val="00336892"/>
    <w:rsid w:val="00336A7E"/>
    <w:rsid w:val="00336E04"/>
    <w:rsid w:val="00341D5B"/>
    <w:rsid w:val="00342D2A"/>
    <w:rsid w:val="00343439"/>
    <w:rsid w:val="00344F3C"/>
    <w:rsid w:val="00345B8B"/>
    <w:rsid w:val="00346C09"/>
    <w:rsid w:val="00346F2B"/>
    <w:rsid w:val="0034779A"/>
    <w:rsid w:val="003506E0"/>
    <w:rsid w:val="00350F54"/>
    <w:rsid w:val="00350FE8"/>
    <w:rsid w:val="003515FF"/>
    <w:rsid w:val="00351DEF"/>
    <w:rsid w:val="00352356"/>
    <w:rsid w:val="0035457C"/>
    <w:rsid w:val="003546A6"/>
    <w:rsid w:val="003554FA"/>
    <w:rsid w:val="003600D8"/>
    <w:rsid w:val="003612DF"/>
    <w:rsid w:val="0036149F"/>
    <w:rsid w:val="00362D1C"/>
    <w:rsid w:val="003657B8"/>
    <w:rsid w:val="003662E1"/>
    <w:rsid w:val="00367582"/>
    <w:rsid w:val="00367A45"/>
    <w:rsid w:val="00371467"/>
    <w:rsid w:val="0037202F"/>
    <w:rsid w:val="00374500"/>
    <w:rsid w:val="0037721A"/>
    <w:rsid w:val="003800D7"/>
    <w:rsid w:val="00380224"/>
    <w:rsid w:val="00381972"/>
    <w:rsid w:val="003822B7"/>
    <w:rsid w:val="00382A42"/>
    <w:rsid w:val="00384125"/>
    <w:rsid w:val="00384B95"/>
    <w:rsid w:val="00384B98"/>
    <w:rsid w:val="0038523C"/>
    <w:rsid w:val="003868B1"/>
    <w:rsid w:val="00386A1B"/>
    <w:rsid w:val="0038794B"/>
    <w:rsid w:val="003906C5"/>
    <w:rsid w:val="0039160A"/>
    <w:rsid w:val="00393DD8"/>
    <w:rsid w:val="00395A3F"/>
    <w:rsid w:val="0039727E"/>
    <w:rsid w:val="003A43E9"/>
    <w:rsid w:val="003A4CA6"/>
    <w:rsid w:val="003A4CA9"/>
    <w:rsid w:val="003A688D"/>
    <w:rsid w:val="003B0808"/>
    <w:rsid w:val="003B187C"/>
    <w:rsid w:val="003B2702"/>
    <w:rsid w:val="003B28CD"/>
    <w:rsid w:val="003B387D"/>
    <w:rsid w:val="003B4B07"/>
    <w:rsid w:val="003B5300"/>
    <w:rsid w:val="003B5C52"/>
    <w:rsid w:val="003B6155"/>
    <w:rsid w:val="003B61CB"/>
    <w:rsid w:val="003B63F9"/>
    <w:rsid w:val="003B6781"/>
    <w:rsid w:val="003B7E90"/>
    <w:rsid w:val="003C01E2"/>
    <w:rsid w:val="003C03F4"/>
    <w:rsid w:val="003C28AC"/>
    <w:rsid w:val="003C3394"/>
    <w:rsid w:val="003C4EEB"/>
    <w:rsid w:val="003C65E9"/>
    <w:rsid w:val="003C7E49"/>
    <w:rsid w:val="003D0B81"/>
    <w:rsid w:val="003D0CAB"/>
    <w:rsid w:val="003D0DE5"/>
    <w:rsid w:val="003D3143"/>
    <w:rsid w:val="003D6A27"/>
    <w:rsid w:val="003D6EAE"/>
    <w:rsid w:val="003D7CA9"/>
    <w:rsid w:val="003E06B8"/>
    <w:rsid w:val="003E0A42"/>
    <w:rsid w:val="003E0EC4"/>
    <w:rsid w:val="003E178D"/>
    <w:rsid w:val="003E2E9F"/>
    <w:rsid w:val="003E3046"/>
    <w:rsid w:val="003E3ABC"/>
    <w:rsid w:val="003E3F62"/>
    <w:rsid w:val="003E4B17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B87"/>
    <w:rsid w:val="003F3536"/>
    <w:rsid w:val="003F41C0"/>
    <w:rsid w:val="003F541F"/>
    <w:rsid w:val="004018B1"/>
    <w:rsid w:val="0040257F"/>
    <w:rsid w:val="004028D9"/>
    <w:rsid w:val="0040427E"/>
    <w:rsid w:val="0040542F"/>
    <w:rsid w:val="00405939"/>
    <w:rsid w:val="00405AED"/>
    <w:rsid w:val="00405C71"/>
    <w:rsid w:val="00415376"/>
    <w:rsid w:val="00416DF8"/>
    <w:rsid w:val="004170D5"/>
    <w:rsid w:val="004206C7"/>
    <w:rsid w:val="00420D0E"/>
    <w:rsid w:val="00421D81"/>
    <w:rsid w:val="00422100"/>
    <w:rsid w:val="0042216B"/>
    <w:rsid w:val="004229D1"/>
    <w:rsid w:val="00424403"/>
    <w:rsid w:val="004256DA"/>
    <w:rsid w:val="00426F07"/>
    <w:rsid w:val="00430C6B"/>
    <w:rsid w:val="00431FF2"/>
    <w:rsid w:val="00432E86"/>
    <w:rsid w:val="00434AA8"/>
    <w:rsid w:val="004355D8"/>
    <w:rsid w:val="004367EB"/>
    <w:rsid w:val="00437901"/>
    <w:rsid w:val="00437A10"/>
    <w:rsid w:val="004417EA"/>
    <w:rsid w:val="004418CA"/>
    <w:rsid w:val="0044195A"/>
    <w:rsid w:val="00443914"/>
    <w:rsid w:val="0044399B"/>
    <w:rsid w:val="0044644D"/>
    <w:rsid w:val="0044714D"/>
    <w:rsid w:val="00447608"/>
    <w:rsid w:val="00447814"/>
    <w:rsid w:val="004502C4"/>
    <w:rsid w:val="0045085B"/>
    <w:rsid w:val="00450C21"/>
    <w:rsid w:val="0045235A"/>
    <w:rsid w:val="004542CC"/>
    <w:rsid w:val="00455891"/>
    <w:rsid w:val="00456419"/>
    <w:rsid w:val="00456F18"/>
    <w:rsid w:val="004579E2"/>
    <w:rsid w:val="00457B5D"/>
    <w:rsid w:val="0046033A"/>
    <w:rsid w:val="00460E37"/>
    <w:rsid w:val="00462D75"/>
    <w:rsid w:val="00466C8E"/>
    <w:rsid w:val="00467250"/>
    <w:rsid w:val="0047268F"/>
    <w:rsid w:val="00472C27"/>
    <w:rsid w:val="004747CF"/>
    <w:rsid w:val="0047560B"/>
    <w:rsid w:val="00476DE0"/>
    <w:rsid w:val="00477571"/>
    <w:rsid w:val="0048150E"/>
    <w:rsid w:val="004817FB"/>
    <w:rsid w:val="00481922"/>
    <w:rsid w:val="00483D35"/>
    <w:rsid w:val="004840A3"/>
    <w:rsid w:val="00484FB1"/>
    <w:rsid w:val="004852CC"/>
    <w:rsid w:val="00487176"/>
    <w:rsid w:val="00487C65"/>
    <w:rsid w:val="004912D9"/>
    <w:rsid w:val="004925F1"/>
    <w:rsid w:val="004956BF"/>
    <w:rsid w:val="00496364"/>
    <w:rsid w:val="00496BE0"/>
    <w:rsid w:val="004A00CA"/>
    <w:rsid w:val="004A0289"/>
    <w:rsid w:val="004A2B85"/>
    <w:rsid w:val="004A38FA"/>
    <w:rsid w:val="004A3A33"/>
    <w:rsid w:val="004A3CA1"/>
    <w:rsid w:val="004A47AE"/>
    <w:rsid w:val="004A5DB6"/>
    <w:rsid w:val="004A6124"/>
    <w:rsid w:val="004A6EE9"/>
    <w:rsid w:val="004B22AC"/>
    <w:rsid w:val="004B43BC"/>
    <w:rsid w:val="004B5A6E"/>
    <w:rsid w:val="004B6BD9"/>
    <w:rsid w:val="004C09F2"/>
    <w:rsid w:val="004C0CF8"/>
    <w:rsid w:val="004C1B9C"/>
    <w:rsid w:val="004C1C8C"/>
    <w:rsid w:val="004C2B4A"/>
    <w:rsid w:val="004C3BB1"/>
    <w:rsid w:val="004C48E6"/>
    <w:rsid w:val="004C4FF3"/>
    <w:rsid w:val="004C6440"/>
    <w:rsid w:val="004C6544"/>
    <w:rsid w:val="004C6DAA"/>
    <w:rsid w:val="004C7233"/>
    <w:rsid w:val="004D2FAA"/>
    <w:rsid w:val="004D5F4B"/>
    <w:rsid w:val="004D648C"/>
    <w:rsid w:val="004D6AFB"/>
    <w:rsid w:val="004E096F"/>
    <w:rsid w:val="004E0A50"/>
    <w:rsid w:val="004E2397"/>
    <w:rsid w:val="004E5066"/>
    <w:rsid w:val="004E5906"/>
    <w:rsid w:val="004E634B"/>
    <w:rsid w:val="004E6C4B"/>
    <w:rsid w:val="004E73FA"/>
    <w:rsid w:val="004F0018"/>
    <w:rsid w:val="004F08F6"/>
    <w:rsid w:val="004F1814"/>
    <w:rsid w:val="004F1FE3"/>
    <w:rsid w:val="004F3FE3"/>
    <w:rsid w:val="004F41F5"/>
    <w:rsid w:val="004F542D"/>
    <w:rsid w:val="004F769A"/>
    <w:rsid w:val="004F799F"/>
    <w:rsid w:val="00500066"/>
    <w:rsid w:val="00501D51"/>
    <w:rsid w:val="00502F01"/>
    <w:rsid w:val="00506BC1"/>
    <w:rsid w:val="00510D4D"/>
    <w:rsid w:val="00511B86"/>
    <w:rsid w:val="00512AC0"/>
    <w:rsid w:val="005136AD"/>
    <w:rsid w:val="005140A4"/>
    <w:rsid w:val="00515214"/>
    <w:rsid w:val="00517212"/>
    <w:rsid w:val="005179ED"/>
    <w:rsid w:val="00521709"/>
    <w:rsid w:val="00527EB0"/>
    <w:rsid w:val="00530401"/>
    <w:rsid w:val="00530C73"/>
    <w:rsid w:val="00530ED9"/>
    <w:rsid w:val="00531064"/>
    <w:rsid w:val="005313D8"/>
    <w:rsid w:val="00531898"/>
    <w:rsid w:val="00531F56"/>
    <w:rsid w:val="00533330"/>
    <w:rsid w:val="0053350E"/>
    <w:rsid w:val="005358CE"/>
    <w:rsid w:val="00540641"/>
    <w:rsid w:val="005407F0"/>
    <w:rsid w:val="0054092D"/>
    <w:rsid w:val="00540BA0"/>
    <w:rsid w:val="00541193"/>
    <w:rsid w:val="00541B24"/>
    <w:rsid w:val="00542F46"/>
    <w:rsid w:val="00545DC0"/>
    <w:rsid w:val="005473FD"/>
    <w:rsid w:val="0054746E"/>
    <w:rsid w:val="00550ACF"/>
    <w:rsid w:val="005516C0"/>
    <w:rsid w:val="00551D62"/>
    <w:rsid w:val="0055266A"/>
    <w:rsid w:val="00552C9F"/>
    <w:rsid w:val="00554A2D"/>
    <w:rsid w:val="00556100"/>
    <w:rsid w:val="005607C5"/>
    <w:rsid w:val="00560CB1"/>
    <w:rsid w:val="00561BD1"/>
    <w:rsid w:val="0056212E"/>
    <w:rsid w:val="00562725"/>
    <w:rsid w:val="00563720"/>
    <w:rsid w:val="00566C58"/>
    <w:rsid w:val="00570568"/>
    <w:rsid w:val="00572999"/>
    <w:rsid w:val="005732A0"/>
    <w:rsid w:val="00574F2B"/>
    <w:rsid w:val="00575CCC"/>
    <w:rsid w:val="00576436"/>
    <w:rsid w:val="00576DEA"/>
    <w:rsid w:val="00580511"/>
    <w:rsid w:val="0058055F"/>
    <w:rsid w:val="00580AB4"/>
    <w:rsid w:val="00581415"/>
    <w:rsid w:val="00582AB6"/>
    <w:rsid w:val="00584DFA"/>
    <w:rsid w:val="00587CCB"/>
    <w:rsid w:val="00591336"/>
    <w:rsid w:val="00591ACE"/>
    <w:rsid w:val="00592F8E"/>
    <w:rsid w:val="00593E70"/>
    <w:rsid w:val="00597B87"/>
    <w:rsid w:val="005A1E69"/>
    <w:rsid w:val="005A24CA"/>
    <w:rsid w:val="005A41F6"/>
    <w:rsid w:val="005B01C4"/>
    <w:rsid w:val="005B0C46"/>
    <w:rsid w:val="005B0D3F"/>
    <w:rsid w:val="005B28B4"/>
    <w:rsid w:val="005B46AD"/>
    <w:rsid w:val="005B5140"/>
    <w:rsid w:val="005C0873"/>
    <w:rsid w:val="005C2829"/>
    <w:rsid w:val="005C3711"/>
    <w:rsid w:val="005C37D0"/>
    <w:rsid w:val="005C4570"/>
    <w:rsid w:val="005C5489"/>
    <w:rsid w:val="005C5899"/>
    <w:rsid w:val="005C5A63"/>
    <w:rsid w:val="005C61C8"/>
    <w:rsid w:val="005C76C1"/>
    <w:rsid w:val="005D13AB"/>
    <w:rsid w:val="005D6F9E"/>
    <w:rsid w:val="005D7124"/>
    <w:rsid w:val="005D7DE8"/>
    <w:rsid w:val="005E4A10"/>
    <w:rsid w:val="005E4DC5"/>
    <w:rsid w:val="005F0AB6"/>
    <w:rsid w:val="005F0D91"/>
    <w:rsid w:val="005F22A1"/>
    <w:rsid w:val="005F3861"/>
    <w:rsid w:val="005F591F"/>
    <w:rsid w:val="005F5FB7"/>
    <w:rsid w:val="00600B34"/>
    <w:rsid w:val="00600BE8"/>
    <w:rsid w:val="00602ECF"/>
    <w:rsid w:val="006032A8"/>
    <w:rsid w:val="00605AE2"/>
    <w:rsid w:val="00610BFB"/>
    <w:rsid w:val="00610D69"/>
    <w:rsid w:val="0061110D"/>
    <w:rsid w:val="0061161F"/>
    <w:rsid w:val="0061227F"/>
    <w:rsid w:val="006142B0"/>
    <w:rsid w:val="00614D7F"/>
    <w:rsid w:val="00614FC7"/>
    <w:rsid w:val="00616D51"/>
    <w:rsid w:val="00622C47"/>
    <w:rsid w:val="006255C7"/>
    <w:rsid w:val="00627191"/>
    <w:rsid w:val="006274C0"/>
    <w:rsid w:val="00633066"/>
    <w:rsid w:val="00633503"/>
    <w:rsid w:val="006335E2"/>
    <w:rsid w:val="00635A20"/>
    <w:rsid w:val="00636BAC"/>
    <w:rsid w:val="006400A2"/>
    <w:rsid w:val="00641141"/>
    <w:rsid w:val="00642922"/>
    <w:rsid w:val="00643881"/>
    <w:rsid w:val="00643A8A"/>
    <w:rsid w:val="00644762"/>
    <w:rsid w:val="00645D47"/>
    <w:rsid w:val="00647650"/>
    <w:rsid w:val="00651A9C"/>
    <w:rsid w:val="00651AC2"/>
    <w:rsid w:val="006540B1"/>
    <w:rsid w:val="00657E0F"/>
    <w:rsid w:val="0066057D"/>
    <w:rsid w:val="00661E43"/>
    <w:rsid w:val="006625AB"/>
    <w:rsid w:val="006640BE"/>
    <w:rsid w:val="0066538F"/>
    <w:rsid w:val="006656DB"/>
    <w:rsid w:val="00665AF2"/>
    <w:rsid w:val="00665E06"/>
    <w:rsid w:val="00666978"/>
    <w:rsid w:val="00671B20"/>
    <w:rsid w:val="00672E74"/>
    <w:rsid w:val="00673464"/>
    <w:rsid w:val="00674274"/>
    <w:rsid w:val="006745BD"/>
    <w:rsid w:val="0067533D"/>
    <w:rsid w:val="00675625"/>
    <w:rsid w:val="00675725"/>
    <w:rsid w:val="00676C85"/>
    <w:rsid w:val="006801F5"/>
    <w:rsid w:val="00683A7D"/>
    <w:rsid w:val="006849A3"/>
    <w:rsid w:val="00686BE8"/>
    <w:rsid w:val="00686E3F"/>
    <w:rsid w:val="00687141"/>
    <w:rsid w:val="006873FB"/>
    <w:rsid w:val="00687FC5"/>
    <w:rsid w:val="00690354"/>
    <w:rsid w:val="0069166B"/>
    <w:rsid w:val="0069184E"/>
    <w:rsid w:val="00691899"/>
    <w:rsid w:val="006920BB"/>
    <w:rsid w:val="00692C63"/>
    <w:rsid w:val="006935F5"/>
    <w:rsid w:val="00695C66"/>
    <w:rsid w:val="006968A0"/>
    <w:rsid w:val="00697472"/>
    <w:rsid w:val="006A249E"/>
    <w:rsid w:val="006A358E"/>
    <w:rsid w:val="006A4456"/>
    <w:rsid w:val="006A455B"/>
    <w:rsid w:val="006A5312"/>
    <w:rsid w:val="006A5431"/>
    <w:rsid w:val="006A5D19"/>
    <w:rsid w:val="006A6F79"/>
    <w:rsid w:val="006B0526"/>
    <w:rsid w:val="006B09A1"/>
    <w:rsid w:val="006B09B8"/>
    <w:rsid w:val="006B1EB0"/>
    <w:rsid w:val="006B216D"/>
    <w:rsid w:val="006B2822"/>
    <w:rsid w:val="006B316F"/>
    <w:rsid w:val="006B44CE"/>
    <w:rsid w:val="006B4C81"/>
    <w:rsid w:val="006B5B76"/>
    <w:rsid w:val="006B5E98"/>
    <w:rsid w:val="006B647A"/>
    <w:rsid w:val="006B6595"/>
    <w:rsid w:val="006B6D57"/>
    <w:rsid w:val="006B7E01"/>
    <w:rsid w:val="006C14AD"/>
    <w:rsid w:val="006C29F1"/>
    <w:rsid w:val="006C2C5F"/>
    <w:rsid w:val="006C64F7"/>
    <w:rsid w:val="006D00AA"/>
    <w:rsid w:val="006D11D9"/>
    <w:rsid w:val="006D15EF"/>
    <w:rsid w:val="006D2335"/>
    <w:rsid w:val="006D25C2"/>
    <w:rsid w:val="006D31F6"/>
    <w:rsid w:val="006D42C6"/>
    <w:rsid w:val="006D45FA"/>
    <w:rsid w:val="006D568A"/>
    <w:rsid w:val="006D5A2B"/>
    <w:rsid w:val="006D6666"/>
    <w:rsid w:val="006E0746"/>
    <w:rsid w:val="006E0A2B"/>
    <w:rsid w:val="006E20E7"/>
    <w:rsid w:val="006E3E92"/>
    <w:rsid w:val="006E4710"/>
    <w:rsid w:val="006E5A77"/>
    <w:rsid w:val="006F0FB1"/>
    <w:rsid w:val="006F113A"/>
    <w:rsid w:val="006F1B1A"/>
    <w:rsid w:val="006F2B12"/>
    <w:rsid w:val="006F5ED5"/>
    <w:rsid w:val="006F7DF1"/>
    <w:rsid w:val="00700D25"/>
    <w:rsid w:val="0070199F"/>
    <w:rsid w:val="0070469F"/>
    <w:rsid w:val="00704F98"/>
    <w:rsid w:val="0070682C"/>
    <w:rsid w:val="00707570"/>
    <w:rsid w:val="007103D6"/>
    <w:rsid w:val="00713E39"/>
    <w:rsid w:val="00715289"/>
    <w:rsid w:val="00715A5A"/>
    <w:rsid w:val="007173AD"/>
    <w:rsid w:val="00720073"/>
    <w:rsid w:val="00721188"/>
    <w:rsid w:val="007219BB"/>
    <w:rsid w:val="00721FB9"/>
    <w:rsid w:val="00722568"/>
    <w:rsid w:val="007242BB"/>
    <w:rsid w:val="00726E08"/>
    <w:rsid w:val="0072729E"/>
    <w:rsid w:val="00730B75"/>
    <w:rsid w:val="00731872"/>
    <w:rsid w:val="0073292A"/>
    <w:rsid w:val="007329D7"/>
    <w:rsid w:val="0073560D"/>
    <w:rsid w:val="0073573F"/>
    <w:rsid w:val="00735DED"/>
    <w:rsid w:val="00740CE0"/>
    <w:rsid w:val="007460AE"/>
    <w:rsid w:val="007461F6"/>
    <w:rsid w:val="00746A74"/>
    <w:rsid w:val="00746C22"/>
    <w:rsid w:val="00746FF5"/>
    <w:rsid w:val="0075015D"/>
    <w:rsid w:val="00750AF4"/>
    <w:rsid w:val="007524F3"/>
    <w:rsid w:val="00752733"/>
    <w:rsid w:val="00752981"/>
    <w:rsid w:val="007543BC"/>
    <w:rsid w:val="007550EE"/>
    <w:rsid w:val="00755D76"/>
    <w:rsid w:val="0075752C"/>
    <w:rsid w:val="0076095A"/>
    <w:rsid w:val="00761008"/>
    <w:rsid w:val="00761554"/>
    <w:rsid w:val="00761D60"/>
    <w:rsid w:val="00762643"/>
    <w:rsid w:val="007643F7"/>
    <w:rsid w:val="00765527"/>
    <w:rsid w:val="00767343"/>
    <w:rsid w:val="007718BA"/>
    <w:rsid w:val="007718FD"/>
    <w:rsid w:val="0077220D"/>
    <w:rsid w:val="00772F35"/>
    <w:rsid w:val="00773B99"/>
    <w:rsid w:val="00774120"/>
    <w:rsid w:val="00774D1D"/>
    <w:rsid w:val="00774EA7"/>
    <w:rsid w:val="007772B7"/>
    <w:rsid w:val="0077767B"/>
    <w:rsid w:val="0077787A"/>
    <w:rsid w:val="00777A89"/>
    <w:rsid w:val="007809E9"/>
    <w:rsid w:val="007811FA"/>
    <w:rsid w:val="00781347"/>
    <w:rsid w:val="00781992"/>
    <w:rsid w:val="007820CE"/>
    <w:rsid w:val="0078325F"/>
    <w:rsid w:val="007832D7"/>
    <w:rsid w:val="007833A6"/>
    <w:rsid w:val="00785137"/>
    <w:rsid w:val="00790E5E"/>
    <w:rsid w:val="00791E9C"/>
    <w:rsid w:val="0079297D"/>
    <w:rsid w:val="00792CDA"/>
    <w:rsid w:val="007931BD"/>
    <w:rsid w:val="00794CD5"/>
    <w:rsid w:val="00795307"/>
    <w:rsid w:val="00797289"/>
    <w:rsid w:val="007A30F1"/>
    <w:rsid w:val="007A341C"/>
    <w:rsid w:val="007A3B10"/>
    <w:rsid w:val="007A3EB8"/>
    <w:rsid w:val="007A43C2"/>
    <w:rsid w:val="007A4832"/>
    <w:rsid w:val="007A52E9"/>
    <w:rsid w:val="007A64DB"/>
    <w:rsid w:val="007A6939"/>
    <w:rsid w:val="007B1395"/>
    <w:rsid w:val="007B4265"/>
    <w:rsid w:val="007B5A33"/>
    <w:rsid w:val="007B646F"/>
    <w:rsid w:val="007B64B6"/>
    <w:rsid w:val="007B7973"/>
    <w:rsid w:val="007C1452"/>
    <w:rsid w:val="007C1823"/>
    <w:rsid w:val="007C19D6"/>
    <w:rsid w:val="007C2217"/>
    <w:rsid w:val="007C42FC"/>
    <w:rsid w:val="007C49EB"/>
    <w:rsid w:val="007C49F2"/>
    <w:rsid w:val="007C55D8"/>
    <w:rsid w:val="007C59AC"/>
    <w:rsid w:val="007C5A8E"/>
    <w:rsid w:val="007C61BF"/>
    <w:rsid w:val="007C65FB"/>
    <w:rsid w:val="007C729F"/>
    <w:rsid w:val="007C7B12"/>
    <w:rsid w:val="007C7E9B"/>
    <w:rsid w:val="007D2DDF"/>
    <w:rsid w:val="007E0674"/>
    <w:rsid w:val="007E0C20"/>
    <w:rsid w:val="007E0E49"/>
    <w:rsid w:val="007E40CF"/>
    <w:rsid w:val="007E41E9"/>
    <w:rsid w:val="007E4E44"/>
    <w:rsid w:val="007E517F"/>
    <w:rsid w:val="007E5F56"/>
    <w:rsid w:val="007E62EC"/>
    <w:rsid w:val="007E6C46"/>
    <w:rsid w:val="007E6D14"/>
    <w:rsid w:val="007E7A7D"/>
    <w:rsid w:val="007F0D28"/>
    <w:rsid w:val="007F2410"/>
    <w:rsid w:val="007F293E"/>
    <w:rsid w:val="007F2B45"/>
    <w:rsid w:val="007F37C6"/>
    <w:rsid w:val="007F4308"/>
    <w:rsid w:val="007F4D9E"/>
    <w:rsid w:val="007F5603"/>
    <w:rsid w:val="007F5D9D"/>
    <w:rsid w:val="007F6F34"/>
    <w:rsid w:val="008002D2"/>
    <w:rsid w:val="00801CE2"/>
    <w:rsid w:val="00803275"/>
    <w:rsid w:val="008079E9"/>
    <w:rsid w:val="00807C8D"/>
    <w:rsid w:val="00807E29"/>
    <w:rsid w:val="0081397B"/>
    <w:rsid w:val="00814FA0"/>
    <w:rsid w:val="008167B5"/>
    <w:rsid w:val="00817497"/>
    <w:rsid w:val="00820252"/>
    <w:rsid w:val="00820C3C"/>
    <w:rsid w:val="008214D4"/>
    <w:rsid w:val="00821D76"/>
    <w:rsid w:val="00824D94"/>
    <w:rsid w:val="00825091"/>
    <w:rsid w:val="0082544E"/>
    <w:rsid w:val="00827057"/>
    <w:rsid w:val="008271E2"/>
    <w:rsid w:val="00831A50"/>
    <w:rsid w:val="0083265F"/>
    <w:rsid w:val="0083303A"/>
    <w:rsid w:val="008357E3"/>
    <w:rsid w:val="0083630F"/>
    <w:rsid w:val="0083733E"/>
    <w:rsid w:val="008378DF"/>
    <w:rsid w:val="0084181E"/>
    <w:rsid w:val="00842427"/>
    <w:rsid w:val="008434FE"/>
    <w:rsid w:val="008470E3"/>
    <w:rsid w:val="008502EA"/>
    <w:rsid w:val="008516D0"/>
    <w:rsid w:val="00852B07"/>
    <w:rsid w:val="008553E0"/>
    <w:rsid w:val="008559CE"/>
    <w:rsid w:val="00857489"/>
    <w:rsid w:val="00857667"/>
    <w:rsid w:val="008624C2"/>
    <w:rsid w:val="0086381E"/>
    <w:rsid w:val="00864509"/>
    <w:rsid w:val="00864834"/>
    <w:rsid w:val="00864DA0"/>
    <w:rsid w:val="00867210"/>
    <w:rsid w:val="00871BCE"/>
    <w:rsid w:val="008733BA"/>
    <w:rsid w:val="00874022"/>
    <w:rsid w:val="00874D1F"/>
    <w:rsid w:val="008767B0"/>
    <w:rsid w:val="008770E6"/>
    <w:rsid w:val="00880478"/>
    <w:rsid w:val="00881ACD"/>
    <w:rsid w:val="00882B7E"/>
    <w:rsid w:val="00884513"/>
    <w:rsid w:val="008863FD"/>
    <w:rsid w:val="008902CF"/>
    <w:rsid w:val="00893024"/>
    <w:rsid w:val="00893B13"/>
    <w:rsid w:val="00893EA6"/>
    <w:rsid w:val="008969DD"/>
    <w:rsid w:val="008975A5"/>
    <w:rsid w:val="008A1125"/>
    <w:rsid w:val="008A1D0D"/>
    <w:rsid w:val="008A25F1"/>
    <w:rsid w:val="008A2912"/>
    <w:rsid w:val="008A2EB1"/>
    <w:rsid w:val="008A2EE3"/>
    <w:rsid w:val="008A43F6"/>
    <w:rsid w:val="008A4402"/>
    <w:rsid w:val="008A58F6"/>
    <w:rsid w:val="008A5AF4"/>
    <w:rsid w:val="008B1147"/>
    <w:rsid w:val="008B2280"/>
    <w:rsid w:val="008B32E7"/>
    <w:rsid w:val="008B478F"/>
    <w:rsid w:val="008B498B"/>
    <w:rsid w:val="008B58AA"/>
    <w:rsid w:val="008B594F"/>
    <w:rsid w:val="008B5E81"/>
    <w:rsid w:val="008B64C6"/>
    <w:rsid w:val="008B69E8"/>
    <w:rsid w:val="008B7243"/>
    <w:rsid w:val="008C0A34"/>
    <w:rsid w:val="008C3FC6"/>
    <w:rsid w:val="008C53B1"/>
    <w:rsid w:val="008C6CBA"/>
    <w:rsid w:val="008C7AE3"/>
    <w:rsid w:val="008D02C6"/>
    <w:rsid w:val="008D3D29"/>
    <w:rsid w:val="008D4D14"/>
    <w:rsid w:val="008D596E"/>
    <w:rsid w:val="008D652F"/>
    <w:rsid w:val="008D6CF5"/>
    <w:rsid w:val="008E071A"/>
    <w:rsid w:val="008E11D4"/>
    <w:rsid w:val="008E217C"/>
    <w:rsid w:val="008E4E46"/>
    <w:rsid w:val="008E4ECC"/>
    <w:rsid w:val="008E4EF7"/>
    <w:rsid w:val="008E59FA"/>
    <w:rsid w:val="008F0D5C"/>
    <w:rsid w:val="008F0EFC"/>
    <w:rsid w:val="008F0F3F"/>
    <w:rsid w:val="008F1EA2"/>
    <w:rsid w:val="008F3426"/>
    <w:rsid w:val="008F3BB8"/>
    <w:rsid w:val="008F4120"/>
    <w:rsid w:val="008F65A6"/>
    <w:rsid w:val="008F6C86"/>
    <w:rsid w:val="00900B60"/>
    <w:rsid w:val="00901267"/>
    <w:rsid w:val="00902597"/>
    <w:rsid w:val="00903529"/>
    <w:rsid w:val="00905080"/>
    <w:rsid w:val="00905445"/>
    <w:rsid w:val="009064C7"/>
    <w:rsid w:val="00914A1C"/>
    <w:rsid w:val="00914EA6"/>
    <w:rsid w:val="00914ED6"/>
    <w:rsid w:val="00915845"/>
    <w:rsid w:val="009164F9"/>
    <w:rsid w:val="0091661A"/>
    <w:rsid w:val="00916661"/>
    <w:rsid w:val="00916BC5"/>
    <w:rsid w:val="00921E74"/>
    <w:rsid w:val="009220F3"/>
    <w:rsid w:val="00922E4E"/>
    <w:rsid w:val="00923239"/>
    <w:rsid w:val="0092413C"/>
    <w:rsid w:val="0092724E"/>
    <w:rsid w:val="00931A24"/>
    <w:rsid w:val="00932350"/>
    <w:rsid w:val="00932B0E"/>
    <w:rsid w:val="00932BDA"/>
    <w:rsid w:val="0093344C"/>
    <w:rsid w:val="00933838"/>
    <w:rsid w:val="00934E5A"/>
    <w:rsid w:val="00935070"/>
    <w:rsid w:val="00944B6B"/>
    <w:rsid w:val="009459E1"/>
    <w:rsid w:val="00946A63"/>
    <w:rsid w:val="00950560"/>
    <w:rsid w:val="00950EA0"/>
    <w:rsid w:val="00950FAD"/>
    <w:rsid w:val="009518C3"/>
    <w:rsid w:val="009545E1"/>
    <w:rsid w:val="0095467D"/>
    <w:rsid w:val="00954EE0"/>
    <w:rsid w:val="0095610A"/>
    <w:rsid w:val="009575B9"/>
    <w:rsid w:val="009617BB"/>
    <w:rsid w:val="00961C6F"/>
    <w:rsid w:val="00962841"/>
    <w:rsid w:val="00963451"/>
    <w:rsid w:val="00963498"/>
    <w:rsid w:val="00964224"/>
    <w:rsid w:val="0096472F"/>
    <w:rsid w:val="00964C68"/>
    <w:rsid w:val="0096515B"/>
    <w:rsid w:val="00965C24"/>
    <w:rsid w:val="0096625C"/>
    <w:rsid w:val="00967BA0"/>
    <w:rsid w:val="0097138E"/>
    <w:rsid w:val="00972AC4"/>
    <w:rsid w:val="009747E9"/>
    <w:rsid w:val="00974BAD"/>
    <w:rsid w:val="00975112"/>
    <w:rsid w:val="00975D04"/>
    <w:rsid w:val="0097745D"/>
    <w:rsid w:val="00977F7A"/>
    <w:rsid w:val="00980B23"/>
    <w:rsid w:val="00981F36"/>
    <w:rsid w:val="00982078"/>
    <w:rsid w:val="00984105"/>
    <w:rsid w:val="00986347"/>
    <w:rsid w:val="00987ED7"/>
    <w:rsid w:val="00990D54"/>
    <w:rsid w:val="009931A1"/>
    <w:rsid w:val="009931B8"/>
    <w:rsid w:val="00993B7B"/>
    <w:rsid w:val="00994008"/>
    <w:rsid w:val="009A054A"/>
    <w:rsid w:val="009A0AA8"/>
    <w:rsid w:val="009A1A23"/>
    <w:rsid w:val="009A200E"/>
    <w:rsid w:val="009A26C7"/>
    <w:rsid w:val="009A314A"/>
    <w:rsid w:val="009A3E6D"/>
    <w:rsid w:val="009A4C3B"/>
    <w:rsid w:val="009A5425"/>
    <w:rsid w:val="009B1DA0"/>
    <w:rsid w:val="009B2F7D"/>
    <w:rsid w:val="009B3477"/>
    <w:rsid w:val="009B4FC7"/>
    <w:rsid w:val="009C02DF"/>
    <w:rsid w:val="009C1B98"/>
    <w:rsid w:val="009C2148"/>
    <w:rsid w:val="009C3C8E"/>
    <w:rsid w:val="009C4012"/>
    <w:rsid w:val="009C62B7"/>
    <w:rsid w:val="009C77AE"/>
    <w:rsid w:val="009D224E"/>
    <w:rsid w:val="009D347F"/>
    <w:rsid w:val="009D5028"/>
    <w:rsid w:val="009D70DE"/>
    <w:rsid w:val="009D716F"/>
    <w:rsid w:val="009E0350"/>
    <w:rsid w:val="009E133D"/>
    <w:rsid w:val="009E151A"/>
    <w:rsid w:val="009E1F77"/>
    <w:rsid w:val="009E2D41"/>
    <w:rsid w:val="009E2D5A"/>
    <w:rsid w:val="009E2E1F"/>
    <w:rsid w:val="009E370E"/>
    <w:rsid w:val="009E538F"/>
    <w:rsid w:val="009E7AF4"/>
    <w:rsid w:val="009F067E"/>
    <w:rsid w:val="009F2164"/>
    <w:rsid w:val="009F28D5"/>
    <w:rsid w:val="009F317F"/>
    <w:rsid w:val="009F3B1D"/>
    <w:rsid w:val="009F468A"/>
    <w:rsid w:val="009F4F77"/>
    <w:rsid w:val="009F72DB"/>
    <w:rsid w:val="009F7D83"/>
    <w:rsid w:val="00A00E67"/>
    <w:rsid w:val="00A0185C"/>
    <w:rsid w:val="00A01DF3"/>
    <w:rsid w:val="00A01EBB"/>
    <w:rsid w:val="00A0260D"/>
    <w:rsid w:val="00A02648"/>
    <w:rsid w:val="00A03385"/>
    <w:rsid w:val="00A04166"/>
    <w:rsid w:val="00A055C3"/>
    <w:rsid w:val="00A10503"/>
    <w:rsid w:val="00A11365"/>
    <w:rsid w:val="00A115FA"/>
    <w:rsid w:val="00A12055"/>
    <w:rsid w:val="00A13DF5"/>
    <w:rsid w:val="00A14C01"/>
    <w:rsid w:val="00A1515A"/>
    <w:rsid w:val="00A15816"/>
    <w:rsid w:val="00A162E4"/>
    <w:rsid w:val="00A1640F"/>
    <w:rsid w:val="00A173DA"/>
    <w:rsid w:val="00A204D9"/>
    <w:rsid w:val="00A2324D"/>
    <w:rsid w:val="00A309DE"/>
    <w:rsid w:val="00A31C3A"/>
    <w:rsid w:val="00A329F0"/>
    <w:rsid w:val="00A32BC6"/>
    <w:rsid w:val="00A33B1F"/>
    <w:rsid w:val="00A33D73"/>
    <w:rsid w:val="00A34A45"/>
    <w:rsid w:val="00A359E8"/>
    <w:rsid w:val="00A40B8B"/>
    <w:rsid w:val="00A40CEC"/>
    <w:rsid w:val="00A41752"/>
    <w:rsid w:val="00A42F67"/>
    <w:rsid w:val="00A43D3C"/>
    <w:rsid w:val="00A46FDC"/>
    <w:rsid w:val="00A5070D"/>
    <w:rsid w:val="00A51E74"/>
    <w:rsid w:val="00A52624"/>
    <w:rsid w:val="00A5287D"/>
    <w:rsid w:val="00A52A75"/>
    <w:rsid w:val="00A53457"/>
    <w:rsid w:val="00A5345B"/>
    <w:rsid w:val="00A53FC0"/>
    <w:rsid w:val="00A60787"/>
    <w:rsid w:val="00A60D08"/>
    <w:rsid w:val="00A6165E"/>
    <w:rsid w:val="00A61DAE"/>
    <w:rsid w:val="00A635B6"/>
    <w:rsid w:val="00A63BF7"/>
    <w:rsid w:val="00A66A05"/>
    <w:rsid w:val="00A675B7"/>
    <w:rsid w:val="00A7001F"/>
    <w:rsid w:val="00A70436"/>
    <w:rsid w:val="00A7079C"/>
    <w:rsid w:val="00A70B25"/>
    <w:rsid w:val="00A70C3F"/>
    <w:rsid w:val="00A72BC6"/>
    <w:rsid w:val="00A7377E"/>
    <w:rsid w:val="00A73FBC"/>
    <w:rsid w:val="00A74C42"/>
    <w:rsid w:val="00A76336"/>
    <w:rsid w:val="00A76F61"/>
    <w:rsid w:val="00A77247"/>
    <w:rsid w:val="00A77C30"/>
    <w:rsid w:val="00A80C29"/>
    <w:rsid w:val="00A81060"/>
    <w:rsid w:val="00A83BD4"/>
    <w:rsid w:val="00A8602C"/>
    <w:rsid w:val="00A873F7"/>
    <w:rsid w:val="00A87BA8"/>
    <w:rsid w:val="00A904FA"/>
    <w:rsid w:val="00A91886"/>
    <w:rsid w:val="00A94603"/>
    <w:rsid w:val="00A96032"/>
    <w:rsid w:val="00A9726B"/>
    <w:rsid w:val="00AA037F"/>
    <w:rsid w:val="00AA055C"/>
    <w:rsid w:val="00AA0671"/>
    <w:rsid w:val="00AA13E8"/>
    <w:rsid w:val="00AA1B4D"/>
    <w:rsid w:val="00AA1F8B"/>
    <w:rsid w:val="00AA338B"/>
    <w:rsid w:val="00AA38B8"/>
    <w:rsid w:val="00AA4455"/>
    <w:rsid w:val="00AA5524"/>
    <w:rsid w:val="00AA56CE"/>
    <w:rsid w:val="00AA612D"/>
    <w:rsid w:val="00AA6353"/>
    <w:rsid w:val="00AB3ECB"/>
    <w:rsid w:val="00AB4093"/>
    <w:rsid w:val="00AB40B4"/>
    <w:rsid w:val="00AB40F8"/>
    <w:rsid w:val="00AB426F"/>
    <w:rsid w:val="00AB70EB"/>
    <w:rsid w:val="00AC076E"/>
    <w:rsid w:val="00AC1A34"/>
    <w:rsid w:val="00AC2303"/>
    <w:rsid w:val="00AC4892"/>
    <w:rsid w:val="00AC4BD1"/>
    <w:rsid w:val="00AC557C"/>
    <w:rsid w:val="00AC6694"/>
    <w:rsid w:val="00AC7F5E"/>
    <w:rsid w:val="00AD677C"/>
    <w:rsid w:val="00AD789E"/>
    <w:rsid w:val="00AD7C67"/>
    <w:rsid w:val="00AD7FD9"/>
    <w:rsid w:val="00AE2BB1"/>
    <w:rsid w:val="00AE3B30"/>
    <w:rsid w:val="00AE4059"/>
    <w:rsid w:val="00AE44D2"/>
    <w:rsid w:val="00AE508F"/>
    <w:rsid w:val="00AF0BD2"/>
    <w:rsid w:val="00AF402E"/>
    <w:rsid w:val="00AF7BFB"/>
    <w:rsid w:val="00B0045C"/>
    <w:rsid w:val="00B016E9"/>
    <w:rsid w:val="00B01995"/>
    <w:rsid w:val="00B02059"/>
    <w:rsid w:val="00B0221C"/>
    <w:rsid w:val="00B02C26"/>
    <w:rsid w:val="00B0309E"/>
    <w:rsid w:val="00B031C6"/>
    <w:rsid w:val="00B05BFC"/>
    <w:rsid w:val="00B05D7F"/>
    <w:rsid w:val="00B06A60"/>
    <w:rsid w:val="00B07717"/>
    <w:rsid w:val="00B10466"/>
    <w:rsid w:val="00B10957"/>
    <w:rsid w:val="00B10D66"/>
    <w:rsid w:val="00B110FA"/>
    <w:rsid w:val="00B11A92"/>
    <w:rsid w:val="00B13392"/>
    <w:rsid w:val="00B13859"/>
    <w:rsid w:val="00B21D3E"/>
    <w:rsid w:val="00B23B01"/>
    <w:rsid w:val="00B23F3D"/>
    <w:rsid w:val="00B24A51"/>
    <w:rsid w:val="00B26154"/>
    <w:rsid w:val="00B26374"/>
    <w:rsid w:val="00B266F9"/>
    <w:rsid w:val="00B301B3"/>
    <w:rsid w:val="00B30838"/>
    <w:rsid w:val="00B30F30"/>
    <w:rsid w:val="00B31126"/>
    <w:rsid w:val="00B319CD"/>
    <w:rsid w:val="00B31ADD"/>
    <w:rsid w:val="00B3278B"/>
    <w:rsid w:val="00B329F1"/>
    <w:rsid w:val="00B33F67"/>
    <w:rsid w:val="00B3507E"/>
    <w:rsid w:val="00B36D12"/>
    <w:rsid w:val="00B374CD"/>
    <w:rsid w:val="00B37D39"/>
    <w:rsid w:val="00B409CA"/>
    <w:rsid w:val="00B40B5B"/>
    <w:rsid w:val="00B4363E"/>
    <w:rsid w:val="00B43ADB"/>
    <w:rsid w:val="00B4506A"/>
    <w:rsid w:val="00B450A3"/>
    <w:rsid w:val="00B46729"/>
    <w:rsid w:val="00B468B7"/>
    <w:rsid w:val="00B46AA0"/>
    <w:rsid w:val="00B46B98"/>
    <w:rsid w:val="00B47F5B"/>
    <w:rsid w:val="00B54B0D"/>
    <w:rsid w:val="00B55126"/>
    <w:rsid w:val="00B551CF"/>
    <w:rsid w:val="00B55FE4"/>
    <w:rsid w:val="00B56303"/>
    <w:rsid w:val="00B56D16"/>
    <w:rsid w:val="00B625EB"/>
    <w:rsid w:val="00B62F98"/>
    <w:rsid w:val="00B72311"/>
    <w:rsid w:val="00B72FD7"/>
    <w:rsid w:val="00B73258"/>
    <w:rsid w:val="00B734E3"/>
    <w:rsid w:val="00B73D7D"/>
    <w:rsid w:val="00B74159"/>
    <w:rsid w:val="00B750B9"/>
    <w:rsid w:val="00B75BF1"/>
    <w:rsid w:val="00B76190"/>
    <w:rsid w:val="00B77C78"/>
    <w:rsid w:val="00B8021F"/>
    <w:rsid w:val="00B803FA"/>
    <w:rsid w:val="00B81FC6"/>
    <w:rsid w:val="00B83E44"/>
    <w:rsid w:val="00B83EFF"/>
    <w:rsid w:val="00B85B7B"/>
    <w:rsid w:val="00B86485"/>
    <w:rsid w:val="00B93CA1"/>
    <w:rsid w:val="00B960A9"/>
    <w:rsid w:val="00B96863"/>
    <w:rsid w:val="00BA4634"/>
    <w:rsid w:val="00BA5359"/>
    <w:rsid w:val="00BA5EC5"/>
    <w:rsid w:val="00BA6559"/>
    <w:rsid w:val="00BA7866"/>
    <w:rsid w:val="00BB1DEF"/>
    <w:rsid w:val="00BB2F84"/>
    <w:rsid w:val="00BB3960"/>
    <w:rsid w:val="00BB4F84"/>
    <w:rsid w:val="00BC0D89"/>
    <w:rsid w:val="00BC0FD4"/>
    <w:rsid w:val="00BC24B5"/>
    <w:rsid w:val="00BC2931"/>
    <w:rsid w:val="00BC4117"/>
    <w:rsid w:val="00BC4620"/>
    <w:rsid w:val="00BC4B9A"/>
    <w:rsid w:val="00BC5760"/>
    <w:rsid w:val="00BC62D6"/>
    <w:rsid w:val="00BC6884"/>
    <w:rsid w:val="00BC6D3A"/>
    <w:rsid w:val="00BC77B2"/>
    <w:rsid w:val="00BC7822"/>
    <w:rsid w:val="00BD03FE"/>
    <w:rsid w:val="00BD26AF"/>
    <w:rsid w:val="00BD3CA9"/>
    <w:rsid w:val="00BD3DA7"/>
    <w:rsid w:val="00BD5CC9"/>
    <w:rsid w:val="00BD5E6F"/>
    <w:rsid w:val="00BD6444"/>
    <w:rsid w:val="00BD678D"/>
    <w:rsid w:val="00BD7867"/>
    <w:rsid w:val="00BD7EC7"/>
    <w:rsid w:val="00BE168F"/>
    <w:rsid w:val="00BE1EAD"/>
    <w:rsid w:val="00BE318F"/>
    <w:rsid w:val="00BE59EB"/>
    <w:rsid w:val="00BE794D"/>
    <w:rsid w:val="00BE79D0"/>
    <w:rsid w:val="00BF04D8"/>
    <w:rsid w:val="00BF130D"/>
    <w:rsid w:val="00BF1FAD"/>
    <w:rsid w:val="00BF2E31"/>
    <w:rsid w:val="00BF3912"/>
    <w:rsid w:val="00BF3922"/>
    <w:rsid w:val="00BF3A92"/>
    <w:rsid w:val="00BF49FE"/>
    <w:rsid w:val="00BF517C"/>
    <w:rsid w:val="00BF65B7"/>
    <w:rsid w:val="00BF7C48"/>
    <w:rsid w:val="00BF7D98"/>
    <w:rsid w:val="00C0230E"/>
    <w:rsid w:val="00C023D5"/>
    <w:rsid w:val="00C03D7D"/>
    <w:rsid w:val="00C04C5D"/>
    <w:rsid w:val="00C059D8"/>
    <w:rsid w:val="00C0719D"/>
    <w:rsid w:val="00C106FE"/>
    <w:rsid w:val="00C11E26"/>
    <w:rsid w:val="00C12DDA"/>
    <w:rsid w:val="00C130D3"/>
    <w:rsid w:val="00C14A13"/>
    <w:rsid w:val="00C158B8"/>
    <w:rsid w:val="00C16D99"/>
    <w:rsid w:val="00C175D5"/>
    <w:rsid w:val="00C20D63"/>
    <w:rsid w:val="00C22177"/>
    <w:rsid w:val="00C23A4C"/>
    <w:rsid w:val="00C2413B"/>
    <w:rsid w:val="00C2605B"/>
    <w:rsid w:val="00C2755F"/>
    <w:rsid w:val="00C30C6C"/>
    <w:rsid w:val="00C3180F"/>
    <w:rsid w:val="00C33602"/>
    <w:rsid w:val="00C33928"/>
    <w:rsid w:val="00C3475F"/>
    <w:rsid w:val="00C36941"/>
    <w:rsid w:val="00C36C99"/>
    <w:rsid w:val="00C40B55"/>
    <w:rsid w:val="00C41509"/>
    <w:rsid w:val="00C4328B"/>
    <w:rsid w:val="00C45258"/>
    <w:rsid w:val="00C45766"/>
    <w:rsid w:val="00C4601A"/>
    <w:rsid w:val="00C507DB"/>
    <w:rsid w:val="00C50802"/>
    <w:rsid w:val="00C50B10"/>
    <w:rsid w:val="00C512E4"/>
    <w:rsid w:val="00C5304B"/>
    <w:rsid w:val="00C53ADA"/>
    <w:rsid w:val="00C540A4"/>
    <w:rsid w:val="00C54D8A"/>
    <w:rsid w:val="00C54F8B"/>
    <w:rsid w:val="00C55C7A"/>
    <w:rsid w:val="00C55DD7"/>
    <w:rsid w:val="00C56C9F"/>
    <w:rsid w:val="00C62B00"/>
    <w:rsid w:val="00C651A0"/>
    <w:rsid w:val="00C67A6A"/>
    <w:rsid w:val="00C70F96"/>
    <w:rsid w:val="00C73671"/>
    <w:rsid w:val="00C74300"/>
    <w:rsid w:val="00C74CAD"/>
    <w:rsid w:val="00C7639C"/>
    <w:rsid w:val="00C7750C"/>
    <w:rsid w:val="00C77937"/>
    <w:rsid w:val="00C800BB"/>
    <w:rsid w:val="00C812ED"/>
    <w:rsid w:val="00C8135B"/>
    <w:rsid w:val="00C83099"/>
    <w:rsid w:val="00C83EEF"/>
    <w:rsid w:val="00C86322"/>
    <w:rsid w:val="00C86F40"/>
    <w:rsid w:val="00C871AA"/>
    <w:rsid w:val="00C87D7F"/>
    <w:rsid w:val="00C92568"/>
    <w:rsid w:val="00C9408D"/>
    <w:rsid w:val="00C952A1"/>
    <w:rsid w:val="00C95FF7"/>
    <w:rsid w:val="00C975AF"/>
    <w:rsid w:val="00CA02B8"/>
    <w:rsid w:val="00CA1150"/>
    <w:rsid w:val="00CA1519"/>
    <w:rsid w:val="00CA1A07"/>
    <w:rsid w:val="00CA1F02"/>
    <w:rsid w:val="00CA3B08"/>
    <w:rsid w:val="00CA4326"/>
    <w:rsid w:val="00CA5045"/>
    <w:rsid w:val="00CA7981"/>
    <w:rsid w:val="00CA7FA8"/>
    <w:rsid w:val="00CB08A0"/>
    <w:rsid w:val="00CB0A98"/>
    <w:rsid w:val="00CB0F7F"/>
    <w:rsid w:val="00CB5334"/>
    <w:rsid w:val="00CB6C09"/>
    <w:rsid w:val="00CB724C"/>
    <w:rsid w:val="00CC15F0"/>
    <w:rsid w:val="00CC17EF"/>
    <w:rsid w:val="00CC430D"/>
    <w:rsid w:val="00CC47E0"/>
    <w:rsid w:val="00CC4C06"/>
    <w:rsid w:val="00CC4C91"/>
    <w:rsid w:val="00CC51E9"/>
    <w:rsid w:val="00CC5536"/>
    <w:rsid w:val="00CD05F0"/>
    <w:rsid w:val="00CD4BA8"/>
    <w:rsid w:val="00CD4EE9"/>
    <w:rsid w:val="00CD5765"/>
    <w:rsid w:val="00CD5B75"/>
    <w:rsid w:val="00CD5E1E"/>
    <w:rsid w:val="00CD75B3"/>
    <w:rsid w:val="00CD767E"/>
    <w:rsid w:val="00CD78C0"/>
    <w:rsid w:val="00CE1239"/>
    <w:rsid w:val="00CE13F5"/>
    <w:rsid w:val="00CE21C1"/>
    <w:rsid w:val="00CE398E"/>
    <w:rsid w:val="00CE3CE1"/>
    <w:rsid w:val="00CE6551"/>
    <w:rsid w:val="00CF0CD3"/>
    <w:rsid w:val="00CF24A7"/>
    <w:rsid w:val="00CF3A82"/>
    <w:rsid w:val="00CF3B71"/>
    <w:rsid w:val="00CF59EF"/>
    <w:rsid w:val="00CF5BE9"/>
    <w:rsid w:val="00CF6385"/>
    <w:rsid w:val="00CF7B17"/>
    <w:rsid w:val="00D003E8"/>
    <w:rsid w:val="00D009AB"/>
    <w:rsid w:val="00D02173"/>
    <w:rsid w:val="00D02659"/>
    <w:rsid w:val="00D026F3"/>
    <w:rsid w:val="00D02AF0"/>
    <w:rsid w:val="00D03225"/>
    <w:rsid w:val="00D03C8F"/>
    <w:rsid w:val="00D03F34"/>
    <w:rsid w:val="00D04301"/>
    <w:rsid w:val="00D0550D"/>
    <w:rsid w:val="00D1070F"/>
    <w:rsid w:val="00D14B8F"/>
    <w:rsid w:val="00D155F4"/>
    <w:rsid w:val="00D17F2E"/>
    <w:rsid w:val="00D22BD7"/>
    <w:rsid w:val="00D24B9E"/>
    <w:rsid w:val="00D26CA7"/>
    <w:rsid w:val="00D27862"/>
    <w:rsid w:val="00D27FD3"/>
    <w:rsid w:val="00D3119D"/>
    <w:rsid w:val="00D34170"/>
    <w:rsid w:val="00D34C5C"/>
    <w:rsid w:val="00D355AA"/>
    <w:rsid w:val="00D35D57"/>
    <w:rsid w:val="00D3669C"/>
    <w:rsid w:val="00D37D56"/>
    <w:rsid w:val="00D41093"/>
    <w:rsid w:val="00D413C2"/>
    <w:rsid w:val="00D42900"/>
    <w:rsid w:val="00D44C0A"/>
    <w:rsid w:val="00D46E7E"/>
    <w:rsid w:val="00D51094"/>
    <w:rsid w:val="00D51DD4"/>
    <w:rsid w:val="00D5311C"/>
    <w:rsid w:val="00D54B2D"/>
    <w:rsid w:val="00D563B0"/>
    <w:rsid w:val="00D565DD"/>
    <w:rsid w:val="00D57C26"/>
    <w:rsid w:val="00D600D6"/>
    <w:rsid w:val="00D6122F"/>
    <w:rsid w:val="00D66C51"/>
    <w:rsid w:val="00D66E87"/>
    <w:rsid w:val="00D675D7"/>
    <w:rsid w:val="00D72815"/>
    <w:rsid w:val="00D72F59"/>
    <w:rsid w:val="00D73AF5"/>
    <w:rsid w:val="00D741AC"/>
    <w:rsid w:val="00D74896"/>
    <w:rsid w:val="00D76198"/>
    <w:rsid w:val="00D81C90"/>
    <w:rsid w:val="00D81CCA"/>
    <w:rsid w:val="00D83845"/>
    <w:rsid w:val="00D84CC1"/>
    <w:rsid w:val="00D85044"/>
    <w:rsid w:val="00D8551A"/>
    <w:rsid w:val="00D86479"/>
    <w:rsid w:val="00D867A8"/>
    <w:rsid w:val="00D9126A"/>
    <w:rsid w:val="00D921D9"/>
    <w:rsid w:val="00D94237"/>
    <w:rsid w:val="00D945DC"/>
    <w:rsid w:val="00D95891"/>
    <w:rsid w:val="00D95EF4"/>
    <w:rsid w:val="00DA0591"/>
    <w:rsid w:val="00DA1950"/>
    <w:rsid w:val="00DA2116"/>
    <w:rsid w:val="00DA31CA"/>
    <w:rsid w:val="00DA5B14"/>
    <w:rsid w:val="00DA5C28"/>
    <w:rsid w:val="00DA6ADE"/>
    <w:rsid w:val="00DA70D6"/>
    <w:rsid w:val="00DB05A9"/>
    <w:rsid w:val="00DB0E68"/>
    <w:rsid w:val="00DB166E"/>
    <w:rsid w:val="00DB53F8"/>
    <w:rsid w:val="00DB62ED"/>
    <w:rsid w:val="00DB7102"/>
    <w:rsid w:val="00DB73E1"/>
    <w:rsid w:val="00DB7501"/>
    <w:rsid w:val="00DB7578"/>
    <w:rsid w:val="00DB7843"/>
    <w:rsid w:val="00DC053F"/>
    <w:rsid w:val="00DC1721"/>
    <w:rsid w:val="00DC215B"/>
    <w:rsid w:val="00DC4AD9"/>
    <w:rsid w:val="00DC7F7C"/>
    <w:rsid w:val="00DD0024"/>
    <w:rsid w:val="00DD19EE"/>
    <w:rsid w:val="00DD2CD2"/>
    <w:rsid w:val="00DD70EE"/>
    <w:rsid w:val="00DE1992"/>
    <w:rsid w:val="00DE5447"/>
    <w:rsid w:val="00DE657D"/>
    <w:rsid w:val="00DF1900"/>
    <w:rsid w:val="00DF35E0"/>
    <w:rsid w:val="00DF3FB4"/>
    <w:rsid w:val="00DF49B4"/>
    <w:rsid w:val="00E0016E"/>
    <w:rsid w:val="00E0036E"/>
    <w:rsid w:val="00E00A28"/>
    <w:rsid w:val="00E01BF9"/>
    <w:rsid w:val="00E04BCB"/>
    <w:rsid w:val="00E04D64"/>
    <w:rsid w:val="00E05279"/>
    <w:rsid w:val="00E06063"/>
    <w:rsid w:val="00E072D4"/>
    <w:rsid w:val="00E07D8F"/>
    <w:rsid w:val="00E1185D"/>
    <w:rsid w:val="00E11AE0"/>
    <w:rsid w:val="00E11F94"/>
    <w:rsid w:val="00E1278D"/>
    <w:rsid w:val="00E1356C"/>
    <w:rsid w:val="00E13801"/>
    <w:rsid w:val="00E16279"/>
    <w:rsid w:val="00E2087B"/>
    <w:rsid w:val="00E208CE"/>
    <w:rsid w:val="00E20C87"/>
    <w:rsid w:val="00E22B9C"/>
    <w:rsid w:val="00E24AE5"/>
    <w:rsid w:val="00E27146"/>
    <w:rsid w:val="00E304B9"/>
    <w:rsid w:val="00E312D1"/>
    <w:rsid w:val="00E319B4"/>
    <w:rsid w:val="00E32583"/>
    <w:rsid w:val="00E33372"/>
    <w:rsid w:val="00E33A58"/>
    <w:rsid w:val="00E353C3"/>
    <w:rsid w:val="00E35ED1"/>
    <w:rsid w:val="00E35EF8"/>
    <w:rsid w:val="00E3734A"/>
    <w:rsid w:val="00E37DE2"/>
    <w:rsid w:val="00E37FB5"/>
    <w:rsid w:val="00E40B6A"/>
    <w:rsid w:val="00E40F89"/>
    <w:rsid w:val="00E4269D"/>
    <w:rsid w:val="00E43D32"/>
    <w:rsid w:val="00E44A38"/>
    <w:rsid w:val="00E50349"/>
    <w:rsid w:val="00E51011"/>
    <w:rsid w:val="00E517BC"/>
    <w:rsid w:val="00E52D85"/>
    <w:rsid w:val="00E56159"/>
    <w:rsid w:val="00E614A2"/>
    <w:rsid w:val="00E62343"/>
    <w:rsid w:val="00E62FA9"/>
    <w:rsid w:val="00E634AD"/>
    <w:rsid w:val="00E64ED5"/>
    <w:rsid w:val="00E664C6"/>
    <w:rsid w:val="00E669D9"/>
    <w:rsid w:val="00E71460"/>
    <w:rsid w:val="00E72474"/>
    <w:rsid w:val="00E733A8"/>
    <w:rsid w:val="00E73BA7"/>
    <w:rsid w:val="00E75ED9"/>
    <w:rsid w:val="00E76FE9"/>
    <w:rsid w:val="00E80A54"/>
    <w:rsid w:val="00E8113B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EA7"/>
    <w:rsid w:val="00E924B4"/>
    <w:rsid w:val="00E92612"/>
    <w:rsid w:val="00E92825"/>
    <w:rsid w:val="00E9307A"/>
    <w:rsid w:val="00E93FDC"/>
    <w:rsid w:val="00E94DAA"/>
    <w:rsid w:val="00EA2650"/>
    <w:rsid w:val="00EA281B"/>
    <w:rsid w:val="00EA3407"/>
    <w:rsid w:val="00EA469E"/>
    <w:rsid w:val="00EA4EEC"/>
    <w:rsid w:val="00EA5BC3"/>
    <w:rsid w:val="00EA6006"/>
    <w:rsid w:val="00EA7B2D"/>
    <w:rsid w:val="00EA7C4D"/>
    <w:rsid w:val="00EB07D8"/>
    <w:rsid w:val="00EB082C"/>
    <w:rsid w:val="00EB159B"/>
    <w:rsid w:val="00EB1DA4"/>
    <w:rsid w:val="00EB309C"/>
    <w:rsid w:val="00EB4853"/>
    <w:rsid w:val="00EB4E61"/>
    <w:rsid w:val="00EB5CC5"/>
    <w:rsid w:val="00EB7574"/>
    <w:rsid w:val="00EB75D1"/>
    <w:rsid w:val="00EC2BA9"/>
    <w:rsid w:val="00EC46DA"/>
    <w:rsid w:val="00EC4700"/>
    <w:rsid w:val="00EC74D0"/>
    <w:rsid w:val="00ED078A"/>
    <w:rsid w:val="00ED0E92"/>
    <w:rsid w:val="00ED2B6D"/>
    <w:rsid w:val="00ED2DE6"/>
    <w:rsid w:val="00ED4FEB"/>
    <w:rsid w:val="00ED7420"/>
    <w:rsid w:val="00ED7883"/>
    <w:rsid w:val="00ED7937"/>
    <w:rsid w:val="00EE0275"/>
    <w:rsid w:val="00EE2E7A"/>
    <w:rsid w:val="00EE4B1F"/>
    <w:rsid w:val="00EE65BF"/>
    <w:rsid w:val="00EE6A7B"/>
    <w:rsid w:val="00EE70A2"/>
    <w:rsid w:val="00EF1780"/>
    <w:rsid w:val="00EF1F7D"/>
    <w:rsid w:val="00EF3CE3"/>
    <w:rsid w:val="00EF52B1"/>
    <w:rsid w:val="00EF624B"/>
    <w:rsid w:val="00F000DC"/>
    <w:rsid w:val="00F0052E"/>
    <w:rsid w:val="00F006D2"/>
    <w:rsid w:val="00F01860"/>
    <w:rsid w:val="00F01939"/>
    <w:rsid w:val="00F04C29"/>
    <w:rsid w:val="00F05E0D"/>
    <w:rsid w:val="00F061CE"/>
    <w:rsid w:val="00F063A7"/>
    <w:rsid w:val="00F0716A"/>
    <w:rsid w:val="00F10A63"/>
    <w:rsid w:val="00F11979"/>
    <w:rsid w:val="00F12CAC"/>
    <w:rsid w:val="00F134FE"/>
    <w:rsid w:val="00F14362"/>
    <w:rsid w:val="00F14780"/>
    <w:rsid w:val="00F17EE8"/>
    <w:rsid w:val="00F208E5"/>
    <w:rsid w:val="00F20EB9"/>
    <w:rsid w:val="00F216C0"/>
    <w:rsid w:val="00F221AA"/>
    <w:rsid w:val="00F27FCA"/>
    <w:rsid w:val="00F31E76"/>
    <w:rsid w:val="00F3396D"/>
    <w:rsid w:val="00F3495C"/>
    <w:rsid w:val="00F35E5C"/>
    <w:rsid w:val="00F35EEA"/>
    <w:rsid w:val="00F37A40"/>
    <w:rsid w:val="00F37CE0"/>
    <w:rsid w:val="00F4146E"/>
    <w:rsid w:val="00F43D04"/>
    <w:rsid w:val="00F441C2"/>
    <w:rsid w:val="00F455C7"/>
    <w:rsid w:val="00F468EF"/>
    <w:rsid w:val="00F503F5"/>
    <w:rsid w:val="00F504C8"/>
    <w:rsid w:val="00F50CF3"/>
    <w:rsid w:val="00F53109"/>
    <w:rsid w:val="00F533FE"/>
    <w:rsid w:val="00F53F09"/>
    <w:rsid w:val="00F54DF3"/>
    <w:rsid w:val="00F56AD3"/>
    <w:rsid w:val="00F607CB"/>
    <w:rsid w:val="00F61635"/>
    <w:rsid w:val="00F6175C"/>
    <w:rsid w:val="00F625F7"/>
    <w:rsid w:val="00F63E81"/>
    <w:rsid w:val="00F64C26"/>
    <w:rsid w:val="00F70C3A"/>
    <w:rsid w:val="00F713AA"/>
    <w:rsid w:val="00F73360"/>
    <w:rsid w:val="00F73F6C"/>
    <w:rsid w:val="00F7490F"/>
    <w:rsid w:val="00F75550"/>
    <w:rsid w:val="00F75E5B"/>
    <w:rsid w:val="00F76EE0"/>
    <w:rsid w:val="00F770F6"/>
    <w:rsid w:val="00F81DC3"/>
    <w:rsid w:val="00F8229D"/>
    <w:rsid w:val="00F854E0"/>
    <w:rsid w:val="00F856CC"/>
    <w:rsid w:val="00F8742E"/>
    <w:rsid w:val="00F916F0"/>
    <w:rsid w:val="00F92ABD"/>
    <w:rsid w:val="00F96A29"/>
    <w:rsid w:val="00FA0A18"/>
    <w:rsid w:val="00FA0A37"/>
    <w:rsid w:val="00FA0F88"/>
    <w:rsid w:val="00FA46E0"/>
    <w:rsid w:val="00FA7051"/>
    <w:rsid w:val="00FB0BE6"/>
    <w:rsid w:val="00FB202B"/>
    <w:rsid w:val="00FB3654"/>
    <w:rsid w:val="00FB3AB2"/>
    <w:rsid w:val="00FB3EE5"/>
    <w:rsid w:val="00FB4A64"/>
    <w:rsid w:val="00FC1426"/>
    <w:rsid w:val="00FC1D81"/>
    <w:rsid w:val="00FC3C49"/>
    <w:rsid w:val="00FC458C"/>
    <w:rsid w:val="00FC45A9"/>
    <w:rsid w:val="00FC6090"/>
    <w:rsid w:val="00FC6A5F"/>
    <w:rsid w:val="00FC7629"/>
    <w:rsid w:val="00FC78F1"/>
    <w:rsid w:val="00FD214B"/>
    <w:rsid w:val="00FD2428"/>
    <w:rsid w:val="00FD3320"/>
    <w:rsid w:val="00FD3CA2"/>
    <w:rsid w:val="00FD3F1B"/>
    <w:rsid w:val="00FD40D3"/>
    <w:rsid w:val="00FD4F42"/>
    <w:rsid w:val="00FD621A"/>
    <w:rsid w:val="00FD7364"/>
    <w:rsid w:val="00FE0774"/>
    <w:rsid w:val="00FE14FE"/>
    <w:rsid w:val="00FE2884"/>
    <w:rsid w:val="00FE338B"/>
    <w:rsid w:val="00FE38E2"/>
    <w:rsid w:val="00FE3CB5"/>
    <w:rsid w:val="00FE52C8"/>
    <w:rsid w:val="00FF00A2"/>
    <w:rsid w:val="00FF12B1"/>
    <w:rsid w:val="00FF171B"/>
    <w:rsid w:val="00FF35E5"/>
    <w:rsid w:val="00FF3699"/>
    <w:rsid w:val="00FF494F"/>
    <w:rsid w:val="00FF76B5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1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2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1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2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AAA01-C8F7-4257-9508-CA330215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2828</Words>
  <Characters>16123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0079</cp:lastModifiedBy>
  <cp:revision>29</cp:revision>
  <cp:lastPrinted>2021-12-30T11:21:00Z</cp:lastPrinted>
  <dcterms:created xsi:type="dcterms:W3CDTF">2022-04-28T06:19:00Z</dcterms:created>
  <dcterms:modified xsi:type="dcterms:W3CDTF">2022-04-28T07:35:00Z</dcterms:modified>
</cp:coreProperties>
</file>