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Утверждаю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Председатель Правления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Департамента энергетики и тарифов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Ивановской области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  <w:u w:val="single"/>
        </w:rPr>
      </w:pPr>
      <w:r w:rsidRPr="004E2154">
        <w:rPr>
          <w:b/>
          <w:sz w:val="26"/>
          <w:szCs w:val="26"/>
        </w:rPr>
        <w:t>______________________Е.Н. Морева</w:t>
      </w:r>
    </w:p>
    <w:p w:rsidR="005B384C" w:rsidRPr="004E2154" w:rsidRDefault="005B384C" w:rsidP="005B384C">
      <w:pPr>
        <w:tabs>
          <w:tab w:val="left" w:pos="8789"/>
        </w:tabs>
        <w:jc w:val="center"/>
        <w:rPr>
          <w:b/>
          <w:sz w:val="26"/>
          <w:szCs w:val="26"/>
          <w:u w:val="single"/>
        </w:rPr>
      </w:pPr>
    </w:p>
    <w:p w:rsidR="005B384C" w:rsidRPr="004E2154" w:rsidRDefault="006E7BB8" w:rsidP="005B384C">
      <w:pPr>
        <w:tabs>
          <w:tab w:val="left" w:pos="8789"/>
        </w:tabs>
        <w:jc w:val="center"/>
        <w:rPr>
          <w:b/>
          <w:sz w:val="26"/>
          <w:szCs w:val="26"/>
          <w:u w:val="single"/>
        </w:rPr>
      </w:pPr>
      <w:proofErr w:type="gramStart"/>
      <w:r>
        <w:rPr>
          <w:b/>
          <w:sz w:val="26"/>
          <w:szCs w:val="26"/>
          <w:u w:val="single"/>
        </w:rPr>
        <w:t>П</w:t>
      </w:r>
      <w:proofErr w:type="gramEnd"/>
      <w:r>
        <w:rPr>
          <w:b/>
          <w:sz w:val="26"/>
          <w:szCs w:val="26"/>
          <w:u w:val="single"/>
        </w:rPr>
        <w:t xml:space="preserve"> Р О Т О К О Л  </w:t>
      </w:r>
      <w:r w:rsidR="005B384C" w:rsidRPr="000C03C8">
        <w:rPr>
          <w:b/>
          <w:sz w:val="26"/>
          <w:szCs w:val="26"/>
          <w:u w:val="single"/>
        </w:rPr>
        <w:t xml:space="preserve">№ </w:t>
      </w:r>
      <w:r w:rsidR="00AB2502" w:rsidRPr="00AF0BE9">
        <w:rPr>
          <w:b/>
          <w:sz w:val="26"/>
          <w:szCs w:val="26"/>
          <w:u w:val="single"/>
        </w:rPr>
        <w:t>4</w:t>
      </w:r>
      <w:r w:rsidR="00C64358" w:rsidRPr="00AF0BE9">
        <w:rPr>
          <w:b/>
          <w:sz w:val="26"/>
          <w:szCs w:val="26"/>
          <w:u w:val="single"/>
        </w:rPr>
        <w:t>0/</w:t>
      </w:r>
      <w:r w:rsidR="00AF0BE9" w:rsidRPr="00AF0BE9">
        <w:rPr>
          <w:b/>
          <w:sz w:val="26"/>
          <w:szCs w:val="26"/>
          <w:u w:val="single"/>
        </w:rPr>
        <w:t>2</w:t>
      </w:r>
    </w:p>
    <w:p w:rsidR="005B384C" w:rsidRPr="004E2154" w:rsidRDefault="005B384C" w:rsidP="005B384C">
      <w:pPr>
        <w:tabs>
          <w:tab w:val="left" w:pos="8789"/>
        </w:tabs>
        <w:jc w:val="center"/>
        <w:rPr>
          <w:sz w:val="26"/>
          <w:szCs w:val="26"/>
        </w:rPr>
      </w:pPr>
      <w:r w:rsidRPr="004E2154">
        <w:rPr>
          <w:sz w:val="26"/>
          <w:szCs w:val="26"/>
        </w:rPr>
        <w:t>заседания Правления Департамента энергетики и тарифов Ивановской области</w:t>
      </w:r>
    </w:p>
    <w:p w:rsidR="005B384C" w:rsidRPr="004E2154" w:rsidRDefault="005B384C" w:rsidP="005B384C">
      <w:pPr>
        <w:jc w:val="center"/>
        <w:rPr>
          <w:sz w:val="26"/>
          <w:szCs w:val="26"/>
        </w:rPr>
      </w:pPr>
    </w:p>
    <w:p w:rsidR="005B384C" w:rsidRPr="004E2154" w:rsidRDefault="006E7BB8" w:rsidP="005B384C">
      <w:pPr>
        <w:jc w:val="center"/>
        <w:rPr>
          <w:sz w:val="26"/>
          <w:szCs w:val="26"/>
        </w:rPr>
      </w:pPr>
      <w:r>
        <w:rPr>
          <w:sz w:val="26"/>
          <w:szCs w:val="26"/>
        </w:rPr>
        <w:t>14</w:t>
      </w:r>
      <w:r w:rsidR="00C45974" w:rsidRPr="004E2154">
        <w:rPr>
          <w:sz w:val="26"/>
          <w:szCs w:val="26"/>
        </w:rPr>
        <w:t xml:space="preserve"> </w:t>
      </w:r>
      <w:r w:rsidR="00A423D8" w:rsidRPr="004E2154">
        <w:rPr>
          <w:sz w:val="26"/>
          <w:szCs w:val="26"/>
        </w:rPr>
        <w:t>октября</w:t>
      </w:r>
      <w:r w:rsidR="00CD1ACA" w:rsidRPr="004E2154">
        <w:rPr>
          <w:sz w:val="26"/>
          <w:szCs w:val="26"/>
        </w:rPr>
        <w:t xml:space="preserve"> </w:t>
      </w:r>
      <w:r w:rsidR="00C45974" w:rsidRPr="004E2154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="00B173E4" w:rsidRPr="004E2154">
        <w:rPr>
          <w:sz w:val="26"/>
          <w:szCs w:val="26"/>
        </w:rPr>
        <w:t xml:space="preserve"> </w:t>
      </w:r>
      <w:r w:rsidR="005B384C" w:rsidRPr="004E2154">
        <w:rPr>
          <w:sz w:val="26"/>
          <w:szCs w:val="26"/>
        </w:rPr>
        <w:t>г.</w:t>
      </w:r>
      <w:r w:rsidR="005B384C" w:rsidRPr="004E2154">
        <w:rPr>
          <w:sz w:val="26"/>
          <w:szCs w:val="26"/>
        </w:rPr>
        <w:tab/>
        <w:t xml:space="preserve"> </w:t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  <w:t xml:space="preserve">  </w:t>
      </w:r>
      <w:r w:rsidR="005B384C" w:rsidRPr="004E2154">
        <w:rPr>
          <w:sz w:val="26"/>
          <w:szCs w:val="26"/>
        </w:rPr>
        <w:tab/>
      </w:r>
      <w:r w:rsidR="004E2154">
        <w:rPr>
          <w:sz w:val="26"/>
          <w:szCs w:val="26"/>
        </w:rPr>
        <w:t xml:space="preserve">       </w:t>
      </w:r>
      <w:r w:rsidR="005B384C" w:rsidRPr="004E2154">
        <w:rPr>
          <w:sz w:val="26"/>
          <w:szCs w:val="26"/>
        </w:rPr>
        <w:t xml:space="preserve">   г. Иваново</w:t>
      </w:r>
    </w:p>
    <w:p w:rsidR="005B384C" w:rsidRPr="004E2154" w:rsidRDefault="005B384C" w:rsidP="005B384C">
      <w:pPr>
        <w:tabs>
          <w:tab w:val="left" w:pos="8789"/>
        </w:tabs>
        <w:jc w:val="center"/>
        <w:rPr>
          <w:sz w:val="26"/>
          <w:szCs w:val="26"/>
        </w:rPr>
      </w:pPr>
    </w:p>
    <w:p w:rsidR="005B384C" w:rsidRPr="004E2154" w:rsidRDefault="005B384C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Присутствовали:</w:t>
      </w:r>
    </w:p>
    <w:p w:rsidR="005B384C" w:rsidRPr="004E2154" w:rsidRDefault="005B384C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Председатель Правления: Морева Е.Н.</w:t>
      </w:r>
    </w:p>
    <w:p w:rsidR="00593C83" w:rsidRPr="004E2154" w:rsidRDefault="00593C83" w:rsidP="00593C83">
      <w:pPr>
        <w:jc w:val="both"/>
        <w:rPr>
          <w:sz w:val="26"/>
          <w:szCs w:val="26"/>
        </w:rPr>
      </w:pPr>
      <w:r w:rsidRPr="004E2154">
        <w:rPr>
          <w:sz w:val="26"/>
          <w:szCs w:val="26"/>
        </w:rPr>
        <w:t xml:space="preserve">Члены Правления: Бугаева С.Е., </w:t>
      </w:r>
      <w:r w:rsidR="00790FF1" w:rsidRPr="004E2154">
        <w:rPr>
          <w:sz w:val="26"/>
          <w:szCs w:val="26"/>
        </w:rPr>
        <w:t xml:space="preserve">Гущина Н.Б., </w:t>
      </w:r>
      <w:r w:rsidR="005010B2" w:rsidRPr="004E2154">
        <w:rPr>
          <w:sz w:val="26"/>
          <w:szCs w:val="26"/>
        </w:rPr>
        <w:t>Турбачкина Е.В.</w:t>
      </w:r>
      <w:r w:rsidRPr="004E2154">
        <w:rPr>
          <w:sz w:val="26"/>
          <w:szCs w:val="26"/>
        </w:rPr>
        <w:t xml:space="preserve">, </w:t>
      </w:r>
      <w:r w:rsidR="006E7BB8">
        <w:rPr>
          <w:sz w:val="26"/>
          <w:szCs w:val="26"/>
        </w:rPr>
        <w:t>Полозов И.Г.</w:t>
      </w:r>
      <w:r w:rsidRPr="004E2154">
        <w:rPr>
          <w:sz w:val="26"/>
          <w:szCs w:val="26"/>
        </w:rPr>
        <w:t xml:space="preserve">, </w:t>
      </w:r>
      <w:r w:rsidR="00335AB5" w:rsidRPr="004E2154">
        <w:rPr>
          <w:sz w:val="26"/>
          <w:szCs w:val="26"/>
        </w:rPr>
        <w:t>Коннова Е.А</w:t>
      </w:r>
      <w:r w:rsidR="009D60BE">
        <w:rPr>
          <w:sz w:val="26"/>
          <w:szCs w:val="26"/>
        </w:rPr>
        <w:t>.</w:t>
      </w:r>
      <w:r w:rsidR="00AB2502" w:rsidRPr="004E2154">
        <w:rPr>
          <w:sz w:val="26"/>
          <w:szCs w:val="26"/>
        </w:rPr>
        <w:t>, Агапова О</w:t>
      </w:r>
      <w:r w:rsidR="00F93FAF" w:rsidRPr="004E2154">
        <w:rPr>
          <w:sz w:val="26"/>
          <w:szCs w:val="26"/>
        </w:rPr>
        <w:t>.</w:t>
      </w:r>
      <w:r w:rsidR="00AB2502" w:rsidRPr="004E2154">
        <w:rPr>
          <w:sz w:val="26"/>
          <w:szCs w:val="26"/>
        </w:rPr>
        <w:t>П</w:t>
      </w:r>
      <w:r w:rsidRPr="004E2154">
        <w:rPr>
          <w:sz w:val="26"/>
          <w:szCs w:val="26"/>
        </w:rPr>
        <w:t>.</w:t>
      </w:r>
    </w:p>
    <w:p w:rsidR="005B384C" w:rsidRPr="004E2154" w:rsidRDefault="005B384C" w:rsidP="005B384C">
      <w:pPr>
        <w:jc w:val="both"/>
        <w:rPr>
          <w:sz w:val="26"/>
          <w:szCs w:val="26"/>
        </w:rPr>
      </w:pPr>
      <w:r w:rsidRPr="004E2154">
        <w:rPr>
          <w:sz w:val="26"/>
          <w:szCs w:val="26"/>
        </w:rPr>
        <w:t xml:space="preserve">От Департамента энергетики и тарифов Ивановской области: </w:t>
      </w:r>
      <w:r w:rsidR="006E7BB8">
        <w:rPr>
          <w:sz w:val="26"/>
          <w:szCs w:val="26"/>
        </w:rPr>
        <w:t>Назарова О.А., Петрова Е.В.</w:t>
      </w:r>
      <w:r w:rsidR="000C03C8">
        <w:rPr>
          <w:sz w:val="26"/>
          <w:szCs w:val="26"/>
        </w:rPr>
        <w:t>, Кузьмичева Е.С.</w:t>
      </w:r>
    </w:p>
    <w:p w:rsidR="006E7BB8" w:rsidRDefault="006E7BB8" w:rsidP="005B384C">
      <w:pPr>
        <w:pStyle w:val="21"/>
        <w:widowControl/>
        <w:ind w:firstLine="0"/>
        <w:rPr>
          <w:sz w:val="26"/>
          <w:szCs w:val="26"/>
        </w:rPr>
      </w:pPr>
      <w:r w:rsidRPr="006E7BB8">
        <w:rPr>
          <w:sz w:val="26"/>
          <w:szCs w:val="26"/>
        </w:rPr>
        <w:t>От УФАС России по Ивановской области: Виднова З.Б. (на праве совещательного голоса, участие в голосовании не принимает).</w:t>
      </w:r>
    </w:p>
    <w:p w:rsidR="005B384C" w:rsidRPr="00AF0BE9" w:rsidRDefault="005B384C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От Ассоциации «НП Совет рынка»: Кулешов А.И.</w:t>
      </w:r>
    </w:p>
    <w:p w:rsidR="0050264C" w:rsidRPr="0050264C" w:rsidRDefault="0050264C" w:rsidP="005B384C">
      <w:pPr>
        <w:pStyle w:val="21"/>
        <w:widowControl/>
        <w:ind w:firstLine="0"/>
        <w:rPr>
          <w:sz w:val="26"/>
          <w:szCs w:val="26"/>
        </w:rPr>
      </w:pPr>
      <w:r>
        <w:rPr>
          <w:sz w:val="26"/>
          <w:szCs w:val="26"/>
        </w:rPr>
        <w:t>От Ивановского филиала АО «ЭнергосбыТ Плюс»</w:t>
      </w:r>
      <w:r w:rsidRPr="0050264C">
        <w:rPr>
          <w:sz w:val="26"/>
          <w:szCs w:val="26"/>
        </w:rPr>
        <w:t xml:space="preserve">: </w:t>
      </w:r>
      <w:r>
        <w:rPr>
          <w:sz w:val="26"/>
          <w:szCs w:val="26"/>
        </w:rPr>
        <w:t>Королев А.Ю., Тарутина А.С.</w:t>
      </w:r>
    </w:p>
    <w:p w:rsidR="005B384C" w:rsidRPr="004E2154" w:rsidRDefault="005B384C" w:rsidP="005B384C">
      <w:pPr>
        <w:jc w:val="both"/>
        <w:rPr>
          <w:sz w:val="26"/>
          <w:szCs w:val="26"/>
        </w:rPr>
      </w:pPr>
      <w:r w:rsidRPr="004E2154">
        <w:rPr>
          <w:sz w:val="26"/>
          <w:szCs w:val="26"/>
        </w:rPr>
        <w:t>Ответственный секретарь Правления:</w:t>
      </w:r>
      <w:r w:rsidR="00C828F9" w:rsidRPr="004E2154">
        <w:rPr>
          <w:sz w:val="26"/>
          <w:szCs w:val="26"/>
        </w:rPr>
        <w:t xml:space="preserve"> </w:t>
      </w:r>
      <w:r w:rsidR="000C03C8" w:rsidRPr="000C03C8">
        <w:rPr>
          <w:sz w:val="26"/>
          <w:szCs w:val="26"/>
        </w:rPr>
        <w:t>Блинова М.С.</w:t>
      </w:r>
    </w:p>
    <w:p w:rsidR="005B384C" w:rsidRPr="004E2154" w:rsidRDefault="005B384C" w:rsidP="005B384C">
      <w:pPr>
        <w:jc w:val="both"/>
        <w:rPr>
          <w:b/>
          <w:sz w:val="26"/>
          <w:szCs w:val="26"/>
        </w:rPr>
      </w:pPr>
    </w:p>
    <w:p w:rsidR="005B384C" w:rsidRPr="004E2154" w:rsidRDefault="005B384C" w:rsidP="005B384C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  <w:proofErr w:type="gramStart"/>
      <w:r w:rsidRPr="004E2154">
        <w:rPr>
          <w:b/>
          <w:sz w:val="26"/>
          <w:szCs w:val="26"/>
        </w:rPr>
        <w:t>П</w:t>
      </w:r>
      <w:proofErr w:type="gramEnd"/>
      <w:r w:rsidRPr="004E2154">
        <w:rPr>
          <w:b/>
          <w:sz w:val="26"/>
          <w:szCs w:val="26"/>
        </w:rPr>
        <w:t xml:space="preserve"> О В Е С Т К А:</w:t>
      </w:r>
    </w:p>
    <w:p w:rsidR="005B384C" w:rsidRPr="004E2154" w:rsidRDefault="005B384C" w:rsidP="005B384C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335AB5" w:rsidRPr="00B942FC" w:rsidRDefault="006E7BB8" w:rsidP="006E7BB8">
      <w:pPr>
        <w:pStyle w:val="aa"/>
        <w:numPr>
          <w:ilvl w:val="0"/>
          <w:numId w:val="21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6"/>
          <w:szCs w:val="26"/>
        </w:rPr>
      </w:pPr>
      <w:r w:rsidRPr="006E7BB8">
        <w:rPr>
          <w:b/>
          <w:bCs/>
          <w:sz w:val="26"/>
          <w:szCs w:val="26"/>
        </w:rPr>
        <w:t>О внесении изменений в постановление Департамента энергетики и тарифов Ивановской области от 29.12.2020 № 77-э/3 «Об установлении необходимой валовой выручки и долгосрочных параметров регулирования для ОАО «Юрьевецкие электрические сети»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515FCE" w:rsidRPr="00B942FC">
        <w:rPr>
          <w:b/>
          <w:bCs/>
          <w:sz w:val="26"/>
          <w:szCs w:val="26"/>
        </w:rPr>
        <w:t>.</w:t>
      </w:r>
    </w:p>
    <w:p w:rsidR="00B942FC" w:rsidRDefault="006E7BB8" w:rsidP="00B942FC">
      <w:pPr>
        <w:pStyle w:val="aa"/>
        <w:numPr>
          <w:ilvl w:val="0"/>
          <w:numId w:val="21"/>
        </w:numPr>
        <w:tabs>
          <w:tab w:val="left" w:pos="709"/>
          <w:tab w:val="left" w:pos="851"/>
          <w:tab w:val="left" w:pos="1418"/>
        </w:tabs>
        <w:ind w:left="0"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B942FC" w:rsidRPr="00B942FC">
        <w:rPr>
          <w:b/>
          <w:bCs/>
          <w:sz w:val="26"/>
          <w:szCs w:val="26"/>
        </w:rPr>
        <w:t xml:space="preserve">О внесении изменений в постановление Департамента энергетики и тарифов Ивановской </w:t>
      </w:r>
      <w:r w:rsidR="00B942FC">
        <w:rPr>
          <w:b/>
          <w:bCs/>
          <w:sz w:val="26"/>
          <w:szCs w:val="26"/>
        </w:rPr>
        <w:t>области от 01.12.2020 № 64-э/1 «</w:t>
      </w:r>
      <w:r w:rsidR="00B942FC" w:rsidRPr="00B942FC">
        <w:rPr>
          <w:b/>
          <w:bCs/>
          <w:sz w:val="26"/>
          <w:szCs w:val="26"/>
        </w:rPr>
        <w:t>Об установлении необходимой валовой выручки и долгосрочных па</w:t>
      </w:r>
      <w:r w:rsidR="00B942FC">
        <w:rPr>
          <w:b/>
          <w:bCs/>
          <w:sz w:val="26"/>
          <w:szCs w:val="26"/>
        </w:rPr>
        <w:t>раметров регулирования для ООО «</w:t>
      </w:r>
      <w:r w:rsidR="00B942FC" w:rsidRPr="00B942FC">
        <w:rPr>
          <w:b/>
          <w:bCs/>
          <w:sz w:val="26"/>
          <w:szCs w:val="26"/>
        </w:rPr>
        <w:t>ТСП</w:t>
      </w:r>
      <w:r w:rsidR="00B942FC">
        <w:rPr>
          <w:b/>
          <w:bCs/>
          <w:sz w:val="26"/>
          <w:szCs w:val="26"/>
        </w:rPr>
        <w:t>»</w:t>
      </w:r>
      <w:r w:rsidR="00B942FC" w:rsidRPr="00B942FC">
        <w:rPr>
          <w:b/>
          <w:bCs/>
          <w:sz w:val="26"/>
          <w:szCs w:val="26"/>
        </w:rPr>
        <w:t xml:space="preserve">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 w:rsidR="00B942FC">
        <w:rPr>
          <w:b/>
          <w:bCs/>
          <w:sz w:val="26"/>
          <w:szCs w:val="26"/>
        </w:rPr>
        <w:t>»</w:t>
      </w:r>
      <w:r w:rsidR="00B942FC" w:rsidRPr="00B942FC">
        <w:rPr>
          <w:b/>
          <w:bCs/>
          <w:sz w:val="26"/>
          <w:szCs w:val="26"/>
        </w:rPr>
        <w:t>.</w:t>
      </w:r>
    </w:p>
    <w:p w:rsidR="006E7BB8" w:rsidRDefault="006E7BB8" w:rsidP="006E7BB8">
      <w:pPr>
        <w:pStyle w:val="aa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b/>
          <w:bCs/>
          <w:sz w:val="26"/>
          <w:szCs w:val="26"/>
        </w:rPr>
      </w:pPr>
      <w:r w:rsidRPr="006E7BB8">
        <w:rPr>
          <w:b/>
          <w:bCs/>
          <w:sz w:val="26"/>
          <w:szCs w:val="26"/>
        </w:rPr>
        <w:t>О внесении изменений в постановление Департамента энергетики и тарифов Ивановской области от 29.12.2020 № 77-э/1 «Об установлении необходимой валовой выручки и долгосрочных параметров регулирования для ОАО «РЖД» (Северная дирекция по энергообеспечению - структурное подразделение филиала Трансэнерго)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6A3BBE">
        <w:rPr>
          <w:b/>
          <w:bCs/>
          <w:sz w:val="26"/>
          <w:szCs w:val="26"/>
        </w:rPr>
        <w:t>.</w:t>
      </w:r>
    </w:p>
    <w:p w:rsidR="00EC77B9" w:rsidRPr="00427593" w:rsidRDefault="006A3BBE" w:rsidP="00427593">
      <w:pPr>
        <w:pStyle w:val="aa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b/>
          <w:bCs/>
          <w:sz w:val="26"/>
          <w:szCs w:val="26"/>
        </w:rPr>
      </w:pPr>
      <w:r w:rsidRPr="006A3BBE">
        <w:rPr>
          <w:b/>
          <w:bCs/>
          <w:sz w:val="26"/>
          <w:szCs w:val="26"/>
        </w:rPr>
        <w:t>О внесении изменений в постановление Департамента энергетики и тарифов Ивановской области от 27.12.2021 № 59-э/1 «О сбытовых надбавках для гарантирующих поставщиков электрической энергии на территории Ивановской области» (в части сбытовых надбавок для Ивановского филиала АО «ЭнергосбыТ Плюс» во исполнение решения ФАС России)</w:t>
      </w:r>
      <w:r w:rsidR="00427593">
        <w:rPr>
          <w:b/>
          <w:bCs/>
          <w:sz w:val="26"/>
          <w:szCs w:val="26"/>
        </w:rPr>
        <w:t>.</w:t>
      </w:r>
    </w:p>
    <w:p w:rsidR="0069698E" w:rsidRDefault="004C3F09" w:rsidP="00F84FCF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ind w:left="0" w:firstLine="567"/>
        <w:jc w:val="both"/>
        <w:rPr>
          <w:b/>
          <w:bCs/>
          <w:sz w:val="26"/>
          <w:szCs w:val="26"/>
        </w:rPr>
      </w:pPr>
      <w:r w:rsidRPr="00515FCE">
        <w:rPr>
          <w:b/>
          <w:bCs/>
          <w:sz w:val="26"/>
          <w:szCs w:val="26"/>
        </w:rPr>
        <w:lastRenderedPageBreak/>
        <w:t xml:space="preserve">СЛУШАЛИ: </w:t>
      </w:r>
      <w:proofErr w:type="gramStart"/>
      <w:r w:rsidR="006E7BB8" w:rsidRPr="006E7BB8">
        <w:rPr>
          <w:b/>
          <w:bCs/>
          <w:sz w:val="26"/>
          <w:szCs w:val="26"/>
        </w:rPr>
        <w:t>О внесении изменений в постановление Департамента энергетики и тарифов Ивановской области от 29.12.2020 № 77-э/3 «Об установлении необходимой валовой выручки и долгосрочных параметров регулирования для ОАО «Юрьевецкие электрические сети»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69698E" w:rsidRPr="00515FCE">
        <w:rPr>
          <w:b/>
          <w:bCs/>
          <w:sz w:val="26"/>
          <w:szCs w:val="26"/>
        </w:rPr>
        <w:t xml:space="preserve"> (Морева, Коннова,</w:t>
      </w:r>
      <w:r w:rsidR="000C03C8">
        <w:rPr>
          <w:b/>
          <w:bCs/>
          <w:sz w:val="26"/>
          <w:szCs w:val="26"/>
        </w:rPr>
        <w:t xml:space="preserve"> </w:t>
      </w:r>
      <w:r w:rsidR="006E7BB8">
        <w:rPr>
          <w:b/>
          <w:bCs/>
          <w:sz w:val="26"/>
          <w:szCs w:val="26"/>
        </w:rPr>
        <w:t>Петрова</w:t>
      </w:r>
      <w:r w:rsidR="0069698E" w:rsidRPr="00515FCE">
        <w:rPr>
          <w:b/>
          <w:bCs/>
          <w:sz w:val="26"/>
          <w:szCs w:val="26"/>
        </w:rPr>
        <w:t>).</w:t>
      </w:r>
      <w:proofErr w:type="gramEnd"/>
    </w:p>
    <w:p w:rsidR="00147B89" w:rsidRPr="00515FCE" w:rsidRDefault="00147B89" w:rsidP="00147B89">
      <w:pPr>
        <w:pStyle w:val="aa"/>
        <w:tabs>
          <w:tab w:val="left" w:pos="709"/>
          <w:tab w:val="left" w:pos="851"/>
        </w:tabs>
        <w:ind w:left="567"/>
        <w:jc w:val="both"/>
        <w:rPr>
          <w:b/>
          <w:bCs/>
          <w:sz w:val="26"/>
          <w:szCs w:val="26"/>
        </w:rPr>
      </w:pPr>
    </w:p>
    <w:p w:rsidR="00671CC5" w:rsidRPr="00056A15" w:rsidRDefault="00671CC5" w:rsidP="00671CC5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056A15">
        <w:rPr>
          <w:bCs/>
          <w:sz w:val="26"/>
          <w:szCs w:val="26"/>
        </w:rPr>
        <w:t>Рассмотр</w:t>
      </w:r>
      <w:r w:rsidR="00150B76" w:rsidRPr="00056A15">
        <w:rPr>
          <w:bCs/>
          <w:sz w:val="26"/>
          <w:szCs w:val="26"/>
        </w:rPr>
        <w:t>ен</w:t>
      </w:r>
      <w:r w:rsidR="0069698E" w:rsidRPr="00056A15">
        <w:rPr>
          <w:bCs/>
          <w:sz w:val="26"/>
          <w:szCs w:val="26"/>
        </w:rPr>
        <w:t>о</w:t>
      </w:r>
      <w:r w:rsidR="00150B76" w:rsidRPr="00056A15">
        <w:rPr>
          <w:bCs/>
          <w:sz w:val="26"/>
          <w:szCs w:val="26"/>
        </w:rPr>
        <w:t xml:space="preserve"> дел</w:t>
      </w:r>
      <w:r w:rsidR="0069698E" w:rsidRPr="00056A15">
        <w:rPr>
          <w:bCs/>
          <w:sz w:val="26"/>
          <w:szCs w:val="26"/>
        </w:rPr>
        <w:t>о</w:t>
      </w:r>
      <w:r w:rsidRPr="00056A15">
        <w:rPr>
          <w:bCs/>
          <w:sz w:val="26"/>
          <w:szCs w:val="26"/>
        </w:rPr>
        <w:t xml:space="preserve"> в части корректировки </w:t>
      </w:r>
      <w:r w:rsidRPr="00056A15">
        <w:rPr>
          <w:sz w:val="26"/>
          <w:szCs w:val="26"/>
        </w:rPr>
        <w:t>НВВ на содерж</w:t>
      </w:r>
      <w:r w:rsidR="00C45974" w:rsidRPr="00056A15">
        <w:rPr>
          <w:sz w:val="26"/>
          <w:szCs w:val="26"/>
        </w:rPr>
        <w:t>ание электрических сетей на 202</w:t>
      </w:r>
      <w:r w:rsidR="00056A15" w:rsidRPr="00056A15">
        <w:rPr>
          <w:sz w:val="26"/>
          <w:szCs w:val="26"/>
        </w:rPr>
        <w:t>3</w:t>
      </w:r>
      <w:r w:rsidRPr="00056A15">
        <w:rPr>
          <w:sz w:val="26"/>
          <w:szCs w:val="26"/>
        </w:rPr>
        <w:t xml:space="preserve"> год, </w:t>
      </w:r>
      <w:r w:rsidRPr="00056A15">
        <w:rPr>
          <w:bCs/>
          <w:sz w:val="26"/>
          <w:szCs w:val="26"/>
        </w:rPr>
        <w:t>принимаемой в расчет единых (котловых) и индивидуальных тарифов на услуги по передаче электрической энергии (без учета оплаты потерь)</w:t>
      </w:r>
      <w:r w:rsidR="00150B76" w:rsidRPr="00056A15">
        <w:rPr>
          <w:bCs/>
          <w:sz w:val="26"/>
          <w:szCs w:val="26"/>
        </w:rPr>
        <w:t>,</w:t>
      </w:r>
      <w:r w:rsidRPr="00056A15">
        <w:rPr>
          <w:bCs/>
          <w:sz w:val="26"/>
          <w:szCs w:val="26"/>
        </w:rPr>
        <w:t xml:space="preserve"> для </w:t>
      </w:r>
      <w:r w:rsidR="004E35E5" w:rsidRPr="00056A15">
        <w:rPr>
          <w:bCs/>
          <w:sz w:val="26"/>
          <w:szCs w:val="26"/>
        </w:rPr>
        <w:t>О</w:t>
      </w:r>
      <w:r w:rsidR="00056A15" w:rsidRPr="00056A15">
        <w:rPr>
          <w:bCs/>
          <w:sz w:val="26"/>
          <w:szCs w:val="26"/>
        </w:rPr>
        <w:t>А</w:t>
      </w:r>
      <w:r w:rsidR="004E35E5" w:rsidRPr="00056A15">
        <w:rPr>
          <w:bCs/>
          <w:sz w:val="26"/>
          <w:szCs w:val="26"/>
        </w:rPr>
        <w:t>О «</w:t>
      </w:r>
      <w:r w:rsidR="00056A15" w:rsidRPr="00056A15">
        <w:rPr>
          <w:bCs/>
          <w:sz w:val="26"/>
          <w:szCs w:val="26"/>
        </w:rPr>
        <w:t>Юрьевецкие электрические сети»</w:t>
      </w:r>
      <w:r w:rsidR="004E35E5" w:rsidRPr="00056A15">
        <w:rPr>
          <w:bCs/>
          <w:sz w:val="26"/>
          <w:szCs w:val="26"/>
        </w:rPr>
        <w:t xml:space="preserve"> (долгос</w:t>
      </w:r>
      <w:r w:rsidR="0069698E" w:rsidRPr="00056A15">
        <w:rPr>
          <w:bCs/>
          <w:sz w:val="26"/>
          <w:szCs w:val="26"/>
        </w:rPr>
        <w:t>рочный период регулирования 202</w:t>
      </w:r>
      <w:r w:rsidR="009D60BE" w:rsidRPr="00056A15">
        <w:rPr>
          <w:bCs/>
          <w:sz w:val="26"/>
          <w:szCs w:val="26"/>
        </w:rPr>
        <w:t>1</w:t>
      </w:r>
      <w:r w:rsidR="0069698E" w:rsidRPr="00056A15">
        <w:rPr>
          <w:bCs/>
          <w:sz w:val="26"/>
          <w:szCs w:val="26"/>
        </w:rPr>
        <w:t>-202</w:t>
      </w:r>
      <w:r w:rsidR="009D60BE" w:rsidRPr="00056A15">
        <w:rPr>
          <w:bCs/>
          <w:sz w:val="26"/>
          <w:szCs w:val="26"/>
        </w:rPr>
        <w:t>5</w:t>
      </w:r>
      <w:r w:rsidR="004E35E5" w:rsidRPr="00056A15">
        <w:rPr>
          <w:bCs/>
          <w:sz w:val="26"/>
          <w:szCs w:val="26"/>
        </w:rPr>
        <w:t xml:space="preserve"> гг.)</w:t>
      </w:r>
      <w:r w:rsidR="00473802" w:rsidRPr="00056A15">
        <w:rPr>
          <w:bCs/>
          <w:sz w:val="26"/>
          <w:szCs w:val="26"/>
        </w:rPr>
        <w:t>.</w:t>
      </w:r>
    </w:p>
    <w:p w:rsidR="00671CC5" w:rsidRPr="00056A15" w:rsidRDefault="00671CC5" w:rsidP="00671CC5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6"/>
          <w:szCs w:val="26"/>
        </w:rPr>
      </w:pPr>
      <w:r w:rsidRPr="00056A15">
        <w:rPr>
          <w:sz w:val="26"/>
          <w:szCs w:val="26"/>
        </w:rPr>
        <w:t>В соответствии с проведенной экспертизо</w:t>
      </w:r>
      <w:r w:rsidR="00150B76" w:rsidRPr="00056A15">
        <w:rPr>
          <w:sz w:val="26"/>
          <w:szCs w:val="26"/>
        </w:rPr>
        <w:t>й установлено, что вышеуказанн</w:t>
      </w:r>
      <w:r w:rsidR="0069698E" w:rsidRPr="00056A15">
        <w:rPr>
          <w:sz w:val="26"/>
          <w:szCs w:val="26"/>
        </w:rPr>
        <w:t>ая</w:t>
      </w:r>
      <w:r w:rsidR="00150B76" w:rsidRPr="00056A15">
        <w:rPr>
          <w:sz w:val="26"/>
          <w:szCs w:val="26"/>
        </w:rPr>
        <w:t xml:space="preserve"> сетев</w:t>
      </w:r>
      <w:r w:rsidR="0069698E" w:rsidRPr="00056A15">
        <w:rPr>
          <w:sz w:val="26"/>
          <w:szCs w:val="26"/>
        </w:rPr>
        <w:t>ая</w:t>
      </w:r>
      <w:r w:rsidR="00150B76" w:rsidRPr="00056A15">
        <w:rPr>
          <w:sz w:val="26"/>
          <w:szCs w:val="26"/>
        </w:rPr>
        <w:t xml:space="preserve"> организаци</w:t>
      </w:r>
      <w:r w:rsidR="0069698E" w:rsidRPr="00056A15">
        <w:rPr>
          <w:sz w:val="26"/>
          <w:szCs w:val="26"/>
        </w:rPr>
        <w:t>я</w:t>
      </w:r>
      <w:r w:rsidRPr="00056A15">
        <w:rPr>
          <w:sz w:val="26"/>
          <w:szCs w:val="26"/>
        </w:rPr>
        <w:t xml:space="preserve"> </w:t>
      </w:r>
      <w:r w:rsidR="00843EBE" w:rsidRPr="00056A15">
        <w:rPr>
          <w:sz w:val="26"/>
          <w:szCs w:val="26"/>
        </w:rPr>
        <w:t>соответству</w:t>
      </w:r>
      <w:r w:rsidR="000C03C8">
        <w:rPr>
          <w:sz w:val="26"/>
          <w:szCs w:val="26"/>
        </w:rPr>
        <w:t>е</w:t>
      </w:r>
      <w:r w:rsidR="00C57BF7" w:rsidRPr="00056A15">
        <w:rPr>
          <w:sz w:val="26"/>
          <w:szCs w:val="26"/>
        </w:rPr>
        <w:t>т</w:t>
      </w:r>
      <w:r w:rsidRPr="00056A15">
        <w:rPr>
          <w:sz w:val="26"/>
          <w:szCs w:val="26"/>
        </w:rPr>
        <w:t xml:space="preserve">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671CC5" w:rsidRPr="00056A15" w:rsidRDefault="00671CC5" w:rsidP="00671CC5">
      <w:pPr>
        <w:ind w:firstLine="567"/>
        <w:jc w:val="both"/>
        <w:rPr>
          <w:sz w:val="26"/>
          <w:szCs w:val="26"/>
        </w:rPr>
      </w:pPr>
      <w:r w:rsidRPr="00056A15">
        <w:rPr>
          <w:bCs/>
          <w:sz w:val="26"/>
          <w:szCs w:val="26"/>
        </w:rPr>
        <w:t>Департамент энергетики и тарифов Ивановской области (далее – Департамент) отмечает, что</w:t>
      </w:r>
      <w:r w:rsidR="0069698E" w:rsidRPr="00056A15">
        <w:rPr>
          <w:bCs/>
          <w:sz w:val="26"/>
          <w:szCs w:val="26"/>
        </w:rPr>
        <w:t xml:space="preserve"> расчет произведен специалист</w:t>
      </w:r>
      <w:r w:rsidR="0047755F" w:rsidRPr="00056A15">
        <w:rPr>
          <w:bCs/>
          <w:sz w:val="26"/>
          <w:szCs w:val="26"/>
        </w:rPr>
        <w:t>ами</w:t>
      </w:r>
      <w:r w:rsidRPr="00056A15">
        <w:rPr>
          <w:bCs/>
          <w:sz w:val="26"/>
          <w:szCs w:val="26"/>
        </w:rPr>
        <w:t xml:space="preserve"> Департамента в</w:t>
      </w:r>
      <w:r w:rsidRPr="00056A15">
        <w:rPr>
          <w:sz w:val="26"/>
          <w:szCs w:val="26"/>
        </w:rPr>
        <w:t xml:space="preserve"> соответствии </w:t>
      </w:r>
      <w:proofErr w:type="gramStart"/>
      <w:r w:rsidRPr="00056A15">
        <w:rPr>
          <w:sz w:val="26"/>
          <w:szCs w:val="26"/>
        </w:rPr>
        <w:t>с</w:t>
      </w:r>
      <w:proofErr w:type="gramEnd"/>
      <w:r w:rsidRPr="00056A15">
        <w:rPr>
          <w:sz w:val="26"/>
          <w:szCs w:val="26"/>
        </w:rPr>
        <w:t>:</w:t>
      </w:r>
    </w:p>
    <w:p w:rsidR="00671CC5" w:rsidRPr="00056A15" w:rsidRDefault="00671CC5" w:rsidP="00671CC5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056A15">
        <w:rPr>
          <w:bCs/>
          <w:sz w:val="26"/>
          <w:szCs w:val="26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</w:t>
      </w:r>
      <w:r w:rsidR="00056A15">
        <w:rPr>
          <w:bCs/>
          <w:sz w:val="26"/>
          <w:szCs w:val="26"/>
        </w:rPr>
        <w:t>5</w:t>
      </w:r>
      <w:r w:rsidRPr="00056A15">
        <w:rPr>
          <w:bCs/>
          <w:sz w:val="26"/>
          <w:szCs w:val="26"/>
        </w:rPr>
        <w:t xml:space="preserve"> года</w:t>
      </w:r>
      <w:r w:rsidRPr="00056A15">
        <w:rPr>
          <w:sz w:val="26"/>
          <w:szCs w:val="26"/>
        </w:rPr>
        <w:t>,</w:t>
      </w:r>
    </w:p>
    <w:p w:rsidR="00671CC5" w:rsidRPr="00056A15" w:rsidRDefault="00671CC5" w:rsidP="00671CC5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056A15">
        <w:rPr>
          <w:sz w:val="26"/>
          <w:szCs w:val="26"/>
        </w:rPr>
        <w:t xml:space="preserve"> 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</w:t>
      </w:r>
      <w:r w:rsidR="00546435" w:rsidRPr="00056A15">
        <w:rPr>
          <w:sz w:val="26"/>
          <w:szCs w:val="26"/>
        </w:rPr>
        <w:t xml:space="preserve"> (далее – Основы ценообразования)</w:t>
      </w:r>
      <w:r w:rsidRPr="00056A15">
        <w:rPr>
          <w:sz w:val="26"/>
          <w:szCs w:val="26"/>
        </w:rPr>
        <w:t>,</w:t>
      </w:r>
    </w:p>
    <w:p w:rsidR="00671CC5" w:rsidRPr="00056A15" w:rsidRDefault="00671CC5" w:rsidP="00671CC5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56A15">
        <w:rPr>
          <w:sz w:val="26"/>
          <w:szCs w:val="26"/>
        </w:rPr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E2600" w:rsidRPr="00056A15">
        <w:rPr>
          <w:sz w:val="26"/>
          <w:szCs w:val="26"/>
        </w:rPr>
        <w:t xml:space="preserve"> (далее – Методические указания № 98-э)</w:t>
      </w:r>
      <w:r w:rsidRPr="00056A15">
        <w:rPr>
          <w:sz w:val="26"/>
          <w:szCs w:val="26"/>
        </w:rPr>
        <w:t>.</w:t>
      </w:r>
    </w:p>
    <w:p w:rsidR="00671CC5" w:rsidRPr="00056A15" w:rsidRDefault="00671CC5" w:rsidP="00671CC5">
      <w:pPr>
        <w:ind w:firstLine="567"/>
        <w:jc w:val="both"/>
        <w:rPr>
          <w:sz w:val="26"/>
          <w:szCs w:val="26"/>
        </w:rPr>
      </w:pPr>
      <w:r w:rsidRPr="00056A15">
        <w:rPr>
          <w:sz w:val="26"/>
          <w:szCs w:val="26"/>
        </w:rPr>
        <w:t xml:space="preserve">Основные показатели деятельности </w:t>
      </w:r>
      <w:r w:rsidR="0048693C" w:rsidRPr="00056A15">
        <w:rPr>
          <w:bCs/>
          <w:sz w:val="26"/>
          <w:szCs w:val="26"/>
        </w:rPr>
        <w:t>О</w:t>
      </w:r>
      <w:r w:rsidR="00056A15" w:rsidRPr="00056A15">
        <w:rPr>
          <w:bCs/>
          <w:sz w:val="26"/>
          <w:szCs w:val="26"/>
        </w:rPr>
        <w:t>А</w:t>
      </w:r>
      <w:r w:rsidR="0048693C" w:rsidRPr="00056A15">
        <w:rPr>
          <w:bCs/>
          <w:sz w:val="26"/>
          <w:szCs w:val="26"/>
        </w:rPr>
        <w:t xml:space="preserve">О </w:t>
      </w:r>
      <w:r w:rsidR="00610136" w:rsidRPr="00056A15">
        <w:rPr>
          <w:bCs/>
          <w:sz w:val="26"/>
          <w:szCs w:val="26"/>
        </w:rPr>
        <w:t>«</w:t>
      </w:r>
      <w:r w:rsidR="00056A15" w:rsidRPr="00056A15">
        <w:rPr>
          <w:bCs/>
          <w:sz w:val="26"/>
          <w:szCs w:val="26"/>
        </w:rPr>
        <w:t>Юрьевецкие электрические сети»</w:t>
      </w:r>
      <w:r w:rsidRPr="00056A15">
        <w:rPr>
          <w:bCs/>
          <w:sz w:val="26"/>
          <w:szCs w:val="26"/>
        </w:rPr>
        <w:t xml:space="preserve">, </w:t>
      </w:r>
      <w:r w:rsidRPr="00056A15">
        <w:rPr>
          <w:sz w:val="26"/>
          <w:szCs w:val="26"/>
        </w:rPr>
        <w:t>принимаемые в расчет единых (котловых) и индивидуальных тарифов на услуги по перед</w:t>
      </w:r>
      <w:r w:rsidR="00335AB5" w:rsidRPr="00056A15">
        <w:rPr>
          <w:sz w:val="26"/>
          <w:szCs w:val="26"/>
        </w:rPr>
        <w:t>а</w:t>
      </w:r>
      <w:r w:rsidR="00C45974" w:rsidRPr="00056A15">
        <w:rPr>
          <w:sz w:val="26"/>
          <w:szCs w:val="26"/>
        </w:rPr>
        <w:t>че электрической энергии на 202</w:t>
      </w:r>
      <w:r w:rsidR="00056A15" w:rsidRPr="00056A15">
        <w:rPr>
          <w:sz w:val="26"/>
          <w:szCs w:val="26"/>
        </w:rPr>
        <w:t>3</w:t>
      </w:r>
      <w:r w:rsidRPr="00056A15">
        <w:rPr>
          <w:sz w:val="26"/>
          <w:szCs w:val="26"/>
        </w:rPr>
        <w:t xml:space="preserve"> год, а также принимаемые при установлении НВВ, приведены в приложениях к протоколу.</w:t>
      </w:r>
    </w:p>
    <w:p w:rsidR="00671CC5" w:rsidRPr="00056A15" w:rsidRDefault="00671CC5" w:rsidP="00671CC5">
      <w:pPr>
        <w:ind w:firstLine="567"/>
        <w:jc w:val="both"/>
        <w:rPr>
          <w:bCs/>
          <w:sz w:val="26"/>
          <w:szCs w:val="26"/>
        </w:rPr>
      </w:pPr>
      <w:r w:rsidRPr="00056A15">
        <w:rPr>
          <w:bCs/>
          <w:sz w:val="26"/>
          <w:szCs w:val="26"/>
        </w:rPr>
        <w:t>По результатам экспертизы подготовлены расчетные материалы и соотв</w:t>
      </w:r>
      <w:r w:rsidR="00150B76" w:rsidRPr="00056A15">
        <w:rPr>
          <w:bCs/>
          <w:sz w:val="26"/>
          <w:szCs w:val="26"/>
        </w:rPr>
        <w:t>етствующ</w:t>
      </w:r>
      <w:r w:rsidR="00C828F9" w:rsidRPr="00056A15">
        <w:rPr>
          <w:bCs/>
          <w:sz w:val="26"/>
          <w:szCs w:val="26"/>
        </w:rPr>
        <w:t>е</w:t>
      </w:r>
      <w:r w:rsidR="00150B76" w:rsidRPr="00056A15">
        <w:rPr>
          <w:bCs/>
          <w:sz w:val="26"/>
          <w:szCs w:val="26"/>
        </w:rPr>
        <w:t>е экспертн</w:t>
      </w:r>
      <w:r w:rsidR="00C828F9" w:rsidRPr="00056A15">
        <w:rPr>
          <w:bCs/>
          <w:sz w:val="26"/>
          <w:szCs w:val="26"/>
        </w:rPr>
        <w:t>о</w:t>
      </w:r>
      <w:r w:rsidR="00150B76" w:rsidRPr="00056A15">
        <w:rPr>
          <w:bCs/>
          <w:sz w:val="26"/>
          <w:szCs w:val="26"/>
        </w:rPr>
        <w:t>е заключени</w:t>
      </w:r>
      <w:r w:rsidR="00C828F9" w:rsidRPr="00056A15">
        <w:rPr>
          <w:bCs/>
          <w:sz w:val="26"/>
          <w:szCs w:val="26"/>
        </w:rPr>
        <w:t>е</w:t>
      </w:r>
      <w:r w:rsidRPr="00056A15">
        <w:rPr>
          <w:bCs/>
          <w:sz w:val="26"/>
          <w:szCs w:val="26"/>
        </w:rPr>
        <w:t>.</w:t>
      </w:r>
    </w:p>
    <w:p w:rsidR="004D0A10" w:rsidRPr="006E7BB8" w:rsidRDefault="004D0A10" w:rsidP="00671CC5">
      <w:pPr>
        <w:ind w:firstLine="567"/>
        <w:jc w:val="both"/>
        <w:rPr>
          <w:bCs/>
          <w:sz w:val="26"/>
          <w:szCs w:val="26"/>
          <w:highlight w:val="yellow"/>
        </w:rPr>
      </w:pPr>
      <w:r w:rsidRPr="00056A15">
        <w:rPr>
          <w:bCs/>
          <w:sz w:val="26"/>
          <w:szCs w:val="26"/>
        </w:rPr>
        <w:t xml:space="preserve">Необходимо внести соответствующие изменения в постановление Департамента энергетики и тарифов Ивановской области </w:t>
      </w:r>
      <w:r w:rsidR="005639E3" w:rsidRPr="00056A15">
        <w:rPr>
          <w:bCs/>
          <w:sz w:val="26"/>
          <w:szCs w:val="26"/>
        </w:rPr>
        <w:t xml:space="preserve">от </w:t>
      </w:r>
      <w:r w:rsidR="00056A15" w:rsidRPr="00056A15">
        <w:rPr>
          <w:bCs/>
          <w:sz w:val="26"/>
          <w:szCs w:val="26"/>
        </w:rPr>
        <w:t xml:space="preserve"> 29.12.2020 № 77-э/3 «Об установлении необходимой валовой выручки и долгосрочных параметров регулирования для ОАО «Юрьевецкие электрические сети»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регулирования».</w:t>
      </w:r>
    </w:p>
    <w:p w:rsidR="00AD339B" w:rsidRDefault="005010B2" w:rsidP="005010B2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AD339B">
        <w:rPr>
          <w:bCs/>
          <w:sz w:val="26"/>
          <w:szCs w:val="26"/>
        </w:rPr>
        <w:t>О</w:t>
      </w:r>
      <w:r w:rsidR="00AD339B" w:rsidRPr="00AD339B">
        <w:rPr>
          <w:bCs/>
          <w:sz w:val="26"/>
          <w:szCs w:val="26"/>
        </w:rPr>
        <w:t>А</w:t>
      </w:r>
      <w:r w:rsidRPr="00AD339B">
        <w:rPr>
          <w:bCs/>
          <w:sz w:val="26"/>
          <w:szCs w:val="26"/>
        </w:rPr>
        <w:t>О «</w:t>
      </w:r>
      <w:r w:rsidR="00AD339B" w:rsidRPr="00AD339B">
        <w:rPr>
          <w:bCs/>
          <w:sz w:val="26"/>
          <w:szCs w:val="26"/>
        </w:rPr>
        <w:t>Юрьевецкие электрические сети</w:t>
      </w:r>
      <w:r w:rsidR="0069698E" w:rsidRPr="00AD339B">
        <w:rPr>
          <w:bCs/>
          <w:sz w:val="26"/>
          <w:szCs w:val="26"/>
        </w:rPr>
        <w:t xml:space="preserve">» </w:t>
      </w:r>
      <w:r w:rsidR="0069698E" w:rsidRPr="000C2866">
        <w:rPr>
          <w:bCs/>
          <w:sz w:val="26"/>
          <w:szCs w:val="26"/>
        </w:rPr>
        <w:t xml:space="preserve">письмом от </w:t>
      </w:r>
      <w:r w:rsidR="003C01FA" w:rsidRPr="000C2866">
        <w:rPr>
          <w:bCs/>
          <w:sz w:val="26"/>
          <w:szCs w:val="26"/>
        </w:rPr>
        <w:t>1</w:t>
      </w:r>
      <w:r w:rsidR="00AD339B" w:rsidRPr="000C2866">
        <w:rPr>
          <w:bCs/>
          <w:sz w:val="26"/>
          <w:szCs w:val="26"/>
        </w:rPr>
        <w:t>4</w:t>
      </w:r>
      <w:r w:rsidR="00A423D8" w:rsidRPr="000C2866">
        <w:rPr>
          <w:bCs/>
          <w:sz w:val="26"/>
          <w:szCs w:val="26"/>
        </w:rPr>
        <w:t>.</w:t>
      </w:r>
      <w:r w:rsidR="003C01FA" w:rsidRPr="000C2866">
        <w:rPr>
          <w:bCs/>
          <w:sz w:val="26"/>
          <w:szCs w:val="26"/>
        </w:rPr>
        <w:t>10</w:t>
      </w:r>
      <w:r w:rsidRPr="000C2866">
        <w:rPr>
          <w:bCs/>
          <w:sz w:val="26"/>
          <w:szCs w:val="26"/>
        </w:rPr>
        <w:t>.202</w:t>
      </w:r>
      <w:r w:rsidR="00AD339B" w:rsidRPr="000C2866">
        <w:rPr>
          <w:bCs/>
          <w:sz w:val="26"/>
          <w:szCs w:val="26"/>
        </w:rPr>
        <w:t>2</w:t>
      </w:r>
      <w:r w:rsidRPr="000C2866">
        <w:rPr>
          <w:bCs/>
          <w:sz w:val="26"/>
          <w:szCs w:val="26"/>
        </w:rPr>
        <w:t xml:space="preserve"> № </w:t>
      </w:r>
      <w:r w:rsidR="000C2866" w:rsidRPr="000C2866">
        <w:rPr>
          <w:bCs/>
          <w:sz w:val="26"/>
          <w:szCs w:val="26"/>
        </w:rPr>
        <w:t>3/10/2022</w:t>
      </w:r>
      <w:r w:rsidRPr="000C2866">
        <w:rPr>
          <w:bCs/>
          <w:sz w:val="26"/>
          <w:szCs w:val="26"/>
        </w:rPr>
        <w:t xml:space="preserve"> (прилагается к </w:t>
      </w:r>
      <w:r w:rsidR="00DC7CDD" w:rsidRPr="000C2866">
        <w:rPr>
          <w:bCs/>
          <w:sz w:val="26"/>
          <w:szCs w:val="26"/>
        </w:rPr>
        <w:t xml:space="preserve">настоящему </w:t>
      </w:r>
      <w:r w:rsidRPr="000C2866">
        <w:rPr>
          <w:bCs/>
          <w:sz w:val="26"/>
          <w:szCs w:val="26"/>
        </w:rPr>
        <w:t xml:space="preserve">протоколу) </w:t>
      </w:r>
      <w:r w:rsidR="00AD339B" w:rsidRPr="00AD339B">
        <w:rPr>
          <w:bCs/>
          <w:sz w:val="26"/>
          <w:szCs w:val="26"/>
        </w:rPr>
        <w:t>согласовывает предлагаемую к утверждению корректировку НВВ, участвующую в расчете тарифов на услуги по передаче электрической энергии (мощности) на 2023 год.</w:t>
      </w:r>
    </w:p>
    <w:p w:rsidR="005010B2" w:rsidRDefault="005010B2" w:rsidP="005010B2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0C2866">
        <w:rPr>
          <w:bCs/>
          <w:sz w:val="26"/>
          <w:szCs w:val="26"/>
        </w:rPr>
        <w:t>Ассоциация «НП Совет рынка» в отношении О</w:t>
      </w:r>
      <w:r w:rsidR="000C2866">
        <w:rPr>
          <w:bCs/>
          <w:sz w:val="26"/>
          <w:szCs w:val="26"/>
        </w:rPr>
        <w:t>А</w:t>
      </w:r>
      <w:r w:rsidRPr="000C2866">
        <w:rPr>
          <w:bCs/>
          <w:sz w:val="26"/>
          <w:szCs w:val="26"/>
        </w:rPr>
        <w:t>О «</w:t>
      </w:r>
      <w:r w:rsidR="000C2866">
        <w:rPr>
          <w:bCs/>
          <w:sz w:val="26"/>
          <w:szCs w:val="26"/>
        </w:rPr>
        <w:t>Юрьевецкие электрические сети</w:t>
      </w:r>
      <w:r w:rsidRPr="000C2866">
        <w:rPr>
          <w:bCs/>
          <w:sz w:val="26"/>
          <w:szCs w:val="26"/>
        </w:rPr>
        <w:t>» голосует по данному вопросу «</w:t>
      </w:r>
      <w:r w:rsidR="000C2866" w:rsidRPr="000C2866">
        <w:rPr>
          <w:bCs/>
          <w:sz w:val="26"/>
          <w:szCs w:val="26"/>
        </w:rPr>
        <w:t>против</w:t>
      </w:r>
      <w:r w:rsidR="000C03C8">
        <w:rPr>
          <w:bCs/>
          <w:sz w:val="26"/>
          <w:szCs w:val="26"/>
        </w:rPr>
        <w:t xml:space="preserve">», так как на заседании Правления предлагается принять скорректированные показатели по НВВ </w:t>
      </w:r>
      <w:r w:rsidR="000C03C8" w:rsidRPr="000C03C8">
        <w:rPr>
          <w:bCs/>
          <w:sz w:val="26"/>
          <w:szCs w:val="26"/>
        </w:rPr>
        <w:t>ОАО «Юрьевецкие электрические сети»</w:t>
      </w:r>
      <w:r w:rsidR="000C03C8">
        <w:rPr>
          <w:bCs/>
          <w:sz w:val="26"/>
          <w:szCs w:val="26"/>
        </w:rPr>
        <w:t xml:space="preserve">, отличные от ранее направленных в адрес </w:t>
      </w:r>
      <w:r w:rsidR="000C03C8" w:rsidRPr="000C03C8">
        <w:rPr>
          <w:bCs/>
          <w:sz w:val="26"/>
          <w:szCs w:val="26"/>
        </w:rPr>
        <w:t>Ассоциации «НП Совет рынка»</w:t>
      </w:r>
      <w:r w:rsidR="000C03C8">
        <w:rPr>
          <w:bCs/>
          <w:sz w:val="26"/>
          <w:szCs w:val="26"/>
        </w:rPr>
        <w:t>.</w:t>
      </w:r>
    </w:p>
    <w:p w:rsidR="000C03C8" w:rsidRDefault="000C03C8" w:rsidP="005010B2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Департамент отмечает, что корректировка расчетов произведена в связи с выявленной технической ошибкой.</w:t>
      </w:r>
    </w:p>
    <w:p w:rsidR="007B5DD0" w:rsidRPr="006E7BB8" w:rsidRDefault="007B5DD0" w:rsidP="007D42E6">
      <w:pPr>
        <w:pStyle w:val="aa"/>
        <w:tabs>
          <w:tab w:val="left" w:pos="1134"/>
          <w:tab w:val="left" w:pos="1276"/>
        </w:tabs>
        <w:ind w:left="567"/>
        <w:jc w:val="both"/>
        <w:rPr>
          <w:sz w:val="26"/>
          <w:szCs w:val="26"/>
          <w:highlight w:val="yellow"/>
        </w:rPr>
      </w:pPr>
    </w:p>
    <w:p w:rsidR="00E95F9F" w:rsidRPr="000C2866" w:rsidRDefault="0047755F" w:rsidP="007D42E6">
      <w:pPr>
        <w:pStyle w:val="aa"/>
        <w:tabs>
          <w:tab w:val="left" w:pos="1134"/>
          <w:tab w:val="left" w:pos="1276"/>
        </w:tabs>
        <w:ind w:left="567"/>
        <w:jc w:val="both"/>
        <w:rPr>
          <w:b/>
          <w:sz w:val="26"/>
          <w:szCs w:val="26"/>
        </w:rPr>
      </w:pPr>
      <w:r w:rsidRPr="000C2866">
        <w:rPr>
          <w:b/>
          <w:sz w:val="26"/>
          <w:szCs w:val="26"/>
        </w:rPr>
        <w:t>РЕШИЛИ:</w:t>
      </w:r>
    </w:p>
    <w:p w:rsidR="00790FF1" w:rsidRPr="000C2866" w:rsidRDefault="008B720C" w:rsidP="004A3C0A">
      <w:pPr>
        <w:tabs>
          <w:tab w:val="left" w:pos="4020"/>
        </w:tabs>
        <w:ind w:firstLine="540"/>
        <w:jc w:val="both"/>
        <w:rPr>
          <w:sz w:val="26"/>
          <w:szCs w:val="26"/>
        </w:rPr>
      </w:pPr>
      <w:proofErr w:type="gramStart"/>
      <w:r w:rsidRPr="000C2866">
        <w:rPr>
          <w:sz w:val="26"/>
          <w:szCs w:val="26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0C2866">
        <w:rPr>
          <w:sz w:val="26"/>
          <w:szCs w:val="26"/>
        </w:rPr>
        <w:t xml:space="preserve"> Федерации от 27.12.2004 № 861</w:t>
      </w:r>
      <w:r w:rsidR="004A3C0A" w:rsidRPr="000C2866">
        <w:rPr>
          <w:sz w:val="26"/>
          <w:szCs w:val="26"/>
        </w:rPr>
        <w:t>:</w:t>
      </w:r>
    </w:p>
    <w:p w:rsidR="00147B89" w:rsidRPr="000C2866" w:rsidRDefault="00147B89" w:rsidP="004A3C0A">
      <w:pPr>
        <w:tabs>
          <w:tab w:val="left" w:pos="4020"/>
        </w:tabs>
        <w:ind w:firstLine="540"/>
        <w:jc w:val="both"/>
        <w:rPr>
          <w:sz w:val="26"/>
          <w:szCs w:val="26"/>
        </w:rPr>
      </w:pPr>
    </w:p>
    <w:p w:rsidR="004A3C0A" w:rsidRPr="00BA5A30" w:rsidRDefault="00102ED2" w:rsidP="00102ED2">
      <w:pPr>
        <w:pStyle w:val="aa"/>
        <w:tabs>
          <w:tab w:val="left" w:pos="4020"/>
        </w:tabs>
        <w:ind w:left="0" w:firstLine="567"/>
        <w:jc w:val="both"/>
        <w:rPr>
          <w:sz w:val="26"/>
          <w:szCs w:val="26"/>
        </w:rPr>
      </w:pPr>
      <w:r w:rsidRPr="00BA5A30">
        <w:rPr>
          <w:sz w:val="26"/>
          <w:szCs w:val="26"/>
        </w:rPr>
        <w:t>1.</w:t>
      </w:r>
      <w:r w:rsidR="00F37527" w:rsidRPr="00BA5A30">
        <w:t xml:space="preserve"> </w:t>
      </w:r>
      <w:proofErr w:type="gramStart"/>
      <w:r w:rsidR="008B720C" w:rsidRPr="00BA5A30">
        <w:rPr>
          <w:sz w:val="26"/>
          <w:szCs w:val="26"/>
        </w:rPr>
        <w:t xml:space="preserve">Внести изменения в постановление Департамента энергетики и тарифов Ивановской области от </w:t>
      </w:r>
      <w:r w:rsidR="00BA5A30" w:rsidRPr="00BA5A30">
        <w:rPr>
          <w:sz w:val="26"/>
          <w:szCs w:val="26"/>
        </w:rPr>
        <w:t>29</w:t>
      </w:r>
      <w:r w:rsidR="008B720C" w:rsidRPr="00BA5A30">
        <w:rPr>
          <w:sz w:val="26"/>
          <w:szCs w:val="26"/>
        </w:rPr>
        <w:t>.1</w:t>
      </w:r>
      <w:r w:rsidR="00BA5A30" w:rsidRPr="00BA5A30">
        <w:rPr>
          <w:sz w:val="26"/>
          <w:szCs w:val="26"/>
        </w:rPr>
        <w:t>2</w:t>
      </w:r>
      <w:r w:rsidR="008B720C" w:rsidRPr="00BA5A30">
        <w:rPr>
          <w:sz w:val="26"/>
          <w:szCs w:val="26"/>
        </w:rPr>
        <w:t xml:space="preserve">.2020 № </w:t>
      </w:r>
      <w:r w:rsidR="00BA5A30" w:rsidRPr="00BA5A30">
        <w:rPr>
          <w:sz w:val="26"/>
          <w:szCs w:val="26"/>
        </w:rPr>
        <w:t>77</w:t>
      </w:r>
      <w:r w:rsidR="008B720C" w:rsidRPr="00BA5A30">
        <w:rPr>
          <w:sz w:val="26"/>
          <w:szCs w:val="26"/>
        </w:rPr>
        <w:t>-э/</w:t>
      </w:r>
      <w:r w:rsidR="00BA5A30" w:rsidRPr="00BA5A30">
        <w:rPr>
          <w:sz w:val="26"/>
          <w:szCs w:val="26"/>
        </w:rPr>
        <w:t>3</w:t>
      </w:r>
      <w:r w:rsidR="008B720C" w:rsidRPr="00BA5A30">
        <w:rPr>
          <w:sz w:val="26"/>
          <w:szCs w:val="26"/>
        </w:rPr>
        <w:t xml:space="preserve"> «</w:t>
      </w:r>
      <w:r w:rsidR="00BA5A30" w:rsidRPr="00BA5A30">
        <w:rPr>
          <w:sz w:val="26"/>
          <w:szCs w:val="26"/>
        </w:rPr>
        <w:t>Об установлении необходимой валовой выручки и долгосрочных параметров регулирования для ОАО «Юрьевецкие электрические сети»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 w:rsidR="008B720C" w:rsidRPr="00BA5A30">
        <w:rPr>
          <w:sz w:val="26"/>
          <w:szCs w:val="26"/>
        </w:rPr>
        <w:t xml:space="preserve">», изложив приложение 2 к постановлению Департамента энергетики и тарифов Ивановской области от </w:t>
      </w:r>
      <w:r w:rsidR="00BA5A30" w:rsidRPr="00BA5A30">
        <w:rPr>
          <w:sz w:val="26"/>
          <w:szCs w:val="26"/>
        </w:rPr>
        <w:t>29.12.2020</w:t>
      </w:r>
      <w:proofErr w:type="gramEnd"/>
      <w:r w:rsidR="008B720C" w:rsidRPr="00BA5A30">
        <w:rPr>
          <w:sz w:val="26"/>
          <w:szCs w:val="26"/>
        </w:rPr>
        <w:t xml:space="preserve"> № </w:t>
      </w:r>
      <w:r w:rsidR="00BA5A30" w:rsidRPr="00BA5A30">
        <w:rPr>
          <w:sz w:val="26"/>
          <w:szCs w:val="26"/>
        </w:rPr>
        <w:t>77</w:t>
      </w:r>
      <w:r w:rsidR="008B720C" w:rsidRPr="00BA5A30">
        <w:rPr>
          <w:sz w:val="26"/>
          <w:szCs w:val="26"/>
        </w:rPr>
        <w:t>-э/</w:t>
      </w:r>
      <w:r w:rsidR="00BA5A30" w:rsidRPr="00BA5A30">
        <w:rPr>
          <w:sz w:val="26"/>
          <w:szCs w:val="26"/>
        </w:rPr>
        <w:t>3</w:t>
      </w:r>
      <w:r w:rsidR="008B720C" w:rsidRPr="00BA5A30">
        <w:rPr>
          <w:sz w:val="26"/>
          <w:szCs w:val="26"/>
        </w:rPr>
        <w:t xml:space="preserve"> в новой редакции согласно Таблице</w:t>
      </w:r>
      <w:r w:rsidR="004A3C0A" w:rsidRPr="00BA5A30">
        <w:rPr>
          <w:sz w:val="26"/>
          <w:szCs w:val="26"/>
        </w:rPr>
        <w:t>:</w:t>
      </w:r>
    </w:p>
    <w:p w:rsidR="004A3C0A" w:rsidRPr="00BA5A30" w:rsidRDefault="004A3C0A" w:rsidP="004A3C0A">
      <w:pPr>
        <w:tabs>
          <w:tab w:val="left" w:pos="4020"/>
        </w:tabs>
        <w:ind w:firstLine="540"/>
        <w:jc w:val="right"/>
        <w:rPr>
          <w:sz w:val="26"/>
          <w:szCs w:val="26"/>
          <w:highlight w:val="yellow"/>
        </w:rPr>
      </w:pPr>
      <w:r w:rsidRPr="00BA5A30">
        <w:rPr>
          <w:sz w:val="26"/>
          <w:szCs w:val="26"/>
        </w:rPr>
        <w:t>Таблица</w:t>
      </w:r>
    </w:p>
    <w:p w:rsidR="008B720C" w:rsidRPr="00BA5A30" w:rsidRDefault="008B720C" w:rsidP="004A3C0A">
      <w:pPr>
        <w:tabs>
          <w:tab w:val="left" w:pos="4020"/>
        </w:tabs>
        <w:ind w:firstLine="540"/>
        <w:jc w:val="right"/>
        <w:rPr>
          <w:sz w:val="26"/>
          <w:szCs w:val="26"/>
          <w:highlight w:val="yellow"/>
        </w:rPr>
      </w:pPr>
    </w:p>
    <w:p w:rsidR="00BA5A30" w:rsidRPr="00BA5A30" w:rsidRDefault="00BA5A30" w:rsidP="00BA5A30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BA5A30">
        <w:rPr>
          <w:sz w:val="24"/>
          <w:szCs w:val="24"/>
        </w:rPr>
        <w:t>НЕОБХОДИМАЯ ВАЛОВАЯ ВЫРУЧКА</w:t>
      </w:r>
    </w:p>
    <w:p w:rsidR="00BA5A30" w:rsidRPr="00BA5A30" w:rsidRDefault="00BA5A30" w:rsidP="00BA5A30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BA5A30">
        <w:rPr>
          <w:sz w:val="24"/>
          <w:szCs w:val="24"/>
        </w:rPr>
        <w:t>ДЛЯ СЕТЕВЫХ ОРГАНИЗАЦИЙ ИВАНОВСКОЙ ОБЛАСТИ</w:t>
      </w:r>
    </w:p>
    <w:p w:rsidR="00BA5A30" w:rsidRPr="00BA5A30" w:rsidRDefault="00BA5A30" w:rsidP="00BA5A30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BA5A30">
        <w:rPr>
          <w:sz w:val="24"/>
          <w:szCs w:val="24"/>
        </w:rPr>
        <w:t>НА ДОЛГОСРОЧНЫЙ ПЕРИОД РЕГУЛИРОВАНИЯ 2021 - 2025 ГОДЫ</w:t>
      </w:r>
    </w:p>
    <w:p w:rsidR="00BA5A30" w:rsidRDefault="00BA5A30" w:rsidP="00BA5A30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BA5A30">
        <w:rPr>
          <w:sz w:val="24"/>
          <w:szCs w:val="24"/>
        </w:rPr>
        <w:t>(БЕЗ УЧЕТА ОПЛАТЫ ПОТЕРЬ)</w:t>
      </w:r>
    </w:p>
    <w:p w:rsidR="00BA5A30" w:rsidRDefault="00BA5A30" w:rsidP="00BA5A30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37"/>
        <w:gridCol w:w="4683"/>
        <w:gridCol w:w="1100"/>
        <w:gridCol w:w="3618"/>
      </w:tblGrid>
      <w:tr w:rsidR="00BA5A30" w:rsidRPr="00BA5A30" w:rsidTr="009F2C7F">
        <w:trPr>
          <w:trHeight w:val="61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BA5A30">
              <w:rPr>
                <w:sz w:val="24"/>
                <w:szCs w:val="24"/>
              </w:rPr>
              <w:t xml:space="preserve">№ </w:t>
            </w:r>
            <w:proofErr w:type="gramStart"/>
            <w:r w:rsidRPr="00BA5A30">
              <w:rPr>
                <w:sz w:val="24"/>
                <w:szCs w:val="24"/>
              </w:rPr>
              <w:t>п</w:t>
            </w:r>
            <w:proofErr w:type="gramEnd"/>
            <w:r w:rsidRPr="00BA5A30">
              <w:rPr>
                <w:sz w:val="24"/>
                <w:szCs w:val="24"/>
              </w:rPr>
              <w:t>/п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BA5A30">
              <w:rPr>
                <w:sz w:val="24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BA5A30">
              <w:rPr>
                <w:sz w:val="24"/>
                <w:szCs w:val="24"/>
              </w:rPr>
              <w:t>Год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BA5A30">
              <w:rPr>
                <w:sz w:val="24"/>
                <w:szCs w:val="24"/>
              </w:rPr>
              <w:t>НВВ сетевых организаций без учета оплаты потерь</w:t>
            </w:r>
          </w:p>
        </w:tc>
      </w:tr>
      <w:tr w:rsidR="00BA5A30" w:rsidRPr="00BA5A30" w:rsidTr="009F2C7F">
        <w:trPr>
          <w:trHeight w:val="31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BA5A30">
              <w:rPr>
                <w:sz w:val="24"/>
                <w:szCs w:val="24"/>
              </w:rPr>
              <w:t>тыс. руб.</w:t>
            </w:r>
          </w:p>
        </w:tc>
      </w:tr>
      <w:tr w:rsidR="00BA5A30" w:rsidRPr="00BA5A30" w:rsidTr="009F2C7F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BA5A30">
              <w:rPr>
                <w:sz w:val="24"/>
                <w:szCs w:val="24"/>
              </w:rPr>
              <w:t>1.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BA5A30">
              <w:rPr>
                <w:sz w:val="24"/>
                <w:szCs w:val="24"/>
              </w:rPr>
              <w:t>ОАО «Юрьевецкие электрические сети»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BA5A30">
              <w:rPr>
                <w:sz w:val="24"/>
                <w:szCs w:val="24"/>
              </w:rPr>
              <w:t>2021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BA5A30">
              <w:rPr>
                <w:sz w:val="24"/>
                <w:szCs w:val="24"/>
              </w:rPr>
              <w:t>23 588 23</w:t>
            </w:r>
          </w:p>
        </w:tc>
      </w:tr>
      <w:tr w:rsidR="00BA5A30" w:rsidRPr="00BA5A30" w:rsidTr="009F2C7F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BA5A30">
              <w:rPr>
                <w:sz w:val="24"/>
                <w:szCs w:val="24"/>
              </w:rPr>
              <w:t>2022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BA5A30">
              <w:rPr>
                <w:sz w:val="24"/>
                <w:szCs w:val="24"/>
              </w:rPr>
              <w:t>24 709,12</w:t>
            </w:r>
          </w:p>
        </w:tc>
      </w:tr>
      <w:tr w:rsidR="00BA5A30" w:rsidRPr="00BA5A30" w:rsidTr="009F2C7F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BA5A30">
              <w:rPr>
                <w:sz w:val="24"/>
                <w:szCs w:val="24"/>
              </w:rPr>
              <w:t>2023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BA5A30">
              <w:rPr>
                <w:sz w:val="24"/>
                <w:szCs w:val="24"/>
              </w:rPr>
              <w:t>24 179,36</w:t>
            </w:r>
          </w:p>
        </w:tc>
      </w:tr>
      <w:tr w:rsidR="00BA5A30" w:rsidRPr="00BA5A30" w:rsidTr="009F2C7F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BA5A30">
              <w:rPr>
                <w:sz w:val="24"/>
                <w:szCs w:val="24"/>
              </w:rPr>
              <w:t>2024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BA5A30">
              <w:rPr>
                <w:sz w:val="24"/>
                <w:szCs w:val="24"/>
              </w:rPr>
              <w:t>24 698,22</w:t>
            </w:r>
          </w:p>
        </w:tc>
      </w:tr>
      <w:tr w:rsidR="00BA5A30" w:rsidRPr="00BA5A30" w:rsidTr="009F2C7F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BA5A30">
              <w:rPr>
                <w:sz w:val="24"/>
                <w:szCs w:val="24"/>
              </w:rPr>
              <w:t>2025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30" w:rsidRPr="00BA5A30" w:rsidRDefault="00BA5A30" w:rsidP="00BA5A30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BA5A30">
              <w:rPr>
                <w:sz w:val="24"/>
                <w:szCs w:val="24"/>
              </w:rPr>
              <w:t>24 839,57</w:t>
            </w:r>
          </w:p>
        </w:tc>
      </w:tr>
    </w:tbl>
    <w:p w:rsidR="008B720C" w:rsidRPr="006E7BB8" w:rsidRDefault="008B720C" w:rsidP="008B720C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4A3C0A" w:rsidRPr="00056A15" w:rsidRDefault="004A3C0A" w:rsidP="004A3C0A">
      <w:pPr>
        <w:tabs>
          <w:tab w:val="left" w:pos="4020"/>
        </w:tabs>
        <w:ind w:firstLine="540"/>
        <w:jc w:val="both"/>
        <w:rPr>
          <w:sz w:val="26"/>
          <w:szCs w:val="26"/>
        </w:rPr>
      </w:pPr>
      <w:r w:rsidRPr="00056A15">
        <w:rPr>
          <w:sz w:val="26"/>
          <w:szCs w:val="26"/>
        </w:rPr>
        <w:t>2.</w:t>
      </w:r>
      <w:r w:rsidR="00102ED2" w:rsidRPr="00056A15">
        <w:rPr>
          <w:sz w:val="26"/>
          <w:szCs w:val="26"/>
        </w:rPr>
        <w:t xml:space="preserve"> </w:t>
      </w:r>
      <w:r w:rsidRPr="00056A15">
        <w:rPr>
          <w:sz w:val="26"/>
          <w:szCs w:val="26"/>
        </w:rPr>
        <w:t>Постановление вступает в силу со дня его официального опубликования.</w:t>
      </w:r>
    </w:p>
    <w:p w:rsidR="004A3C0A" w:rsidRPr="006E7BB8" w:rsidRDefault="004A3C0A" w:rsidP="004A3C0A">
      <w:pPr>
        <w:tabs>
          <w:tab w:val="left" w:pos="4020"/>
        </w:tabs>
        <w:ind w:firstLine="540"/>
        <w:jc w:val="both"/>
        <w:rPr>
          <w:sz w:val="26"/>
          <w:szCs w:val="26"/>
          <w:highlight w:val="yellow"/>
        </w:rPr>
      </w:pPr>
    </w:p>
    <w:p w:rsidR="00790FF1" w:rsidRPr="00FD73D3" w:rsidRDefault="00790FF1" w:rsidP="00790FF1">
      <w:pPr>
        <w:tabs>
          <w:tab w:val="left" w:pos="4020"/>
        </w:tabs>
        <w:ind w:firstLine="540"/>
        <w:rPr>
          <w:sz w:val="26"/>
          <w:szCs w:val="26"/>
        </w:rPr>
      </w:pPr>
      <w:r w:rsidRPr="00FD73D3">
        <w:rPr>
          <w:sz w:val="26"/>
          <w:szCs w:val="26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A94DEB" w:rsidRPr="00FD73D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790FF1" w:rsidP="00E95F9F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 xml:space="preserve">№ </w:t>
            </w:r>
            <w:proofErr w:type="gramStart"/>
            <w:r w:rsidRPr="00FD73D3">
              <w:rPr>
                <w:sz w:val="26"/>
                <w:szCs w:val="26"/>
              </w:rPr>
              <w:t>п</w:t>
            </w:r>
            <w:proofErr w:type="gramEnd"/>
            <w:r w:rsidRPr="00FD73D3">
              <w:rPr>
                <w:sz w:val="26"/>
                <w:szCs w:val="26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790FF1" w:rsidP="00E95F9F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790FF1" w:rsidP="00E95F9F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Результаты голосования</w:t>
            </w:r>
          </w:p>
        </w:tc>
      </w:tr>
      <w:tr w:rsidR="00A94DEB" w:rsidRPr="00FD73D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A94DEB" w:rsidRPr="00FD73D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A94DEB" w:rsidRPr="00FD73D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A94DEB" w:rsidRPr="00FD73D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A94DEB" w:rsidRPr="00FD73D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FD73D3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Полозов И.Г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A94DEB" w:rsidRPr="00FD73D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2E7787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6</w:t>
            </w:r>
            <w:r w:rsidR="00790FF1" w:rsidRPr="00FD73D3">
              <w:rPr>
                <w:sz w:val="26"/>
                <w:szCs w:val="26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A94DEB" w:rsidRPr="00FD73D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FD73D3" w:rsidRDefault="00F93FAF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FD73D3" w:rsidRDefault="00F93FAF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FD73D3" w:rsidRDefault="00F93FAF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A94DEB" w:rsidRPr="00FD73D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F93FAF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8</w:t>
            </w:r>
            <w:r w:rsidR="00790FF1" w:rsidRPr="00FD73D3">
              <w:rPr>
                <w:sz w:val="26"/>
                <w:szCs w:val="26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FD73D3" w:rsidRDefault="00FD73D3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</w:t>
            </w:r>
          </w:p>
        </w:tc>
      </w:tr>
    </w:tbl>
    <w:p w:rsidR="00790FF1" w:rsidRDefault="00790FF1" w:rsidP="00790FF1">
      <w:pPr>
        <w:tabs>
          <w:tab w:val="left" w:pos="4020"/>
        </w:tabs>
        <w:ind w:firstLine="540"/>
        <w:rPr>
          <w:sz w:val="26"/>
          <w:szCs w:val="26"/>
        </w:rPr>
      </w:pPr>
      <w:r w:rsidRPr="00FD73D3">
        <w:rPr>
          <w:sz w:val="26"/>
          <w:szCs w:val="26"/>
        </w:rPr>
        <w:t xml:space="preserve">Итого: за – </w:t>
      </w:r>
      <w:r w:rsidR="00FD73D3">
        <w:rPr>
          <w:sz w:val="26"/>
          <w:szCs w:val="26"/>
        </w:rPr>
        <w:t>7, против – 1</w:t>
      </w:r>
      <w:r w:rsidRPr="00FD73D3">
        <w:rPr>
          <w:sz w:val="26"/>
          <w:szCs w:val="26"/>
        </w:rPr>
        <w:t>, воздержался – 0, отсутствуют – 0.</w:t>
      </w:r>
    </w:p>
    <w:p w:rsidR="00BA5A30" w:rsidRDefault="00BA5A30" w:rsidP="006340C7">
      <w:pPr>
        <w:tabs>
          <w:tab w:val="left" w:pos="4020"/>
        </w:tabs>
        <w:rPr>
          <w:sz w:val="26"/>
          <w:szCs w:val="26"/>
        </w:rPr>
      </w:pPr>
    </w:p>
    <w:p w:rsidR="0050264C" w:rsidRPr="00A33801" w:rsidRDefault="0050264C" w:rsidP="006340C7">
      <w:pPr>
        <w:tabs>
          <w:tab w:val="left" w:pos="4020"/>
        </w:tabs>
        <w:rPr>
          <w:sz w:val="26"/>
          <w:szCs w:val="26"/>
        </w:rPr>
      </w:pPr>
    </w:p>
    <w:p w:rsidR="00B942FC" w:rsidRDefault="006E7BB8" w:rsidP="000949BD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ind w:left="0"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</w:t>
      </w:r>
      <w:r w:rsidR="00B942FC" w:rsidRPr="00515FCE">
        <w:rPr>
          <w:b/>
          <w:bCs/>
          <w:sz w:val="26"/>
          <w:szCs w:val="26"/>
        </w:rPr>
        <w:t xml:space="preserve">СЛУШАЛИ: </w:t>
      </w:r>
      <w:r w:rsidR="000949BD" w:rsidRPr="000949BD">
        <w:rPr>
          <w:b/>
          <w:bCs/>
          <w:sz w:val="26"/>
          <w:szCs w:val="26"/>
        </w:rPr>
        <w:tab/>
        <w:t>О внесении изменений в постановление Департамента энергетики и тарифов Ивановской области от 01.12.2020 № 64-э/1 «Об установлении необходимой валовой выручки и долгосрочных параметров регулирования для ООО «ТСП»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B942FC" w:rsidRPr="00515FCE">
        <w:rPr>
          <w:b/>
          <w:bCs/>
          <w:sz w:val="26"/>
          <w:szCs w:val="26"/>
        </w:rPr>
        <w:t xml:space="preserve"> (Морева, Коннова</w:t>
      </w:r>
      <w:r w:rsidR="00950173">
        <w:rPr>
          <w:b/>
          <w:bCs/>
          <w:sz w:val="26"/>
          <w:szCs w:val="26"/>
        </w:rPr>
        <w:t>, Назарова</w:t>
      </w:r>
      <w:r w:rsidR="00B942FC" w:rsidRPr="00515FCE">
        <w:rPr>
          <w:b/>
          <w:bCs/>
          <w:sz w:val="26"/>
          <w:szCs w:val="26"/>
        </w:rPr>
        <w:t>).</w:t>
      </w:r>
    </w:p>
    <w:p w:rsidR="00950173" w:rsidRPr="00950173" w:rsidRDefault="00950173" w:rsidP="00950173">
      <w:pPr>
        <w:tabs>
          <w:tab w:val="left" w:pos="709"/>
          <w:tab w:val="left" w:pos="851"/>
        </w:tabs>
        <w:jc w:val="both"/>
        <w:rPr>
          <w:b/>
          <w:bCs/>
          <w:sz w:val="26"/>
          <w:szCs w:val="26"/>
        </w:rPr>
      </w:pPr>
    </w:p>
    <w:p w:rsidR="00B942FC" w:rsidRPr="009D60BE" w:rsidRDefault="00B942FC" w:rsidP="00B942F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9D60BE">
        <w:rPr>
          <w:bCs/>
          <w:sz w:val="26"/>
          <w:szCs w:val="26"/>
        </w:rPr>
        <w:t xml:space="preserve">Рассмотрено дело в части корректировки </w:t>
      </w:r>
      <w:r w:rsidRPr="009D60BE">
        <w:rPr>
          <w:sz w:val="26"/>
          <w:szCs w:val="26"/>
        </w:rPr>
        <w:t>НВВ на содерж</w:t>
      </w:r>
      <w:r w:rsidR="006E7BB8">
        <w:rPr>
          <w:sz w:val="26"/>
          <w:szCs w:val="26"/>
        </w:rPr>
        <w:t>ание электрических сетей на 2023</w:t>
      </w:r>
      <w:r w:rsidRPr="009D60BE">
        <w:rPr>
          <w:sz w:val="26"/>
          <w:szCs w:val="26"/>
        </w:rPr>
        <w:t xml:space="preserve"> год, </w:t>
      </w:r>
      <w:r w:rsidRPr="009D60BE">
        <w:rPr>
          <w:bCs/>
          <w:sz w:val="26"/>
          <w:szCs w:val="26"/>
        </w:rPr>
        <w:t>принимаемой в расчет единых (котловых) и индивидуальных тарифов на услуги по передаче электрической энергии (без учета оплаты потерь), для ООО «Т</w:t>
      </w:r>
      <w:r w:rsidR="000949BD">
        <w:rPr>
          <w:bCs/>
          <w:sz w:val="26"/>
          <w:szCs w:val="26"/>
        </w:rPr>
        <w:t>СП</w:t>
      </w:r>
      <w:r w:rsidRPr="009D60BE">
        <w:rPr>
          <w:bCs/>
          <w:sz w:val="26"/>
          <w:szCs w:val="26"/>
        </w:rPr>
        <w:t>» (долгосрочный период регулирования 2021-2025 гг.).</w:t>
      </w:r>
    </w:p>
    <w:p w:rsidR="00B942FC" w:rsidRPr="009D60BE" w:rsidRDefault="00B942FC" w:rsidP="00B942F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В соответствии с проведенной экспертизой установлено, что вышеуказанная сетевая организация соответству</w:t>
      </w:r>
      <w:r w:rsidR="000C03C8">
        <w:rPr>
          <w:sz w:val="26"/>
          <w:szCs w:val="26"/>
        </w:rPr>
        <w:t>е</w:t>
      </w:r>
      <w:r w:rsidRPr="009D60BE">
        <w:rPr>
          <w:sz w:val="26"/>
          <w:szCs w:val="26"/>
        </w:rPr>
        <w:t>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B942FC" w:rsidRPr="009D60BE" w:rsidRDefault="00B942FC" w:rsidP="00B942FC">
      <w:pPr>
        <w:ind w:firstLine="567"/>
        <w:jc w:val="both"/>
        <w:rPr>
          <w:sz w:val="26"/>
          <w:szCs w:val="26"/>
        </w:rPr>
      </w:pPr>
      <w:r w:rsidRPr="009D60BE">
        <w:rPr>
          <w:bCs/>
          <w:sz w:val="26"/>
          <w:szCs w:val="26"/>
        </w:rPr>
        <w:t>Департамент энергетики и тарифов Ивановской области (далее – Департамент) отмечает, что расчет произведен специалистами Департамента в</w:t>
      </w:r>
      <w:r w:rsidRPr="009D60BE">
        <w:rPr>
          <w:sz w:val="26"/>
          <w:szCs w:val="26"/>
        </w:rPr>
        <w:t xml:space="preserve"> соответствии </w:t>
      </w:r>
      <w:proofErr w:type="gramStart"/>
      <w:r w:rsidRPr="009D60BE">
        <w:rPr>
          <w:sz w:val="26"/>
          <w:szCs w:val="26"/>
        </w:rPr>
        <w:t>с</w:t>
      </w:r>
      <w:proofErr w:type="gramEnd"/>
      <w:r w:rsidRPr="009D60BE">
        <w:rPr>
          <w:sz w:val="26"/>
          <w:szCs w:val="26"/>
        </w:rPr>
        <w:t>:</w:t>
      </w:r>
    </w:p>
    <w:p w:rsidR="00B942FC" w:rsidRPr="009D60BE" w:rsidRDefault="00B942FC" w:rsidP="00B942FC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9D60BE">
        <w:rPr>
          <w:bCs/>
          <w:sz w:val="26"/>
          <w:szCs w:val="26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</w:t>
      </w:r>
      <w:r w:rsidR="00F66464">
        <w:rPr>
          <w:bCs/>
          <w:sz w:val="26"/>
          <w:szCs w:val="26"/>
        </w:rPr>
        <w:t>ской Федерации на период до 2025</w:t>
      </w:r>
      <w:r w:rsidRPr="009D60BE">
        <w:rPr>
          <w:bCs/>
          <w:sz w:val="26"/>
          <w:szCs w:val="26"/>
        </w:rPr>
        <w:t xml:space="preserve"> года</w:t>
      </w:r>
      <w:r w:rsidRPr="009D60BE">
        <w:rPr>
          <w:sz w:val="26"/>
          <w:szCs w:val="26"/>
        </w:rPr>
        <w:t>,</w:t>
      </w:r>
    </w:p>
    <w:p w:rsidR="00B942FC" w:rsidRPr="009D60BE" w:rsidRDefault="00B942FC" w:rsidP="00B942FC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 xml:space="preserve"> 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электроэнергетике»,</w:t>
      </w:r>
    </w:p>
    <w:p w:rsidR="00B942FC" w:rsidRPr="009D60BE" w:rsidRDefault="00B942FC" w:rsidP="00B942FC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выручки».</w:t>
      </w:r>
    </w:p>
    <w:p w:rsidR="00B942FC" w:rsidRPr="009D60BE" w:rsidRDefault="00B942FC" w:rsidP="00B942FC">
      <w:pPr>
        <w:ind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Основные показатели деятельност</w:t>
      </w:r>
      <w:proofErr w:type="gramStart"/>
      <w:r w:rsidRPr="009D60BE">
        <w:rPr>
          <w:sz w:val="26"/>
          <w:szCs w:val="26"/>
        </w:rPr>
        <w:t xml:space="preserve">и </w:t>
      </w:r>
      <w:r w:rsidRPr="009D60BE">
        <w:rPr>
          <w:bCs/>
          <w:sz w:val="26"/>
          <w:szCs w:val="26"/>
        </w:rPr>
        <w:t>ООО</w:t>
      </w:r>
      <w:proofErr w:type="gramEnd"/>
      <w:r w:rsidRPr="009D60BE">
        <w:rPr>
          <w:bCs/>
          <w:sz w:val="26"/>
          <w:szCs w:val="26"/>
        </w:rPr>
        <w:t xml:space="preserve"> «Т</w:t>
      </w:r>
      <w:r w:rsidR="000949BD">
        <w:rPr>
          <w:bCs/>
          <w:sz w:val="26"/>
          <w:szCs w:val="26"/>
        </w:rPr>
        <w:t>СП</w:t>
      </w:r>
      <w:r w:rsidRPr="009D60BE">
        <w:rPr>
          <w:bCs/>
          <w:sz w:val="26"/>
          <w:szCs w:val="26"/>
        </w:rPr>
        <w:t xml:space="preserve">», </w:t>
      </w:r>
      <w:r w:rsidRPr="009D60BE">
        <w:rPr>
          <w:sz w:val="26"/>
          <w:szCs w:val="26"/>
        </w:rPr>
        <w:t>принимаемые в расчет единых (котловых) и индивидуальных тарифов на услуги по передаче электрической энергии на 202</w:t>
      </w:r>
      <w:r w:rsidR="00AD339B">
        <w:rPr>
          <w:sz w:val="26"/>
          <w:szCs w:val="26"/>
        </w:rPr>
        <w:t>3</w:t>
      </w:r>
      <w:r w:rsidRPr="009D60BE">
        <w:rPr>
          <w:sz w:val="26"/>
          <w:szCs w:val="26"/>
        </w:rPr>
        <w:t xml:space="preserve"> год, а также принимаемые при установлении НВВ, приведены в приложениях к протоколу.</w:t>
      </w:r>
    </w:p>
    <w:p w:rsidR="00B942FC" w:rsidRPr="009D60BE" w:rsidRDefault="00B942FC" w:rsidP="00B942FC">
      <w:pPr>
        <w:ind w:firstLine="567"/>
        <w:jc w:val="both"/>
        <w:rPr>
          <w:bCs/>
          <w:sz w:val="26"/>
          <w:szCs w:val="26"/>
        </w:rPr>
      </w:pPr>
      <w:r w:rsidRPr="009D60BE">
        <w:rPr>
          <w:bCs/>
          <w:sz w:val="26"/>
          <w:szCs w:val="26"/>
        </w:rPr>
        <w:t>По результатам экспертизы подготовлены расчетные материалы и соответствующее экспертное заключение.</w:t>
      </w:r>
    </w:p>
    <w:p w:rsidR="00B942FC" w:rsidRPr="005639E3" w:rsidRDefault="00B942FC" w:rsidP="00B942FC">
      <w:pPr>
        <w:ind w:firstLine="567"/>
        <w:jc w:val="both"/>
        <w:rPr>
          <w:bCs/>
          <w:sz w:val="26"/>
          <w:szCs w:val="26"/>
        </w:rPr>
      </w:pPr>
      <w:r w:rsidRPr="005639E3">
        <w:rPr>
          <w:bCs/>
          <w:sz w:val="26"/>
          <w:szCs w:val="26"/>
        </w:rPr>
        <w:t xml:space="preserve">Необходимо внести соответствующие изменения в постановление Департамента энергетики и тарифов Ивановской области </w:t>
      </w:r>
      <w:r w:rsidR="000949BD" w:rsidRPr="000949BD">
        <w:rPr>
          <w:bCs/>
          <w:sz w:val="26"/>
          <w:szCs w:val="26"/>
        </w:rPr>
        <w:t>от 01.12.2020 № 64-э/1 «Об установлении необходимой валовой выручки и долгосрочных параметров регулирования для ООО «ТСП»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Pr="005639E3">
        <w:rPr>
          <w:bCs/>
          <w:sz w:val="26"/>
          <w:szCs w:val="26"/>
        </w:rPr>
        <w:t>.</w:t>
      </w:r>
    </w:p>
    <w:p w:rsidR="00B942FC" w:rsidRPr="001512A5" w:rsidRDefault="00B942FC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1512A5">
        <w:rPr>
          <w:bCs/>
          <w:sz w:val="26"/>
          <w:szCs w:val="26"/>
        </w:rPr>
        <w:t>ООО «Т</w:t>
      </w:r>
      <w:r w:rsidR="000949BD" w:rsidRPr="001512A5">
        <w:rPr>
          <w:bCs/>
          <w:sz w:val="26"/>
          <w:szCs w:val="26"/>
        </w:rPr>
        <w:t>СП</w:t>
      </w:r>
      <w:r w:rsidRPr="001512A5">
        <w:rPr>
          <w:bCs/>
          <w:sz w:val="26"/>
          <w:szCs w:val="26"/>
        </w:rPr>
        <w:t xml:space="preserve">» </w:t>
      </w:r>
      <w:r w:rsidRPr="00A0421C">
        <w:rPr>
          <w:bCs/>
          <w:sz w:val="26"/>
          <w:szCs w:val="26"/>
        </w:rPr>
        <w:t xml:space="preserve">письмом от </w:t>
      </w:r>
      <w:r w:rsidR="00A0421C" w:rsidRPr="00A0421C">
        <w:rPr>
          <w:bCs/>
          <w:sz w:val="26"/>
          <w:szCs w:val="26"/>
        </w:rPr>
        <w:t>11</w:t>
      </w:r>
      <w:r w:rsidRPr="00A0421C">
        <w:rPr>
          <w:bCs/>
          <w:sz w:val="26"/>
          <w:szCs w:val="26"/>
        </w:rPr>
        <w:t>.</w:t>
      </w:r>
      <w:r w:rsidR="001512A5" w:rsidRPr="00A0421C">
        <w:rPr>
          <w:bCs/>
          <w:sz w:val="26"/>
          <w:szCs w:val="26"/>
        </w:rPr>
        <w:t>10</w:t>
      </w:r>
      <w:r w:rsidRPr="00A0421C">
        <w:rPr>
          <w:bCs/>
          <w:sz w:val="26"/>
          <w:szCs w:val="26"/>
        </w:rPr>
        <w:t>.</w:t>
      </w:r>
      <w:r w:rsidR="00A0421C" w:rsidRPr="00A0421C">
        <w:rPr>
          <w:bCs/>
          <w:sz w:val="26"/>
          <w:szCs w:val="26"/>
        </w:rPr>
        <w:t>2022</w:t>
      </w:r>
      <w:r w:rsidRPr="00A0421C">
        <w:rPr>
          <w:bCs/>
          <w:sz w:val="26"/>
          <w:szCs w:val="26"/>
        </w:rPr>
        <w:t xml:space="preserve"> № </w:t>
      </w:r>
      <w:r w:rsidR="00691745" w:rsidRPr="00A0421C">
        <w:rPr>
          <w:bCs/>
          <w:sz w:val="26"/>
          <w:szCs w:val="26"/>
        </w:rPr>
        <w:t>1</w:t>
      </w:r>
      <w:r w:rsidR="00A0421C" w:rsidRPr="00A0421C">
        <w:rPr>
          <w:bCs/>
          <w:sz w:val="26"/>
          <w:szCs w:val="26"/>
        </w:rPr>
        <w:t>057</w:t>
      </w:r>
      <w:r w:rsidRPr="00A0421C">
        <w:rPr>
          <w:bCs/>
          <w:sz w:val="26"/>
          <w:szCs w:val="26"/>
        </w:rPr>
        <w:t xml:space="preserve"> (прилагается к настоящему протоколу) согласовывает предлагаемую к утверждению корректировку</w:t>
      </w:r>
      <w:r w:rsidRPr="001512A5">
        <w:rPr>
          <w:bCs/>
          <w:sz w:val="26"/>
          <w:szCs w:val="26"/>
        </w:rPr>
        <w:t xml:space="preserve"> НВВ, участвующую в расчете тарифов на услуги по передаче электрической энергии (мощности) на 202</w:t>
      </w:r>
      <w:r w:rsidR="00AD339B">
        <w:rPr>
          <w:bCs/>
          <w:sz w:val="26"/>
          <w:szCs w:val="26"/>
        </w:rPr>
        <w:t>3</w:t>
      </w:r>
      <w:r w:rsidRPr="001512A5">
        <w:rPr>
          <w:bCs/>
          <w:sz w:val="26"/>
          <w:szCs w:val="26"/>
        </w:rPr>
        <w:t xml:space="preserve"> год.</w:t>
      </w:r>
    </w:p>
    <w:p w:rsidR="00B942FC" w:rsidRDefault="00B942FC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A0421C">
        <w:rPr>
          <w:bCs/>
          <w:sz w:val="26"/>
          <w:szCs w:val="26"/>
        </w:rPr>
        <w:t>Ассоциация «НП Совет рынка» в отношении ООО «Т</w:t>
      </w:r>
      <w:r w:rsidR="000949BD" w:rsidRPr="00A0421C">
        <w:rPr>
          <w:bCs/>
          <w:sz w:val="26"/>
          <w:szCs w:val="26"/>
        </w:rPr>
        <w:t>СП</w:t>
      </w:r>
      <w:r w:rsidRPr="00A0421C">
        <w:rPr>
          <w:bCs/>
          <w:sz w:val="26"/>
          <w:szCs w:val="26"/>
        </w:rPr>
        <w:t>» голосует по данному вопросу</w:t>
      </w:r>
      <w:r w:rsidR="00A0421C" w:rsidRPr="00A0421C">
        <w:rPr>
          <w:bCs/>
          <w:sz w:val="26"/>
          <w:szCs w:val="26"/>
        </w:rPr>
        <w:t xml:space="preserve"> </w:t>
      </w:r>
      <w:r w:rsidR="00A0421C" w:rsidRPr="004A3F1A">
        <w:rPr>
          <w:bCs/>
          <w:sz w:val="26"/>
          <w:szCs w:val="26"/>
        </w:rPr>
        <w:t>«воздержался</w:t>
      </w:r>
      <w:r w:rsidR="004A3F1A">
        <w:rPr>
          <w:bCs/>
          <w:sz w:val="26"/>
          <w:szCs w:val="26"/>
        </w:rPr>
        <w:t>», так как:</w:t>
      </w:r>
    </w:p>
    <w:p w:rsidR="004A3F1A" w:rsidRPr="009B651F" w:rsidRDefault="004A3F1A" w:rsidP="001A211D">
      <w:pPr>
        <w:widowControl/>
        <w:tabs>
          <w:tab w:val="left" w:pos="709"/>
          <w:tab w:val="left" w:pos="993"/>
          <w:tab w:val="left" w:pos="2793"/>
        </w:tabs>
        <w:suppressAutoHyphens/>
        <w:ind w:firstLine="567"/>
        <w:jc w:val="both"/>
        <w:rPr>
          <w:bCs/>
          <w:sz w:val="26"/>
          <w:szCs w:val="26"/>
        </w:rPr>
      </w:pPr>
      <w:r w:rsidRPr="009B651F">
        <w:rPr>
          <w:bCs/>
          <w:sz w:val="26"/>
          <w:szCs w:val="26"/>
        </w:rPr>
        <w:t xml:space="preserve">1) решения принимаются до опубликования до 01.11.2022 в соответствии с пунктом 30(1) Правил </w:t>
      </w:r>
      <w:r w:rsidRPr="009B651F">
        <w:rPr>
          <w:sz w:val="26"/>
          <w:szCs w:val="26"/>
          <w:lang w:eastAsia="en-US"/>
        </w:rPr>
        <w:t>государственного регулирования, утвержденных ПП РФ от 29.12.2011 № 1178 (далее – Правила)</w:t>
      </w:r>
      <w:r w:rsidR="001A211D">
        <w:rPr>
          <w:sz w:val="26"/>
          <w:szCs w:val="26"/>
          <w:lang w:eastAsia="en-US"/>
        </w:rPr>
        <w:t>,</w:t>
      </w:r>
      <w:r w:rsidRPr="009B651F">
        <w:rPr>
          <w:sz w:val="26"/>
          <w:szCs w:val="26"/>
          <w:lang w:eastAsia="en-US"/>
        </w:rPr>
        <w:t xml:space="preserve"> </w:t>
      </w:r>
      <w:r w:rsidRPr="009B651F">
        <w:rPr>
          <w:sz w:val="26"/>
          <w:szCs w:val="26"/>
        </w:rPr>
        <w:t>информации о территориальных сетевых организациях, в отношении которых устанавливаются (пересматриваются) цены (тарифы) на услуги по передаче электрической энергии на очередной расчетный период регулирования;</w:t>
      </w:r>
    </w:p>
    <w:p w:rsidR="004A3F1A" w:rsidRPr="009B651F" w:rsidRDefault="004A3F1A" w:rsidP="004A3F1A">
      <w:pPr>
        <w:pStyle w:val="aa"/>
        <w:widowControl/>
        <w:numPr>
          <w:ilvl w:val="0"/>
          <w:numId w:val="24"/>
        </w:numPr>
        <w:tabs>
          <w:tab w:val="left" w:pos="142"/>
          <w:tab w:val="left" w:pos="709"/>
          <w:tab w:val="left" w:pos="851"/>
        </w:tabs>
        <w:suppressAutoHyphens/>
        <w:ind w:left="0" w:firstLine="705"/>
        <w:jc w:val="both"/>
        <w:rPr>
          <w:bCs/>
          <w:sz w:val="26"/>
          <w:szCs w:val="26"/>
        </w:rPr>
      </w:pPr>
      <w:proofErr w:type="gramStart"/>
      <w:r w:rsidRPr="009B651F">
        <w:rPr>
          <w:sz w:val="26"/>
          <w:szCs w:val="26"/>
          <w:lang w:eastAsia="en-US"/>
        </w:rPr>
        <w:t>в экспертных заключениях отсутствует информация: о соответствии представленных документов ТСО пункту 17 Правил;</w:t>
      </w:r>
      <w:r w:rsidRPr="009B651F">
        <w:rPr>
          <w:bCs/>
          <w:sz w:val="26"/>
          <w:szCs w:val="26"/>
        </w:rPr>
        <w:t xml:space="preserve"> содержит не в полном объеме сведения</w:t>
      </w:r>
      <w:r w:rsidR="001A211D">
        <w:rPr>
          <w:bCs/>
          <w:sz w:val="26"/>
          <w:szCs w:val="26"/>
        </w:rPr>
        <w:t>,</w:t>
      </w:r>
      <w:r w:rsidRPr="009B651F">
        <w:rPr>
          <w:bCs/>
          <w:sz w:val="26"/>
          <w:szCs w:val="26"/>
        </w:rPr>
        <w:t xml:space="preserve"> предусмотренные пунктом 23 Правил; об анализе исполнения сметы, </w:t>
      </w:r>
      <w:r w:rsidRPr="009B651F">
        <w:rPr>
          <w:bCs/>
          <w:sz w:val="26"/>
          <w:szCs w:val="26"/>
        </w:rPr>
        <w:lastRenderedPageBreak/>
        <w:t>утвержденной на 2021 года, а также достижении основных технико-экономических показателей; о подходе в части принятия амортизационных отчислений в соответствии с рекомендациями, представленными в письме ФАС России от 05.08.2022 № МШ/74227/22;</w:t>
      </w:r>
      <w:proofErr w:type="gramEnd"/>
    </w:p>
    <w:p w:rsidR="004A3F1A" w:rsidRPr="009B651F" w:rsidRDefault="004A3F1A" w:rsidP="004A3F1A">
      <w:pPr>
        <w:pStyle w:val="aa"/>
        <w:widowControl/>
        <w:numPr>
          <w:ilvl w:val="0"/>
          <w:numId w:val="24"/>
        </w:numPr>
        <w:tabs>
          <w:tab w:val="left" w:pos="142"/>
          <w:tab w:val="left" w:pos="709"/>
          <w:tab w:val="left" w:pos="851"/>
        </w:tabs>
        <w:suppressAutoHyphens/>
        <w:ind w:left="0" w:firstLine="705"/>
        <w:jc w:val="both"/>
        <w:rPr>
          <w:bCs/>
          <w:sz w:val="26"/>
          <w:szCs w:val="26"/>
        </w:rPr>
      </w:pPr>
      <w:r w:rsidRPr="009B651F">
        <w:rPr>
          <w:bCs/>
          <w:sz w:val="26"/>
          <w:szCs w:val="26"/>
        </w:rPr>
        <w:t xml:space="preserve">в экспертном заключении по ТСО – ООО «ТСП» отсутствует информация о документации, на основании которой произведен анализ и скорректирован </w:t>
      </w:r>
      <w:r w:rsidRPr="009B651F">
        <w:rPr>
          <w:sz w:val="26"/>
          <w:szCs w:val="26"/>
        </w:rPr>
        <w:t>недополученный доход от технологического присоединения льготных категорий потребителей;</w:t>
      </w:r>
    </w:p>
    <w:p w:rsidR="004A3F1A" w:rsidRPr="009B651F" w:rsidRDefault="004A3F1A" w:rsidP="004A3F1A">
      <w:pPr>
        <w:pStyle w:val="aa"/>
        <w:widowControl/>
        <w:numPr>
          <w:ilvl w:val="0"/>
          <w:numId w:val="24"/>
        </w:numPr>
        <w:tabs>
          <w:tab w:val="left" w:pos="142"/>
          <w:tab w:val="left" w:pos="709"/>
          <w:tab w:val="left" w:pos="851"/>
        </w:tabs>
        <w:suppressAutoHyphens/>
        <w:ind w:left="0" w:firstLine="705"/>
        <w:jc w:val="both"/>
        <w:rPr>
          <w:bCs/>
          <w:sz w:val="26"/>
          <w:szCs w:val="26"/>
        </w:rPr>
      </w:pPr>
      <w:proofErr w:type="gramStart"/>
      <w:r w:rsidRPr="009B651F">
        <w:rPr>
          <w:bCs/>
          <w:sz w:val="26"/>
          <w:szCs w:val="26"/>
        </w:rPr>
        <w:t>в экспертных заключениях отсутствует: информация о величине потребности на</w:t>
      </w:r>
      <w:r w:rsidRPr="009B651F">
        <w:rPr>
          <w:sz w:val="26"/>
          <w:szCs w:val="26"/>
        </w:rPr>
        <w:t xml:space="preserve"> финансирование мероприятий по организации интеллектуального учета в соответствии с положениями п.5 ст.37 Федерального закона № 35-ФЗ на 2023 год, за истекший период</w:t>
      </w:r>
      <w:r w:rsidRPr="009B651F">
        <w:rPr>
          <w:bCs/>
          <w:sz w:val="26"/>
          <w:szCs w:val="26"/>
        </w:rPr>
        <w:t>;</w:t>
      </w:r>
      <w:r w:rsidRPr="009B651F">
        <w:rPr>
          <w:sz w:val="26"/>
          <w:szCs w:val="26"/>
        </w:rPr>
        <w:t xml:space="preserve"> </w:t>
      </w:r>
      <w:r w:rsidRPr="009B651F">
        <w:rPr>
          <w:bCs/>
          <w:sz w:val="26"/>
          <w:szCs w:val="26"/>
        </w:rPr>
        <w:t>информация о реализации программ энергоэффективности, в том числе об осуществленной проверке по ее реализации в соответствии с требованиями, утвержденными постановлением Департамента от 31.12.2015 №148-п (ред. от 14.01.2022);</w:t>
      </w:r>
      <w:proofErr w:type="gramEnd"/>
    </w:p>
    <w:p w:rsidR="004A3F1A" w:rsidRPr="009B651F" w:rsidRDefault="004A3F1A" w:rsidP="004A3F1A">
      <w:pPr>
        <w:pStyle w:val="aa"/>
        <w:widowControl/>
        <w:numPr>
          <w:ilvl w:val="0"/>
          <w:numId w:val="24"/>
        </w:numPr>
        <w:tabs>
          <w:tab w:val="left" w:pos="142"/>
          <w:tab w:val="left" w:pos="709"/>
          <w:tab w:val="left" w:pos="851"/>
        </w:tabs>
        <w:suppressAutoHyphens/>
        <w:ind w:left="0" w:firstLine="705"/>
        <w:jc w:val="both"/>
        <w:rPr>
          <w:bCs/>
          <w:sz w:val="26"/>
          <w:szCs w:val="26"/>
        </w:rPr>
      </w:pPr>
      <w:r w:rsidRPr="009B651F">
        <w:rPr>
          <w:bCs/>
          <w:sz w:val="26"/>
          <w:szCs w:val="26"/>
        </w:rPr>
        <w:t>в экспертных заключениях указано, что по рассматриваемым организациям оказание услуг по передаче не является основным видом деятельности, при этом в заключениях отсутствует информация о принципе распределения косвенных расходов между видами деятельности;</w:t>
      </w:r>
    </w:p>
    <w:p w:rsidR="004A3F1A" w:rsidRPr="009B651F" w:rsidRDefault="004A3F1A" w:rsidP="004A3F1A">
      <w:pPr>
        <w:pStyle w:val="aa"/>
        <w:widowControl/>
        <w:numPr>
          <w:ilvl w:val="0"/>
          <w:numId w:val="24"/>
        </w:numPr>
        <w:tabs>
          <w:tab w:val="left" w:pos="142"/>
          <w:tab w:val="left" w:pos="709"/>
          <w:tab w:val="left" w:pos="851"/>
        </w:tabs>
        <w:suppressAutoHyphens/>
        <w:ind w:left="0" w:firstLine="705"/>
        <w:jc w:val="both"/>
        <w:rPr>
          <w:bCs/>
          <w:sz w:val="26"/>
          <w:szCs w:val="26"/>
        </w:rPr>
      </w:pPr>
      <w:r w:rsidRPr="009B651F">
        <w:rPr>
          <w:bCs/>
          <w:sz w:val="26"/>
          <w:szCs w:val="26"/>
        </w:rPr>
        <w:t>расходы на отчисления и социальные нужды, учитываемые в составе неподконтрольных расходов, по мнению Ассоциации</w:t>
      </w:r>
      <w:r w:rsidR="00E424F9">
        <w:rPr>
          <w:bCs/>
          <w:sz w:val="26"/>
          <w:szCs w:val="26"/>
        </w:rPr>
        <w:t>,</w:t>
      </w:r>
      <w:r w:rsidRPr="009B651F">
        <w:rPr>
          <w:bCs/>
          <w:sz w:val="26"/>
          <w:szCs w:val="26"/>
        </w:rPr>
        <w:t xml:space="preserve"> целесообразно принимать исходя из фактических отчислений за истекший период;</w:t>
      </w:r>
    </w:p>
    <w:p w:rsidR="006F1364" w:rsidRPr="009B651F" w:rsidRDefault="004A3F1A" w:rsidP="00A4262F">
      <w:pPr>
        <w:pStyle w:val="aa"/>
        <w:widowControl/>
        <w:numPr>
          <w:ilvl w:val="0"/>
          <w:numId w:val="24"/>
        </w:numPr>
        <w:tabs>
          <w:tab w:val="left" w:pos="142"/>
          <w:tab w:val="left" w:pos="709"/>
          <w:tab w:val="left" w:pos="851"/>
        </w:tabs>
        <w:suppressAutoHyphens/>
        <w:ind w:left="0" w:firstLine="705"/>
        <w:jc w:val="both"/>
        <w:rPr>
          <w:bCs/>
          <w:sz w:val="26"/>
          <w:szCs w:val="26"/>
        </w:rPr>
      </w:pPr>
      <w:r w:rsidRPr="009B651F">
        <w:rPr>
          <w:sz w:val="26"/>
          <w:szCs w:val="26"/>
        </w:rPr>
        <w:t xml:space="preserve">при расчете корректировки за истекший период (2021 г.) регулирующим органом используется ИПЦ на год </w:t>
      </w:r>
      <w:r w:rsidRPr="009B651F">
        <w:rPr>
          <w:sz w:val="26"/>
          <w:szCs w:val="26"/>
          <w:lang w:val="en-US"/>
        </w:rPr>
        <w:t>i</w:t>
      </w:r>
      <w:r w:rsidRPr="009B651F">
        <w:rPr>
          <w:sz w:val="26"/>
          <w:szCs w:val="26"/>
        </w:rPr>
        <w:t>-1 (на 2022 г.) на уровне определенного прогнозом в размере 13,9 %, а не на уровне ИПЦ</w:t>
      </w:r>
      <w:r w:rsidR="001A211D">
        <w:rPr>
          <w:sz w:val="26"/>
          <w:szCs w:val="26"/>
        </w:rPr>
        <w:t>,</w:t>
      </w:r>
      <w:r w:rsidRPr="009B651F">
        <w:rPr>
          <w:sz w:val="26"/>
          <w:szCs w:val="26"/>
        </w:rPr>
        <w:t xml:space="preserve"> определенного при утверждении тарифов на 2022 г., который был учтен при утверждении НВВ на 2022 г. в размере 4,3 %, как предусматривают Методические указания от 17.02.2012 № 98-э.</w:t>
      </w:r>
    </w:p>
    <w:p w:rsidR="006F1364" w:rsidRPr="009B651F" w:rsidRDefault="004A3F1A" w:rsidP="006F1364">
      <w:pPr>
        <w:pStyle w:val="aa"/>
        <w:widowControl/>
        <w:tabs>
          <w:tab w:val="left" w:pos="142"/>
          <w:tab w:val="left" w:pos="709"/>
          <w:tab w:val="left" w:pos="851"/>
        </w:tabs>
        <w:suppressAutoHyphens/>
        <w:ind w:left="0" w:firstLine="705"/>
        <w:jc w:val="both"/>
        <w:rPr>
          <w:bCs/>
          <w:sz w:val="26"/>
          <w:szCs w:val="26"/>
        </w:rPr>
      </w:pPr>
      <w:proofErr w:type="gramStart"/>
      <w:r w:rsidRPr="009B651F">
        <w:rPr>
          <w:bCs/>
          <w:sz w:val="26"/>
          <w:szCs w:val="26"/>
        </w:rPr>
        <w:t>Департамент отмечает следующее</w:t>
      </w:r>
      <w:r w:rsidR="00A4262F" w:rsidRPr="009B651F">
        <w:rPr>
          <w:bCs/>
          <w:sz w:val="26"/>
          <w:szCs w:val="26"/>
        </w:rPr>
        <w:t>, что положения п. 30(1) Правил государственного регулирования устанавливают только предельный срок публикации информации о территориальных сетевых организациях, в отношении которых устанавливаются (пересматриваются) цены (тарифы) на услуги по передаче электрической энергии на очередной расчетный период регулирования, а также о территориальных сетевых организациях, оказывающих услуги по передаче электрической энергии в текущем расчетном периоде регулирования, в отношении которых не</w:t>
      </w:r>
      <w:proofErr w:type="gramEnd"/>
      <w:r w:rsidR="00A4262F" w:rsidRPr="009B651F">
        <w:rPr>
          <w:bCs/>
          <w:sz w:val="26"/>
          <w:szCs w:val="26"/>
        </w:rPr>
        <w:t xml:space="preserve"> устанавливаются (не пересматриваются) цены (тарифы) на услуги по передаче электрической энергии на очередной расчетный период регулирования. Во исполнение подпункта 8 пункта 23 Правил экспертное заключение ООО «ТСП» содержит а</w:t>
      </w:r>
      <w:r w:rsidR="001A211D">
        <w:rPr>
          <w:bCs/>
          <w:sz w:val="26"/>
          <w:szCs w:val="26"/>
        </w:rPr>
        <w:t>нализ соответствия организации К</w:t>
      </w:r>
      <w:r w:rsidR="00A4262F" w:rsidRPr="009B651F">
        <w:rPr>
          <w:bCs/>
          <w:sz w:val="26"/>
          <w:szCs w:val="26"/>
        </w:rPr>
        <w:t>ритериям отнесения владельцев объектов электросетевого хозяйства к территориальным сетевым организациям.</w:t>
      </w:r>
    </w:p>
    <w:p w:rsidR="0021547D" w:rsidRPr="009B651F" w:rsidRDefault="001A211D" w:rsidP="006F1364">
      <w:pPr>
        <w:pStyle w:val="aa"/>
        <w:widowControl/>
        <w:tabs>
          <w:tab w:val="left" w:pos="142"/>
          <w:tab w:val="left" w:pos="709"/>
          <w:tab w:val="left" w:pos="851"/>
        </w:tabs>
        <w:suppressAutoHyphens/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части</w:t>
      </w:r>
      <w:r w:rsidR="0021547D" w:rsidRPr="009B651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 </w:t>
      </w:r>
      <w:r w:rsidR="0021547D" w:rsidRPr="009B651F">
        <w:rPr>
          <w:bCs/>
          <w:sz w:val="26"/>
          <w:szCs w:val="26"/>
        </w:rPr>
        <w:t xml:space="preserve">замечания </w:t>
      </w:r>
      <w:r>
        <w:rPr>
          <w:bCs/>
          <w:sz w:val="26"/>
          <w:szCs w:val="26"/>
        </w:rPr>
        <w:t xml:space="preserve">об </w:t>
      </w:r>
      <w:r w:rsidR="0021547D" w:rsidRPr="009B651F">
        <w:rPr>
          <w:bCs/>
          <w:sz w:val="26"/>
          <w:szCs w:val="26"/>
        </w:rPr>
        <w:t>отсутстви</w:t>
      </w:r>
      <w:r>
        <w:rPr>
          <w:bCs/>
          <w:sz w:val="26"/>
          <w:szCs w:val="26"/>
        </w:rPr>
        <w:t>и в экспертном заключении ряда</w:t>
      </w:r>
      <w:r w:rsidR="0021547D" w:rsidRPr="009B651F">
        <w:rPr>
          <w:bCs/>
          <w:sz w:val="26"/>
          <w:szCs w:val="26"/>
        </w:rPr>
        <w:t xml:space="preserve"> сведений, предусмотренных пунктом 23 Правил</w:t>
      </w:r>
      <w:r>
        <w:rPr>
          <w:bCs/>
          <w:sz w:val="26"/>
          <w:szCs w:val="26"/>
        </w:rPr>
        <w:t>,</w:t>
      </w:r>
      <w:r w:rsidR="0021547D" w:rsidRPr="009B651F">
        <w:rPr>
          <w:bCs/>
          <w:sz w:val="26"/>
          <w:szCs w:val="26"/>
        </w:rPr>
        <w:t xml:space="preserve"> </w:t>
      </w:r>
      <w:r w:rsidRPr="001A211D">
        <w:rPr>
          <w:bCs/>
          <w:sz w:val="26"/>
          <w:szCs w:val="26"/>
        </w:rPr>
        <w:t>Департамент отмечает</w:t>
      </w:r>
      <w:r>
        <w:rPr>
          <w:bCs/>
          <w:sz w:val="26"/>
          <w:szCs w:val="26"/>
        </w:rPr>
        <w:t>, что</w:t>
      </w:r>
      <w:r w:rsidRPr="001A211D">
        <w:rPr>
          <w:bCs/>
          <w:sz w:val="26"/>
          <w:szCs w:val="26"/>
        </w:rPr>
        <w:t xml:space="preserve"> </w:t>
      </w:r>
      <w:r w:rsidR="0021547D" w:rsidRPr="009B651F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>э</w:t>
      </w:r>
      <w:r w:rsidR="0021547D" w:rsidRPr="009B651F">
        <w:rPr>
          <w:bCs/>
          <w:sz w:val="26"/>
          <w:szCs w:val="26"/>
        </w:rPr>
        <w:t>кспертном заключении</w:t>
      </w:r>
      <w:r>
        <w:rPr>
          <w:bCs/>
          <w:sz w:val="26"/>
          <w:szCs w:val="26"/>
        </w:rPr>
        <w:t xml:space="preserve"> соответствующая информация</w:t>
      </w:r>
      <w:r w:rsidR="0021547D" w:rsidRPr="009B651F">
        <w:rPr>
          <w:bCs/>
          <w:sz w:val="26"/>
          <w:szCs w:val="26"/>
        </w:rPr>
        <w:t xml:space="preserve"> дополнен</w:t>
      </w:r>
      <w:r>
        <w:rPr>
          <w:bCs/>
          <w:sz w:val="26"/>
          <w:szCs w:val="26"/>
        </w:rPr>
        <w:t>а</w:t>
      </w:r>
      <w:r w:rsidR="0021547D" w:rsidRPr="009B651F">
        <w:rPr>
          <w:bCs/>
          <w:sz w:val="26"/>
          <w:szCs w:val="26"/>
        </w:rPr>
        <w:t>.</w:t>
      </w:r>
    </w:p>
    <w:p w:rsidR="00817FB8" w:rsidRPr="009B651F" w:rsidRDefault="00817FB8" w:rsidP="001938D2">
      <w:pPr>
        <w:pStyle w:val="aa"/>
        <w:tabs>
          <w:tab w:val="left" w:pos="0"/>
        </w:tabs>
        <w:suppressAutoHyphens/>
        <w:ind w:left="0" w:firstLine="720"/>
        <w:jc w:val="both"/>
        <w:rPr>
          <w:b/>
          <w:bCs/>
          <w:sz w:val="26"/>
          <w:szCs w:val="26"/>
        </w:rPr>
      </w:pPr>
      <w:r w:rsidRPr="009B651F">
        <w:rPr>
          <w:bCs/>
          <w:sz w:val="26"/>
          <w:szCs w:val="26"/>
        </w:rPr>
        <w:t>По статье «Отчисления на социальные нужды» Департамент отмечает, что расходы по данной статье составляют 5 951,14</w:t>
      </w:r>
      <w:r w:rsidRPr="009B651F">
        <w:rPr>
          <w:b/>
          <w:bCs/>
          <w:sz w:val="26"/>
          <w:szCs w:val="26"/>
        </w:rPr>
        <w:t xml:space="preserve"> </w:t>
      </w:r>
      <w:r w:rsidRPr="009B651F">
        <w:rPr>
          <w:bCs/>
          <w:sz w:val="26"/>
          <w:szCs w:val="26"/>
        </w:rPr>
        <w:t>тыс. руб., что составляет 30,40% от заработной платы:</w:t>
      </w:r>
    </w:p>
    <w:p w:rsidR="00817FB8" w:rsidRPr="009B651F" w:rsidRDefault="00817FB8" w:rsidP="001938D2">
      <w:pPr>
        <w:pStyle w:val="aa"/>
        <w:tabs>
          <w:tab w:val="left" w:pos="0"/>
        </w:tabs>
        <w:suppressAutoHyphens/>
        <w:ind w:left="0" w:firstLine="720"/>
        <w:jc w:val="both"/>
        <w:rPr>
          <w:bCs/>
          <w:sz w:val="26"/>
          <w:szCs w:val="26"/>
        </w:rPr>
      </w:pPr>
      <w:r w:rsidRPr="009B651F">
        <w:rPr>
          <w:bCs/>
          <w:sz w:val="26"/>
          <w:szCs w:val="26"/>
        </w:rPr>
        <w:t>- Пенсионный фонд Российской Федерации – 22 %;</w:t>
      </w:r>
    </w:p>
    <w:p w:rsidR="00817FB8" w:rsidRPr="009B651F" w:rsidRDefault="00817FB8" w:rsidP="001938D2">
      <w:pPr>
        <w:pStyle w:val="aa"/>
        <w:tabs>
          <w:tab w:val="left" w:pos="0"/>
        </w:tabs>
        <w:suppressAutoHyphens/>
        <w:ind w:left="0" w:firstLine="720"/>
        <w:jc w:val="both"/>
        <w:rPr>
          <w:bCs/>
          <w:sz w:val="26"/>
          <w:szCs w:val="26"/>
        </w:rPr>
      </w:pPr>
      <w:r w:rsidRPr="009B651F">
        <w:rPr>
          <w:bCs/>
          <w:sz w:val="26"/>
          <w:szCs w:val="26"/>
        </w:rPr>
        <w:t>- Фонд социального страхования РФ – 2,9 %;</w:t>
      </w:r>
    </w:p>
    <w:p w:rsidR="00817FB8" w:rsidRPr="009B651F" w:rsidRDefault="00817FB8" w:rsidP="001938D2">
      <w:pPr>
        <w:pStyle w:val="aa"/>
        <w:tabs>
          <w:tab w:val="left" w:pos="0"/>
        </w:tabs>
        <w:suppressAutoHyphens/>
        <w:ind w:left="0" w:firstLine="720"/>
        <w:jc w:val="both"/>
        <w:rPr>
          <w:bCs/>
          <w:sz w:val="26"/>
          <w:szCs w:val="26"/>
        </w:rPr>
      </w:pPr>
      <w:r w:rsidRPr="009B651F">
        <w:rPr>
          <w:bCs/>
          <w:sz w:val="26"/>
          <w:szCs w:val="26"/>
        </w:rPr>
        <w:t>- Федеральный фонд обязательного медицинского страхования – 5,1 %.</w:t>
      </w:r>
    </w:p>
    <w:p w:rsidR="00817FB8" w:rsidRPr="009B651F" w:rsidRDefault="00817FB8" w:rsidP="001938D2">
      <w:pPr>
        <w:pStyle w:val="aa"/>
        <w:tabs>
          <w:tab w:val="left" w:pos="0"/>
        </w:tabs>
        <w:suppressAutoHyphens/>
        <w:ind w:left="0" w:firstLine="720"/>
        <w:jc w:val="both"/>
        <w:rPr>
          <w:bCs/>
          <w:sz w:val="26"/>
          <w:szCs w:val="26"/>
        </w:rPr>
      </w:pPr>
      <w:proofErr w:type="gramStart"/>
      <w:r w:rsidRPr="009B651F">
        <w:rPr>
          <w:bCs/>
          <w:sz w:val="26"/>
          <w:szCs w:val="26"/>
        </w:rPr>
        <w:t>Кроме того, при формировании тарифов на 2023 год учтен страховой тариф на обязательное социальное страхование от несчастных случаев на производстве и профессиональных заболеваний в размере 0,40 %.</w:t>
      </w:r>
      <w:r w:rsidR="00690DA4" w:rsidRPr="00690DA4">
        <w:t xml:space="preserve"> </w:t>
      </w:r>
      <w:r w:rsidR="00690DA4" w:rsidRPr="00690DA4">
        <w:rPr>
          <w:bCs/>
          <w:sz w:val="26"/>
          <w:szCs w:val="26"/>
        </w:rPr>
        <w:t>Методически</w:t>
      </w:r>
      <w:r w:rsidR="00690DA4">
        <w:rPr>
          <w:bCs/>
          <w:sz w:val="26"/>
          <w:szCs w:val="26"/>
        </w:rPr>
        <w:t>ми</w:t>
      </w:r>
      <w:r w:rsidR="00690DA4" w:rsidRPr="00690DA4">
        <w:rPr>
          <w:bCs/>
          <w:sz w:val="26"/>
          <w:szCs w:val="26"/>
        </w:rPr>
        <w:t xml:space="preserve"> указания</w:t>
      </w:r>
      <w:r w:rsidR="00690DA4">
        <w:rPr>
          <w:bCs/>
          <w:sz w:val="26"/>
          <w:szCs w:val="26"/>
        </w:rPr>
        <w:t>ми</w:t>
      </w:r>
      <w:r w:rsidR="00690DA4" w:rsidRPr="00690DA4">
        <w:rPr>
          <w:bCs/>
          <w:sz w:val="26"/>
          <w:szCs w:val="26"/>
        </w:rPr>
        <w:t xml:space="preserve"> от 17.02.2012 № 98-э</w:t>
      </w:r>
      <w:r w:rsidR="00690DA4">
        <w:rPr>
          <w:bCs/>
          <w:sz w:val="26"/>
          <w:szCs w:val="26"/>
        </w:rPr>
        <w:t xml:space="preserve"> также предусмотрена корректировка неподконтрольных расходов, исходя из фактических показателей деятельности, в том числе расходов п</w:t>
      </w:r>
      <w:r w:rsidR="00690DA4" w:rsidRPr="00690DA4">
        <w:rPr>
          <w:bCs/>
          <w:sz w:val="26"/>
          <w:szCs w:val="26"/>
        </w:rPr>
        <w:t xml:space="preserve">о статье «Отчисления на </w:t>
      </w:r>
      <w:r w:rsidR="00690DA4" w:rsidRPr="00690DA4">
        <w:rPr>
          <w:bCs/>
          <w:sz w:val="26"/>
          <w:szCs w:val="26"/>
        </w:rPr>
        <w:lastRenderedPageBreak/>
        <w:t>социальные нужды»</w:t>
      </w:r>
      <w:r w:rsidR="00690DA4">
        <w:rPr>
          <w:bCs/>
          <w:sz w:val="26"/>
          <w:szCs w:val="26"/>
        </w:rPr>
        <w:t>.</w:t>
      </w:r>
      <w:proofErr w:type="gramEnd"/>
    </w:p>
    <w:p w:rsidR="00D43B0B" w:rsidRPr="009B651F" w:rsidRDefault="00FD73D3" w:rsidP="00FD73D3">
      <w:pPr>
        <w:pStyle w:val="aa"/>
        <w:tabs>
          <w:tab w:val="left" w:pos="0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9B651F">
        <w:rPr>
          <w:bCs/>
          <w:sz w:val="26"/>
          <w:szCs w:val="26"/>
        </w:rPr>
        <w:t>При проведении экспертизы Департамент руководствовался индексами потребительских цен из прогноза социально-экономического развития Российской Федерации на 2023 год и плановый период 2024 и 2025 годов, разработанного Минэкон</w:t>
      </w:r>
      <w:r w:rsidR="000137F0">
        <w:rPr>
          <w:bCs/>
          <w:sz w:val="26"/>
          <w:szCs w:val="26"/>
        </w:rPr>
        <w:t>омразвития России по состоянию от 28.09.2022, что</w:t>
      </w:r>
      <w:r w:rsidR="00606AFA">
        <w:rPr>
          <w:bCs/>
          <w:sz w:val="26"/>
          <w:szCs w:val="26"/>
        </w:rPr>
        <w:t>, по мнению Департамента,</w:t>
      </w:r>
      <w:r w:rsidR="000137F0">
        <w:rPr>
          <w:bCs/>
          <w:sz w:val="26"/>
          <w:szCs w:val="26"/>
        </w:rPr>
        <w:t xml:space="preserve"> не противоречит действующему законодательству.</w:t>
      </w:r>
    </w:p>
    <w:p w:rsidR="00DB156E" w:rsidRPr="00A94DEB" w:rsidRDefault="00DB156E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</w:p>
    <w:p w:rsidR="00B942FC" w:rsidRPr="008B720C" w:rsidRDefault="00B942FC" w:rsidP="00B942FC">
      <w:pPr>
        <w:pStyle w:val="aa"/>
        <w:tabs>
          <w:tab w:val="left" w:pos="1134"/>
          <w:tab w:val="left" w:pos="1276"/>
        </w:tabs>
        <w:ind w:left="567"/>
        <w:jc w:val="both"/>
        <w:rPr>
          <w:b/>
          <w:sz w:val="26"/>
          <w:szCs w:val="26"/>
        </w:rPr>
      </w:pPr>
      <w:r w:rsidRPr="008B720C">
        <w:rPr>
          <w:b/>
          <w:sz w:val="26"/>
          <w:szCs w:val="26"/>
        </w:rPr>
        <w:t>РЕШИЛИ:</w:t>
      </w:r>
    </w:p>
    <w:p w:rsidR="00B942FC" w:rsidRDefault="00B942FC" w:rsidP="00B942FC">
      <w:pPr>
        <w:tabs>
          <w:tab w:val="left" w:pos="4020"/>
        </w:tabs>
        <w:ind w:firstLine="540"/>
        <w:jc w:val="both"/>
        <w:rPr>
          <w:sz w:val="26"/>
          <w:szCs w:val="26"/>
        </w:rPr>
      </w:pPr>
      <w:proofErr w:type="gramStart"/>
      <w:r w:rsidRPr="008B720C">
        <w:rPr>
          <w:sz w:val="26"/>
          <w:szCs w:val="26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8B720C">
        <w:rPr>
          <w:sz w:val="26"/>
          <w:szCs w:val="26"/>
        </w:rPr>
        <w:t xml:space="preserve"> Федерации от 27.12.2004 № 861:</w:t>
      </w:r>
    </w:p>
    <w:p w:rsidR="00B942FC" w:rsidRPr="008B720C" w:rsidRDefault="00B942FC" w:rsidP="00B942FC">
      <w:pPr>
        <w:pStyle w:val="aa"/>
        <w:tabs>
          <w:tab w:val="left" w:pos="4020"/>
        </w:tabs>
        <w:ind w:left="0" w:firstLine="567"/>
        <w:jc w:val="both"/>
        <w:rPr>
          <w:sz w:val="26"/>
          <w:szCs w:val="26"/>
        </w:rPr>
      </w:pPr>
      <w:r w:rsidRPr="008B720C">
        <w:rPr>
          <w:sz w:val="26"/>
          <w:szCs w:val="26"/>
        </w:rPr>
        <w:t>1.</w:t>
      </w:r>
      <w:r w:rsidRPr="008B720C">
        <w:t xml:space="preserve"> </w:t>
      </w:r>
      <w:proofErr w:type="gramStart"/>
      <w:r w:rsidR="00AC336E" w:rsidRPr="00AC336E">
        <w:rPr>
          <w:sz w:val="26"/>
          <w:szCs w:val="26"/>
        </w:rPr>
        <w:t>Внести изменения в постановление Департамента энергетики и тарифов Ивановской области от 01.12.2020 № 64-э/1 «Об установлении необходимой валовой выручки и долгосрочных параметров регулирования для ООО «ТСП»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регулирования», изложив приложение 2 к постановлению Департамента энергетики и тарифов Ивановской области от 01.12.2020 № 64-э/1</w:t>
      </w:r>
      <w:proofErr w:type="gramEnd"/>
      <w:r w:rsidR="00AC336E" w:rsidRPr="00AC336E">
        <w:rPr>
          <w:sz w:val="26"/>
          <w:szCs w:val="26"/>
        </w:rPr>
        <w:t xml:space="preserve"> в новой редакции согласно </w:t>
      </w:r>
      <w:r w:rsidRPr="008B720C">
        <w:rPr>
          <w:sz w:val="26"/>
          <w:szCs w:val="26"/>
        </w:rPr>
        <w:t>Таблице:</w:t>
      </w:r>
    </w:p>
    <w:p w:rsidR="00B942FC" w:rsidRDefault="00B942FC" w:rsidP="00B942FC">
      <w:pPr>
        <w:tabs>
          <w:tab w:val="left" w:pos="4020"/>
        </w:tabs>
        <w:ind w:firstLine="540"/>
        <w:jc w:val="right"/>
        <w:rPr>
          <w:sz w:val="26"/>
          <w:szCs w:val="26"/>
        </w:rPr>
      </w:pPr>
      <w:r w:rsidRPr="008B720C">
        <w:rPr>
          <w:sz w:val="26"/>
          <w:szCs w:val="26"/>
        </w:rPr>
        <w:t>Таблица</w:t>
      </w:r>
    </w:p>
    <w:p w:rsidR="00147B89" w:rsidRPr="00147B89" w:rsidRDefault="00147B89" w:rsidP="00147B89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147B89">
        <w:rPr>
          <w:sz w:val="24"/>
          <w:szCs w:val="24"/>
        </w:rPr>
        <w:t>НВВ ООО «ТСП» на долгосрочный период регулирования (без учета оплаты потерь)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700"/>
        <w:gridCol w:w="1100"/>
        <w:gridCol w:w="3618"/>
      </w:tblGrid>
      <w:tr w:rsidR="00147B89" w:rsidRPr="00147B89" w:rsidTr="001512A5">
        <w:trPr>
          <w:trHeight w:val="61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 xml:space="preserve">№ </w:t>
            </w:r>
            <w:proofErr w:type="gramStart"/>
            <w:r w:rsidRPr="00147B89">
              <w:rPr>
                <w:sz w:val="22"/>
                <w:szCs w:val="22"/>
              </w:rPr>
              <w:t>п</w:t>
            </w:r>
            <w:proofErr w:type="gramEnd"/>
            <w:r w:rsidRPr="00147B89">
              <w:rPr>
                <w:sz w:val="22"/>
                <w:szCs w:val="22"/>
              </w:rPr>
              <w:t>/п</w:t>
            </w:r>
          </w:p>
        </w:tc>
        <w:tc>
          <w:tcPr>
            <w:tcW w:w="4700" w:type="dxa"/>
            <w:vMerge w:val="restart"/>
            <w:shd w:val="clear" w:color="auto" w:fill="auto"/>
            <w:vAlign w:val="center"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Год</w:t>
            </w:r>
          </w:p>
        </w:tc>
        <w:tc>
          <w:tcPr>
            <w:tcW w:w="3618" w:type="dxa"/>
            <w:shd w:val="clear" w:color="auto" w:fill="auto"/>
            <w:vAlign w:val="center"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НВВ сетевых организаций без учета оплаты потерь</w:t>
            </w:r>
          </w:p>
        </w:tc>
      </w:tr>
      <w:tr w:rsidR="00147B89" w:rsidRPr="00147B89" w:rsidTr="001512A5">
        <w:trPr>
          <w:trHeight w:val="315"/>
        </w:trPr>
        <w:tc>
          <w:tcPr>
            <w:tcW w:w="520" w:type="dxa"/>
            <w:vMerge/>
            <w:vAlign w:val="center"/>
            <w:hideMark/>
          </w:tcPr>
          <w:p w:rsidR="00147B89" w:rsidRPr="00147B89" w:rsidRDefault="00147B8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:rsidR="00147B89" w:rsidRPr="00147B89" w:rsidRDefault="00147B8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147B89" w:rsidRPr="00147B89" w:rsidRDefault="00147B8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  <w:noWrap/>
            <w:vAlign w:val="center"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тыс. руб.</w:t>
            </w:r>
          </w:p>
        </w:tc>
      </w:tr>
      <w:tr w:rsidR="00A0421C" w:rsidRPr="008E1C37" w:rsidTr="001512A5">
        <w:trPr>
          <w:trHeight w:val="300"/>
        </w:trPr>
        <w:tc>
          <w:tcPr>
            <w:tcW w:w="520" w:type="dxa"/>
            <w:vMerge w:val="restart"/>
            <w:shd w:val="clear" w:color="FFFFCC" w:fill="FFFFFF"/>
            <w:noWrap/>
            <w:vAlign w:val="center"/>
            <w:hideMark/>
          </w:tcPr>
          <w:p w:rsidR="00A0421C" w:rsidRPr="008E1C37" w:rsidRDefault="00A0421C" w:rsidP="00147B89">
            <w:pPr>
              <w:widowControl/>
              <w:jc w:val="center"/>
              <w:rPr>
                <w:sz w:val="22"/>
                <w:szCs w:val="22"/>
              </w:rPr>
            </w:pPr>
            <w:r w:rsidRPr="008E1C37">
              <w:rPr>
                <w:sz w:val="22"/>
                <w:szCs w:val="22"/>
              </w:rPr>
              <w:t>1.</w:t>
            </w:r>
          </w:p>
        </w:tc>
        <w:tc>
          <w:tcPr>
            <w:tcW w:w="4700" w:type="dxa"/>
            <w:vMerge w:val="restart"/>
            <w:shd w:val="clear" w:color="FFFFCC" w:fill="FFFFFF"/>
            <w:vAlign w:val="center"/>
            <w:hideMark/>
          </w:tcPr>
          <w:p w:rsidR="00A0421C" w:rsidRPr="008E1C37" w:rsidRDefault="00A0421C" w:rsidP="00147B89">
            <w:pPr>
              <w:widowControl/>
              <w:jc w:val="center"/>
              <w:rPr>
                <w:sz w:val="22"/>
                <w:szCs w:val="22"/>
              </w:rPr>
            </w:pPr>
            <w:r w:rsidRPr="008E1C37">
              <w:rPr>
                <w:sz w:val="22"/>
                <w:szCs w:val="22"/>
              </w:rPr>
              <w:t>ООО «ТСП»</w:t>
            </w:r>
          </w:p>
        </w:tc>
        <w:tc>
          <w:tcPr>
            <w:tcW w:w="1100" w:type="dxa"/>
            <w:shd w:val="clear" w:color="FFFFCC" w:fill="FFFFFF"/>
            <w:noWrap/>
            <w:hideMark/>
          </w:tcPr>
          <w:p w:rsidR="00A0421C" w:rsidRPr="008E1C37" w:rsidRDefault="00A0421C" w:rsidP="00147B89">
            <w:pPr>
              <w:widowControl/>
              <w:jc w:val="center"/>
              <w:rPr>
                <w:sz w:val="22"/>
                <w:szCs w:val="22"/>
              </w:rPr>
            </w:pPr>
            <w:r w:rsidRPr="008E1C37">
              <w:rPr>
                <w:sz w:val="22"/>
                <w:szCs w:val="22"/>
              </w:rPr>
              <w:t>2021</w:t>
            </w:r>
          </w:p>
        </w:tc>
        <w:tc>
          <w:tcPr>
            <w:tcW w:w="3618" w:type="dxa"/>
            <w:shd w:val="clear" w:color="FFFFCC" w:fill="FFFFFF"/>
            <w:noWrap/>
            <w:hideMark/>
          </w:tcPr>
          <w:p w:rsidR="00A0421C" w:rsidRPr="008E1C37" w:rsidRDefault="00A0421C" w:rsidP="00056A15">
            <w:pPr>
              <w:jc w:val="center"/>
              <w:rPr>
                <w:sz w:val="22"/>
                <w:szCs w:val="22"/>
              </w:rPr>
            </w:pPr>
            <w:r w:rsidRPr="008E1C37">
              <w:rPr>
                <w:sz w:val="22"/>
                <w:szCs w:val="22"/>
              </w:rPr>
              <w:t>34 752,90</w:t>
            </w:r>
          </w:p>
        </w:tc>
      </w:tr>
      <w:tr w:rsidR="00A0421C" w:rsidRPr="008E1C37" w:rsidTr="001512A5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0421C" w:rsidRPr="008E1C37" w:rsidRDefault="00A0421C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:rsidR="00A0421C" w:rsidRPr="008E1C37" w:rsidRDefault="00A0421C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FFFFCC" w:fill="FFFFFF"/>
            <w:noWrap/>
            <w:hideMark/>
          </w:tcPr>
          <w:p w:rsidR="00A0421C" w:rsidRPr="008E1C37" w:rsidRDefault="00A0421C" w:rsidP="00147B89">
            <w:pPr>
              <w:widowControl/>
              <w:jc w:val="center"/>
              <w:rPr>
                <w:sz w:val="22"/>
                <w:szCs w:val="22"/>
              </w:rPr>
            </w:pPr>
            <w:r w:rsidRPr="008E1C37">
              <w:rPr>
                <w:sz w:val="22"/>
                <w:szCs w:val="22"/>
              </w:rPr>
              <w:t>2022</w:t>
            </w:r>
          </w:p>
        </w:tc>
        <w:tc>
          <w:tcPr>
            <w:tcW w:w="3618" w:type="dxa"/>
            <w:shd w:val="clear" w:color="FFFFCC" w:fill="FFFFFF"/>
            <w:noWrap/>
            <w:hideMark/>
          </w:tcPr>
          <w:p w:rsidR="00A0421C" w:rsidRPr="008E1C37" w:rsidRDefault="00A0421C" w:rsidP="00056A15">
            <w:pPr>
              <w:jc w:val="center"/>
              <w:rPr>
                <w:sz w:val="22"/>
                <w:szCs w:val="22"/>
              </w:rPr>
            </w:pPr>
            <w:r w:rsidRPr="008E1C37">
              <w:rPr>
                <w:sz w:val="22"/>
                <w:szCs w:val="22"/>
              </w:rPr>
              <w:t>37 416,25</w:t>
            </w:r>
          </w:p>
        </w:tc>
      </w:tr>
      <w:tr w:rsidR="00A0421C" w:rsidRPr="008E1C37" w:rsidTr="001512A5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0421C" w:rsidRPr="008E1C37" w:rsidRDefault="00A0421C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:rsidR="00A0421C" w:rsidRPr="008E1C37" w:rsidRDefault="00A0421C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FFFFCC" w:fill="FFFFFF"/>
            <w:noWrap/>
            <w:hideMark/>
          </w:tcPr>
          <w:p w:rsidR="00A0421C" w:rsidRPr="008E1C37" w:rsidRDefault="00A0421C" w:rsidP="00147B89">
            <w:pPr>
              <w:widowControl/>
              <w:jc w:val="center"/>
              <w:rPr>
                <w:sz w:val="22"/>
                <w:szCs w:val="22"/>
              </w:rPr>
            </w:pPr>
            <w:r w:rsidRPr="008E1C37">
              <w:rPr>
                <w:sz w:val="22"/>
                <w:szCs w:val="22"/>
              </w:rPr>
              <w:t>2023</w:t>
            </w:r>
          </w:p>
        </w:tc>
        <w:tc>
          <w:tcPr>
            <w:tcW w:w="3618" w:type="dxa"/>
            <w:shd w:val="clear" w:color="FFFFCC" w:fill="FFFFFF"/>
            <w:noWrap/>
            <w:hideMark/>
          </w:tcPr>
          <w:p w:rsidR="00A0421C" w:rsidRPr="008E1C37" w:rsidRDefault="00A0421C" w:rsidP="00056A15">
            <w:pPr>
              <w:jc w:val="center"/>
              <w:rPr>
                <w:sz w:val="22"/>
                <w:szCs w:val="22"/>
              </w:rPr>
            </w:pPr>
            <w:r w:rsidRPr="008E1C37">
              <w:rPr>
                <w:sz w:val="22"/>
                <w:szCs w:val="22"/>
              </w:rPr>
              <w:t>37 511,56</w:t>
            </w:r>
          </w:p>
        </w:tc>
      </w:tr>
      <w:tr w:rsidR="00A0421C" w:rsidRPr="008E1C37" w:rsidTr="001512A5">
        <w:trPr>
          <w:trHeight w:val="315"/>
        </w:trPr>
        <w:tc>
          <w:tcPr>
            <w:tcW w:w="520" w:type="dxa"/>
            <w:vMerge/>
            <w:vAlign w:val="center"/>
            <w:hideMark/>
          </w:tcPr>
          <w:p w:rsidR="00A0421C" w:rsidRPr="008E1C37" w:rsidRDefault="00A0421C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:rsidR="00A0421C" w:rsidRPr="008E1C37" w:rsidRDefault="00A0421C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FFFFCC" w:fill="FFFFFF"/>
            <w:noWrap/>
            <w:hideMark/>
          </w:tcPr>
          <w:p w:rsidR="00A0421C" w:rsidRPr="008E1C37" w:rsidRDefault="00A0421C" w:rsidP="00147B89">
            <w:pPr>
              <w:widowControl/>
              <w:jc w:val="center"/>
              <w:rPr>
                <w:sz w:val="22"/>
                <w:szCs w:val="22"/>
              </w:rPr>
            </w:pPr>
            <w:r w:rsidRPr="008E1C37">
              <w:rPr>
                <w:sz w:val="22"/>
                <w:szCs w:val="22"/>
              </w:rPr>
              <w:t>2024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A0421C" w:rsidRPr="008E1C37" w:rsidRDefault="00A0421C" w:rsidP="00056A15">
            <w:pPr>
              <w:jc w:val="center"/>
              <w:rPr>
                <w:sz w:val="22"/>
                <w:szCs w:val="22"/>
              </w:rPr>
            </w:pPr>
            <w:r w:rsidRPr="008E1C37">
              <w:rPr>
                <w:sz w:val="22"/>
                <w:szCs w:val="22"/>
              </w:rPr>
              <w:t>36 039,32</w:t>
            </w:r>
          </w:p>
        </w:tc>
      </w:tr>
      <w:tr w:rsidR="00A0421C" w:rsidRPr="008E1C37" w:rsidTr="001512A5">
        <w:trPr>
          <w:trHeight w:val="315"/>
        </w:trPr>
        <w:tc>
          <w:tcPr>
            <w:tcW w:w="520" w:type="dxa"/>
            <w:vMerge/>
            <w:vAlign w:val="center"/>
            <w:hideMark/>
          </w:tcPr>
          <w:p w:rsidR="00A0421C" w:rsidRPr="008E1C37" w:rsidRDefault="00A0421C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:rsidR="00A0421C" w:rsidRPr="008E1C37" w:rsidRDefault="00A0421C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FFFFCC" w:fill="FFFFFF"/>
            <w:noWrap/>
            <w:hideMark/>
          </w:tcPr>
          <w:p w:rsidR="00A0421C" w:rsidRPr="008E1C37" w:rsidRDefault="00A0421C" w:rsidP="00147B89">
            <w:pPr>
              <w:widowControl/>
              <w:jc w:val="center"/>
              <w:rPr>
                <w:sz w:val="22"/>
                <w:szCs w:val="22"/>
              </w:rPr>
            </w:pPr>
            <w:r w:rsidRPr="008E1C37">
              <w:rPr>
                <w:sz w:val="22"/>
                <w:szCs w:val="22"/>
              </w:rPr>
              <w:t>2025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A0421C" w:rsidRPr="008E1C37" w:rsidRDefault="00A0421C" w:rsidP="00056A15">
            <w:pPr>
              <w:jc w:val="center"/>
              <w:rPr>
                <w:sz w:val="22"/>
                <w:szCs w:val="22"/>
              </w:rPr>
            </w:pPr>
            <w:r w:rsidRPr="008E1C37">
              <w:rPr>
                <w:sz w:val="22"/>
                <w:szCs w:val="22"/>
              </w:rPr>
              <w:t>36 553,20</w:t>
            </w:r>
          </w:p>
        </w:tc>
      </w:tr>
    </w:tbl>
    <w:p w:rsidR="009B651F" w:rsidRPr="008E1C37" w:rsidRDefault="009B651F" w:rsidP="00B942FC">
      <w:pPr>
        <w:tabs>
          <w:tab w:val="left" w:pos="4020"/>
        </w:tabs>
        <w:ind w:firstLine="540"/>
        <w:jc w:val="both"/>
        <w:rPr>
          <w:sz w:val="22"/>
          <w:szCs w:val="22"/>
        </w:rPr>
      </w:pPr>
    </w:p>
    <w:p w:rsidR="00B942FC" w:rsidRPr="00F84FCF" w:rsidRDefault="00B942FC" w:rsidP="00B942FC">
      <w:pPr>
        <w:tabs>
          <w:tab w:val="left" w:pos="4020"/>
        </w:tabs>
        <w:ind w:firstLine="540"/>
        <w:jc w:val="both"/>
        <w:rPr>
          <w:sz w:val="26"/>
          <w:szCs w:val="26"/>
        </w:rPr>
      </w:pPr>
      <w:r w:rsidRPr="00F84FCF">
        <w:rPr>
          <w:sz w:val="26"/>
          <w:szCs w:val="26"/>
        </w:rPr>
        <w:t>2. Постановление вступает в силу со дня его официального опубликования.</w:t>
      </w:r>
    </w:p>
    <w:p w:rsidR="001F414F" w:rsidRDefault="001F414F" w:rsidP="00B942FC">
      <w:pPr>
        <w:tabs>
          <w:tab w:val="left" w:pos="4020"/>
        </w:tabs>
        <w:ind w:firstLine="540"/>
        <w:rPr>
          <w:sz w:val="26"/>
          <w:szCs w:val="26"/>
        </w:rPr>
      </w:pPr>
    </w:p>
    <w:p w:rsidR="00B942FC" w:rsidRDefault="00B942FC" w:rsidP="00B942FC">
      <w:pPr>
        <w:tabs>
          <w:tab w:val="left" w:pos="4020"/>
        </w:tabs>
        <w:ind w:firstLine="540"/>
        <w:rPr>
          <w:sz w:val="26"/>
          <w:szCs w:val="26"/>
        </w:rPr>
      </w:pPr>
      <w:r w:rsidRPr="006C6386">
        <w:rPr>
          <w:sz w:val="26"/>
          <w:szCs w:val="26"/>
        </w:rPr>
        <w:t>Результаты голосования:</w:t>
      </w:r>
    </w:p>
    <w:p w:rsidR="009B651F" w:rsidRPr="006C6386" w:rsidRDefault="009B651F" w:rsidP="00B942FC">
      <w:pPr>
        <w:tabs>
          <w:tab w:val="left" w:pos="4020"/>
        </w:tabs>
        <w:ind w:firstLine="540"/>
        <w:rPr>
          <w:sz w:val="26"/>
          <w:szCs w:val="26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 xml:space="preserve">№ </w:t>
            </w:r>
            <w:proofErr w:type="gramStart"/>
            <w:r w:rsidRPr="006C6386">
              <w:rPr>
                <w:sz w:val="26"/>
                <w:szCs w:val="26"/>
              </w:rPr>
              <w:t>п</w:t>
            </w:r>
            <w:proofErr w:type="gramEnd"/>
            <w:r w:rsidRPr="006C6386">
              <w:rPr>
                <w:sz w:val="26"/>
                <w:szCs w:val="26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Результаты голосования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A0421C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0421C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A0421C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0421C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A0421C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0421C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A0421C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0421C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6E7BB8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A0421C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0421C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A0421C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0421C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  <w:highlight w:val="yellow"/>
              </w:rPr>
            </w:pPr>
            <w:r w:rsidRPr="006C6386">
              <w:rPr>
                <w:sz w:val="26"/>
                <w:szCs w:val="26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A0421C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0421C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E7BB8" w:rsidRDefault="00A0421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  <w:highlight w:val="yellow"/>
              </w:rPr>
            </w:pPr>
            <w:r w:rsidRPr="00A0421C">
              <w:rPr>
                <w:sz w:val="26"/>
                <w:szCs w:val="26"/>
              </w:rPr>
              <w:t>воздержался</w:t>
            </w:r>
          </w:p>
        </w:tc>
      </w:tr>
    </w:tbl>
    <w:p w:rsidR="00B942FC" w:rsidRDefault="00B942FC" w:rsidP="00B942FC">
      <w:pPr>
        <w:tabs>
          <w:tab w:val="left" w:pos="4020"/>
        </w:tabs>
        <w:ind w:firstLine="540"/>
        <w:rPr>
          <w:sz w:val="26"/>
          <w:szCs w:val="26"/>
        </w:rPr>
      </w:pPr>
      <w:r w:rsidRPr="00A0421C">
        <w:rPr>
          <w:sz w:val="26"/>
          <w:szCs w:val="26"/>
        </w:rPr>
        <w:t xml:space="preserve">Итого: за </w:t>
      </w:r>
      <w:r w:rsidR="00A0421C" w:rsidRPr="00A0421C">
        <w:rPr>
          <w:sz w:val="26"/>
          <w:szCs w:val="26"/>
        </w:rPr>
        <w:t>– 7, против – 0, воздержался – 1</w:t>
      </w:r>
      <w:r w:rsidRPr="00A0421C">
        <w:rPr>
          <w:sz w:val="26"/>
          <w:szCs w:val="26"/>
        </w:rPr>
        <w:t>, отсутствуют – 0.</w:t>
      </w:r>
    </w:p>
    <w:p w:rsidR="008E1C37" w:rsidRDefault="008E1C37" w:rsidP="00B942FC">
      <w:pPr>
        <w:tabs>
          <w:tab w:val="left" w:pos="4020"/>
        </w:tabs>
        <w:ind w:firstLine="540"/>
        <w:rPr>
          <w:sz w:val="26"/>
          <w:szCs w:val="26"/>
        </w:rPr>
      </w:pPr>
    </w:p>
    <w:p w:rsidR="006E7BB8" w:rsidRPr="006E7BB8" w:rsidRDefault="006E7BB8" w:rsidP="006E7BB8">
      <w:pPr>
        <w:pStyle w:val="aa"/>
        <w:numPr>
          <w:ilvl w:val="0"/>
          <w:numId w:val="17"/>
        </w:numPr>
        <w:tabs>
          <w:tab w:val="left" w:pos="142"/>
          <w:tab w:val="left" w:pos="709"/>
          <w:tab w:val="left" w:pos="851"/>
        </w:tabs>
        <w:ind w:left="284" w:firstLine="28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С</w:t>
      </w:r>
      <w:r w:rsidR="009F77AE">
        <w:rPr>
          <w:b/>
          <w:bCs/>
          <w:sz w:val="26"/>
          <w:szCs w:val="26"/>
        </w:rPr>
        <w:t>ЛУШАЛИ</w:t>
      </w:r>
      <w:r>
        <w:rPr>
          <w:b/>
          <w:bCs/>
          <w:sz w:val="26"/>
          <w:szCs w:val="26"/>
        </w:rPr>
        <w:t xml:space="preserve">: </w:t>
      </w:r>
      <w:proofErr w:type="gramStart"/>
      <w:r w:rsidRPr="006E7BB8">
        <w:rPr>
          <w:b/>
          <w:bCs/>
          <w:sz w:val="26"/>
          <w:szCs w:val="26"/>
        </w:rPr>
        <w:t>О внесении изменений в постановление Департамента энергетики и тарифов Ивановской области от 29.12.2020 № 77-э/1 «Об установлении необходимой валовой выручки и долгосрочных параметров регулирования для ОАО «РЖД» (Северная дирекция по энергообеспечению - структурное подразделение филиала Трансэнерго)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950173" w:rsidRPr="00950173">
        <w:rPr>
          <w:b/>
          <w:bCs/>
          <w:sz w:val="26"/>
          <w:szCs w:val="26"/>
        </w:rPr>
        <w:t xml:space="preserve"> (Морева, Коннова,</w:t>
      </w:r>
      <w:r w:rsidR="004118FC">
        <w:rPr>
          <w:b/>
          <w:bCs/>
          <w:sz w:val="26"/>
          <w:szCs w:val="26"/>
        </w:rPr>
        <w:t xml:space="preserve"> </w:t>
      </w:r>
      <w:r w:rsidR="00950173" w:rsidRPr="00950173">
        <w:rPr>
          <w:b/>
          <w:bCs/>
          <w:sz w:val="26"/>
          <w:szCs w:val="26"/>
        </w:rPr>
        <w:t>Петрова).</w:t>
      </w:r>
      <w:proofErr w:type="gramEnd"/>
    </w:p>
    <w:p w:rsidR="006E7BB8" w:rsidRDefault="006E7BB8" w:rsidP="006E7BB8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6"/>
          <w:szCs w:val="26"/>
        </w:rPr>
      </w:pPr>
    </w:p>
    <w:p w:rsidR="006E7BB8" w:rsidRPr="009F2C7F" w:rsidRDefault="006E7BB8" w:rsidP="006E7BB8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9F2C7F">
        <w:rPr>
          <w:bCs/>
          <w:sz w:val="26"/>
          <w:szCs w:val="26"/>
        </w:rPr>
        <w:t xml:space="preserve">Рассмотрено дело в части корректировки </w:t>
      </w:r>
      <w:r w:rsidRPr="009F2C7F">
        <w:rPr>
          <w:sz w:val="26"/>
          <w:szCs w:val="26"/>
        </w:rPr>
        <w:t xml:space="preserve">НВВ на содержание электрических сетей на 2023 год, </w:t>
      </w:r>
      <w:r w:rsidRPr="009F2C7F">
        <w:rPr>
          <w:bCs/>
          <w:sz w:val="26"/>
          <w:szCs w:val="26"/>
        </w:rPr>
        <w:t xml:space="preserve">принимаемой в расчет единых (котловых) и индивидуальных тарифов на услуги по передаче электрической энергии (без учета оплаты потерь), для </w:t>
      </w:r>
      <w:r w:rsidR="009F2C7F" w:rsidRPr="009F2C7F">
        <w:rPr>
          <w:rFonts w:eastAsia="Calibri"/>
          <w:sz w:val="28"/>
          <w:szCs w:val="28"/>
          <w:lang w:eastAsia="en-US"/>
        </w:rPr>
        <w:t>ОАО «РЖД» (Северная дирекция по энергообеспечению - структурное подразделение филиала Трансэнерго)</w:t>
      </w:r>
      <w:r w:rsidR="009F2C7F">
        <w:rPr>
          <w:rFonts w:eastAsia="Calibri"/>
          <w:sz w:val="28"/>
          <w:szCs w:val="28"/>
          <w:lang w:eastAsia="en-US"/>
        </w:rPr>
        <w:t xml:space="preserve"> </w:t>
      </w:r>
      <w:r w:rsidRPr="009F2C7F">
        <w:rPr>
          <w:bCs/>
          <w:sz w:val="26"/>
          <w:szCs w:val="26"/>
        </w:rPr>
        <w:t>(долгосрочный период регулирования 2021-2025 гг.).</w:t>
      </w:r>
    </w:p>
    <w:p w:rsidR="006E7BB8" w:rsidRPr="009F2C7F" w:rsidRDefault="006E7BB8" w:rsidP="006E7BB8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6"/>
          <w:szCs w:val="26"/>
        </w:rPr>
      </w:pPr>
      <w:r w:rsidRPr="009F2C7F">
        <w:rPr>
          <w:sz w:val="26"/>
          <w:szCs w:val="26"/>
        </w:rPr>
        <w:t xml:space="preserve">В соответствии с проведенной экспертизой установлено, что вышеуказанная </w:t>
      </w:r>
      <w:r w:rsidR="00E424F9">
        <w:rPr>
          <w:sz w:val="26"/>
          <w:szCs w:val="26"/>
        </w:rPr>
        <w:t>сетевая организация соответствуе</w:t>
      </w:r>
      <w:r w:rsidRPr="009F2C7F">
        <w:rPr>
          <w:sz w:val="26"/>
          <w:szCs w:val="26"/>
        </w:rPr>
        <w:t>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6E7BB8" w:rsidRPr="009F2C7F" w:rsidRDefault="006E7BB8" w:rsidP="006E7BB8">
      <w:pPr>
        <w:ind w:firstLine="567"/>
        <w:jc w:val="both"/>
        <w:rPr>
          <w:sz w:val="26"/>
          <w:szCs w:val="26"/>
        </w:rPr>
      </w:pPr>
      <w:r w:rsidRPr="009F2C7F">
        <w:rPr>
          <w:bCs/>
          <w:sz w:val="26"/>
          <w:szCs w:val="26"/>
        </w:rPr>
        <w:t>Департамент энергетики и тарифов Ивановской области (далее – Департамент) отмечает, что расчет произведен специалистами Департамента в</w:t>
      </w:r>
      <w:r w:rsidRPr="009F2C7F">
        <w:rPr>
          <w:sz w:val="26"/>
          <w:szCs w:val="26"/>
        </w:rPr>
        <w:t xml:space="preserve"> соответствии </w:t>
      </w:r>
      <w:proofErr w:type="gramStart"/>
      <w:r w:rsidRPr="009F2C7F">
        <w:rPr>
          <w:sz w:val="26"/>
          <w:szCs w:val="26"/>
        </w:rPr>
        <w:t>с</w:t>
      </w:r>
      <w:proofErr w:type="gramEnd"/>
      <w:r w:rsidRPr="009F2C7F">
        <w:rPr>
          <w:sz w:val="26"/>
          <w:szCs w:val="26"/>
        </w:rPr>
        <w:t>:</w:t>
      </w:r>
    </w:p>
    <w:p w:rsidR="006E7BB8" w:rsidRPr="009F2C7F" w:rsidRDefault="006E7BB8" w:rsidP="006E7BB8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9F2C7F">
        <w:rPr>
          <w:bCs/>
          <w:sz w:val="26"/>
          <w:szCs w:val="26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</w:t>
      </w:r>
      <w:r w:rsidR="009F2C7F">
        <w:rPr>
          <w:bCs/>
          <w:sz w:val="26"/>
          <w:szCs w:val="26"/>
        </w:rPr>
        <w:t>5</w:t>
      </w:r>
      <w:r w:rsidRPr="009F2C7F">
        <w:rPr>
          <w:bCs/>
          <w:sz w:val="26"/>
          <w:szCs w:val="26"/>
        </w:rPr>
        <w:t xml:space="preserve"> года</w:t>
      </w:r>
      <w:r w:rsidRPr="009F2C7F">
        <w:rPr>
          <w:sz w:val="26"/>
          <w:szCs w:val="26"/>
        </w:rPr>
        <w:t>,</w:t>
      </w:r>
    </w:p>
    <w:p w:rsidR="006E7BB8" w:rsidRPr="009F2C7F" w:rsidRDefault="006E7BB8" w:rsidP="006E7BB8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9F2C7F">
        <w:rPr>
          <w:sz w:val="26"/>
          <w:szCs w:val="26"/>
        </w:rPr>
        <w:t xml:space="preserve"> 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электроэнергетике»,</w:t>
      </w:r>
    </w:p>
    <w:p w:rsidR="006E7BB8" w:rsidRPr="009F2C7F" w:rsidRDefault="006E7BB8" w:rsidP="006E7BB8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F2C7F">
        <w:rPr>
          <w:sz w:val="26"/>
          <w:szCs w:val="26"/>
        </w:rPr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выручки».</w:t>
      </w:r>
    </w:p>
    <w:p w:rsidR="006E7BB8" w:rsidRPr="009F2C7F" w:rsidRDefault="006E7BB8" w:rsidP="006E7BB8">
      <w:pPr>
        <w:ind w:firstLine="567"/>
        <w:jc w:val="both"/>
        <w:rPr>
          <w:sz w:val="26"/>
          <w:szCs w:val="26"/>
        </w:rPr>
      </w:pPr>
      <w:r w:rsidRPr="009F2C7F">
        <w:rPr>
          <w:sz w:val="26"/>
          <w:szCs w:val="26"/>
        </w:rPr>
        <w:t xml:space="preserve">Основные показатели деятельности </w:t>
      </w:r>
      <w:r w:rsidR="009F2C7F" w:rsidRPr="009F2C7F">
        <w:rPr>
          <w:sz w:val="26"/>
          <w:szCs w:val="26"/>
        </w:rPr>
        <w:t>ОАО «РЖД» (Северная дирекция по энергообеспечению - структурное подразделение филиала Трансэнерго)</w:t>
      </w:r>
      <w:r w:rsidRPr="009F2C7F">
        <w:rPr>
          <w:bCs/>
          <w:sz w:val="26"/>
          <w:szCs w:val="26"/>
        </w:rPr>
        <w:t xml:space="preserve">, </w:t>
      </w:r>
      <w:r w:rsidRPr="009F2C7F">
        <w:rPr>
          <w:sz w:val="26"/>
          <w:szCs w:val="26"/>
        </w:rPr>
        <w:t>принимаемые в расчет единых (котловых) и индивидуальных тарифов на услуги по передаче электрической энергии на 202</w:t>
      </w:r>
      <w:r w:rsidR="009F2C7F" w:rsidRPr="009F2C7F">
        <w:rPr>
          <w:sz w:val="26"/>
          <w:szCs w:val="26"/>
        </w:rPr>
        <w:t>3</w:t>
      </w:r>
      <w:r w:rsidRPr="009F2C7F">
        <w:rPr>
          <w:sz w:val="26"/>
          <w:szCs w:val="26"/>
        </w:rPr>
        <w:t xml:space="preserve"> год, а также принимаемые при установлении НВВ, приведены в приложениях к протоколу.</w:t>
      </w:r>
    </w:p>
    <w:p w:rsidR="006E7BB8" w:rsidRPr="009F2C7F" w:rsidRDefault="006E7BB8" w:rsidP="006E7BB8">
      <w:pPr>
        <w:ind w:firstLine="567"/>
        <w:jc w:val="both"/>
        <w:rPr>
          <w:bCs/>
          <w:sz w:val="26"/>
          <w:szCs w:val="26"/>
        </w:rPr>
      </w:pPr>
      <w:r w:rsidRPr="009F2C7F">
        <w:rPr>
          <w:bCs/>
          <w:sz w:val="26"/>
          <w:szCs w:val="26"/>
        </w:rPr>
        <w:t>По результатам экспертизы подготовлены расчетные материалы и соответствующее экспертное заключение.</w:t>
      </w:r>
    </w:p>
    <w:p w:rsidR="006E7BB8" w:rsidRPr="009F2C7F" w:rsidRDefault="006E7BB8" w:rsidP="006E7BB8">
      <w:pPr>
        <w:ind w:firstLine="567"/>
        <w:jc w:val="both"/>
        <w:rPr>
          <w:bCs/>
          <w:sz w:val="26"/>
          <w:szCs w:val="26"/>
        </w:rPr>
      </w:pPr>
      <w:proofErr w:type="gramStart"/>
      <w:r w:rsidRPr="009F2C7F">
        <w:rPr>
          <w:bCs/>
          <w:sz w:val="26"/>
          <w:szCs w:val="26"/>
        </w:rPr>
        <w:t xml:space="preserve">Необходимо внести соответствующие изменения в постановление Департамента энергетики и тарифов Ивановской области от </w:t>
      </w:r>
      <w:r w:rsidR="009F2C7F" w:rsidRPr="009F2C7F">
        <w:rPr>
          <w:bCs/>
          <w:sz w:val="26"/>
          <w:szCs w:val="26"/>
        </w:rPr>
        <w:t>29.12.2020 № 77</w:t>
      </w:r>
      <w:r w:rsidRPr="009F2C7F">
        <w:rPr>
          <w:bCs/>
          <w:sz w:val="26"/>
          <w:szCs w:val="26"/>
        </w:rPr>
        <w:t>-э/1 «</w:t>
      </w:r>
      <w:r w:rsidR="009F2C7F" w:rsidRPr="009F2C7F">
        <w:rPr>
          <w:bCs/>
          <w:sz w:val="26"/>
          <w:szCs w:val="26"/>
        </w:rPr>
        <w:t>Об установлении необходимой валовой выручки и долгосрочных параметров регулирования для ОАО «РЖД» (Северная дирекция по энергообеспечению - структурное подразделение филиала Трансэнерго)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 w:rsidRPr="009F2C7F">
        <w:rPr>
          <w:bCs/>
          <w:sz w:val="26"/>
          <w:szCs w:val="26"/>
        </w:rPr>
        <w:t>».</w:t>
      </w:r>
      <w:proofErr w:type="gramEnd"/>
    </w:p>
    <w:p w:rsidR="006E7BB8" w:rsidRPr="009F2C7F" w:rsidRDefault="009F2C7F" w:rsidP="006E7BB8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9F2C7F">
        <w:rPr>
          <w:bCs/>
          <w:sz w:val="26"/>
          <w:szCs w:val="26"/>
        </w:rPr>
        <w:t xml:space="preserve">ОАО «РЖД» (Северная дирекция по энергообеспечению - структурное подразделение филиала Трансэнерго) </w:t>
      </w:r>
      <w:r w:rsidR="006E7BB8" w:rsidRPr="009F2C7F">
        <w:rPr>
          <w:bCs/>
          <w:sz w:val="26"/>
          <w:szCs w:val="26"/>
        </w:rPr>
        <w:t xml:space="preserve">письмом от </w:t>
      </w:r>
      <w:r w:rsidR="006E7BB8" w:rsidRPr="00B62729">
        <w:rPr>
          <w:bCs/>
          <w:sz w:val="26"/>
          <w:szCs w:val="26"/>
        </w:rPr>
        <w:t>1</w:t>
      </w:r>
      <w:r w:rsidR="00B62729" w:rsidRPr="00B62729">
        <w:rPr>
          <w:bCs/>
          <w:sz w:val="26"/>
          <w:szCs w:val="26"/>
        </w:rPr>
        <w:t>3</w:t>
      </w:r>
      <w:r w:rsidR="006E7BB8" w:rsidRPr="00B62729">
        <w:rPr>
          <w:bCs/>
          <w:sz w:val="26"/>
          <w:szCs w:val="26"/>
        </w:rPr>
        <w:t>.10.202</w:t>
      </w:r>
      <w:r w:rsidR="00B62729" w:rsidRPr="00B62729">
        <w:rPr>
          <w:bCs/>
          <w:sz w:val="26"/>
          <w:szCs w:val="26"/>
        </w:rPr>
        <w:t>2</w:t>
      </w:r>
      <w:r w:rsidR="006E7BB8" w:rsidRPr="00B62729">
        <w:rPr>
          <w:bCs/>
          <w:sz w:val="26"/>
          <w:szCs w:val="26"/>
        </w:rPr>
        <w:t xml:space="preserve"> № </w:t>
      </w:r>
      <w:r w:rsidR="00B62729" w:rsidRPr="00B62729">
        <w:rPr>
          <w:bCs/>
          <w:sz w:val="26"/>
          <w:szCs w:val="26"/>
        </w:rPr>
        <w:t>СевНТЭ-247</w:t>
      </w:r>
      <w:r w:rsidR="006E7BB8" w:rsidRPr="00B62729">
        <w:rPr>
          <w:bCs/>
          <w:sz w:val="26"/>
          <w:szCs w:val="26"/>
        </w:rPr>
        <w:t xml:space="preserve"> </w:t>
      </w:r>
      <w:r w:rsidR="006E7BB8" w:rsidRPr="009F2C7F">
        <w:rPr>
          <w:bCs/>
          <w:sz w:val="26"/>
          <w:szCs w:val="26"/>
        </w:rPr>
        <w:t>(прилагается к настоящему протоколу) согласовывает предлагаемую к утверждению корректировку НВВ, участвующую в расчете тарифов на услуги по передаче электрической энергии (мощности) на 202</w:t>
      </w:r>
      <w:r>
        <w:rPr>
          <w:bCs/>
          <w:sz w:val="26"/>
          <w:szCs w:val="26"/>
        </w:rPr>
        <w:t>3</w:t>
      </w:r>
      <w:r w:rsidR="006E7BB8" w:rsidRPr="009F2C7F">
        <w:rPr>
          <w:bCs/>
          <w:sz w:val="26"/>
          <w:szCs w:val="26"/>
        </w:rPr>
        <w:t xml:space="preserve"> год.</w:t>
      </w:r>
    </w:p>
    <w:p w:rsidR="00B62729" w:rsidRPr="00B62729" w:rsidRDefault="00B62729" w:rsidP="00B62729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B62729">
        <w:rPr>
          <w:bCs/>
          <w:sz w:val="26"/>
          <w:szCs w:val="26"/>
        </w:rPr>
        <w:t>Ассоциация «НП Совет рынка» в отношении ОАО «РЖД» (Северная дирекция по энергообеспечению - структурное подразделение филиала Трансэнерго) голосует по данному вопросу «воздержался», так как:</w:t>
      </w:r>
    </w:p>
    <w:p w:rsidR="00B62729" w:rsidRPr="00B62729" w:rsidRDefault="00B62729" w:rsidP="00B62729">
      <w:pPr>
        <w:tabs>
          <w:tab w:val="left" w:pos="567"/>
        </w:tabs>
        <w:ind w:firstLine="567"/>
        <w:jc w:val="both"/>
        <w:rPr>
          <w:bCs/>
          <w:sz w:val="26"/>
          <w:szCs w:val="26"/>
        </w:rPr>
      </w:pPr>
      <w:r w:rsidRPr="00B62729">
        <w:rPr>
          <w:bCs/>
          <w:sz w:val="26"/>
          <w:szCs w:val="26"/>
        </w:rPr>
        <w:t xml:space="preserve">1) решения принимаются до опубликования до 01.11.2022 в соответствии с пунктом </w:t>
      </w:r>
      <w:r w:rsidRPr="00B62729">
        <w:rPr>
          <w:bCs/>
          <w:sz w:val="26"/>
          <w:szCs w:val="26"/>
        </w:rPr>
        <w:lastRenderedPageBreak/>
        <w:t>30(1) Правил государственного регулирования, утвержденных ПП РФ от 29.12.2011 № 1178 (далее – Правила) информации о территориальных сетевых организациях, в отношении которых устанавливаются (пересматриваются) цены (тарифы) на услуги по передаче электрической энергии на очередной расчетный период регулирования;</w:t>
      </w:r>
    </w:p>
    <w:p w:rsidR="00B62729" w:rsidRPr="00B62729" w:rsidRDefault="00B62729" w:rsidP="00B62729">
      <w:pPr>
        <w:tabs>
          <w:tab w:val="left" w:pos="567"/>
        </w:tabs>
        <w:ind w:firstLine="567"/>
        <w:jc w:val="both"/>
        <w:rPr>
          <w:bCs/>
          <w:sz w:val="26"/>
          <w:szCs w:val="26"/>
        </w:rPr>
      </w:pPr>
      <w:proofErr w:type="gramStart"/>
      <w:r w:rsidRPr="00B62729">
        <w:rPr>
          <w:bCs/>
          <w:sz w:val="26"/>
          <w:szCs w:val="26"/>
        </w:rPr>
        <w:t>2)</w:t>
      </w:r>
      <w:r w:rsidRPr="00B62729">
        <w:rPr>
          <w:bCs/>
          <w:sz w:val="26"/>
          <w:szCs w:val="26"/>
        </w:rPr>
        <w:tab/>
        <w:t>в экспертных заключениях отсутствует информация: о соответствии представленных документов ТСО пункту 17 Правил; содержит не в полном объеме сведения предусмотренные пунктом 23 Правил; об анализе исполнения сметы, утвержденной на 2021 года, а также достижении основных технико-экономических показателей; о подходе в части принятия амортизационных отчислений в соответствии с рекомендациями, представленными в письме ФАС России от 05.08.2022 № МШ/74227/22;</w:t>
      </w:r>
      <w:proofErr w:type="gramEnd"/>
    </w:p>
    <w:p w:rsidR="00B62729" w:rsidRPr="00B62729" w:rsidRDefault="00B62729" w:rsidP="00B62729">
      <w:pPr>
        <w:tabs>
          <w:tab w:val="left" w:pos="567"/>
        </w:tabs>
        <w:ind w:firstLine="567"/>
        <w:jc w:val="both"/>
        <w:rPr>
          <w:bCs/>
          <w:sz w:val="26"/>
          <w:szCs w:val="26"/>
        </w:rPr>
      </w:pPr>
      <w:r w:rsidRPr="00B62729">
        <w:rPr>
          <w:bCs/>
          <w:sz w:val="26"/>
          <w:szCs w:val="26"/>
        </w:rPr>
        <w:t>3)</w:t>
      </w:r>
      <w:r w:rsidRPr="00B62729">
        <w:rPr>
          <w:bCs/>
          <w:sz w:val="26"/>
          <w:szCs w:val="26"/>
        </w:rPr>
        <w:tab/>
        <w:t>в экспертном заключении по ТСО – ОАО «РЖД» (Северная дирекция по энергообеспечению - структурное подразделение филиала Трансэнерго) отсутствует информация о документации, на основании которой произведен анализ и скорректирован недополученный доход от технологического присоединения льготных категорий потребителей;</w:t>
      </w:r>
    </w:p>
    <w:p w:rsidR="00B62729" w:rsidRPr="00B62729" w:rsidRDefault="00B62729" w:rsidP="00B62729">
      <w:pPr>
        <w:tabs>
          <w:tab w:val="left" w:pos="567"/>
        </w:tabs>
        <w:ind w:firstLine="567"/>
        <w:jc w:val="both"/>
        <w:rPr>
          <w:bCs/>
          <w:sz w:val="26"/>
          <w:szCs w:val="26"/>
        </w:rPr>
      </w:pPr>
      <w:r w:rsidRPr="00B62729">
        <w:rPr>
          <w:bCs/>
          <w:sz w:val="26"/>
          <w:szCs w:val="26"/>
        </w:rPr>
        <w:t>4)</w:t>
      </w:r>
      <w:r w:rsidRPr="00B62729">
        <w:rPr>
          <w:bCs/>
          <w:sz w:val="26"/>
          <w:szCs w:val="26"/>
        </w:rPr>
        <w:tab/>
      </w:r>
      <w:r w:rsidRPr="00E2741D">
        <w:rPr>
          <w:bCs/>
          <w:sz w:val="26"/>
          <w:szCs w:val="26"/>
        </w:rPr>
        <w:t>в экспертных заключениях отсутствует: информация о величине потребности на финансирование мероприятий по организации интеллектуального учета в соответствии с положениями п.5 ст.37 Федерального закона № 35-ФЗ на 2023 год, за истекший период; информация о реализации программ энергоэффективности, в том числе об осуществленной проверке по ее реализации в соответствии с требованиями, утвержденными постановлением Департамента от 31.12.2015 №148-п (ред. от 14.01.2022);</w:t>
      </w:r>
    </w:p>
    <w:p w:rsidR="00B62729" w:rsidRPr="00B62729" w:rsidRDefault="00B62729" w:rsidP="00B62729">
      <w:pPr>
        <w:tabs>
          <w:tab w:val="left" w:pos="567"/>
        </w:tabs>
        <w:ind w:firstLine="567"/>
        <w:jc w:val="both"/>
        <w:rPr>
          <w:bCs/>
          <w:sz w:val="26"/>
          <w:szCs w:val="26"/>
        </w:rPr>
      </w:pPr>
      <w:r w:rsidRPr="00B62729">
        <w:rPr>
          <w:bCs/>
          <w:sz w:val="26"/>
          <w:szCs w:val="26"/>
        </w:rPr>
        <w:t>5)</w:t>
      </w:r>
      <w:r w:rsidRPr="00B62729">
        <w:rPr>
          <w:bCs/>
          <w:sz w:val="26"/>
          <w:szCs w:val="26"/>
        </w:rPr>
        <w:tab/>
        <w:t>в экспертных заключениях указано, что по рассматриваемым организациям оказание услуг по передаче не является основным видом деятельности, при этом в заключениях отсутствует информация о принципе распределения косвенных расходов между видами деятельности;</w:t>
      </w:r>
    </w:p>
    <w:p w:rsidR="00B62729" w:rsidRPr="00B62729" w:rsidRDefault="00B62729" w:rsidP="00B62729">
      <w:pPr>
        <w:tabs>
          <w:tab w:val="left" w:pos="567"/>
        </w:tabs>
        <w:ind w:firstLine="567"/>
        <w:jc w:val="both"/>
        <w:rPr>
          <w:bCs/>
          <w:sz w:val="26"/>
          <w:szCs w:val="26"/>
        </w:rPr>
      </w:pPr>
      <w:r w:rsidRPr="00B62729">
        <w:rPr>
          <w:bCs/>
          <w:sz w:val="26"/>
          <w:szCs w:val="26"/>
        </w:rPr>
        <w:t>6)</w:t>
      </w:r>
      <w:r w:rsidRPr="00B62729">
        <w:rPr>
          <w:bCs/>
          <w:sz w:val="26"/>
          <w:szCs w:val="26"/>
        </w:rPr>
        <w:tab/>
        <w:t>расходы на отчисления и социальные нужды, учитываемые в составе неподконтрольных расходов, по мнению Ассоциации</w:t>
      </w:r>
      <w:r w:rsidR="00E424F9">
        <w:rPr>
          <w:bCs/>
          <w:sz w:val="26"/>
          <w:szCs w:val="26"/>
        </w:rPr>
        <w:t>,</w:t>
      </w:r>
      <w:r w:rsidRPr="00B62729">
        <w:rPr>
          <w:bCs/>
          <w:sz w:val="26"/>
          <w:szCs w:val="26"/>
        </w:rPr>
        <w:t xml:space="preserve"> целесообразно принимать исходя из фактических отчислений за истекший период;</w:t>
      </w:r>
    </w:p>
    <w:p w:rsidR="00B62729" w:rsidRPr="00B62729" w:rsidRDefault="00B62729" w:rsidP="00B62729">
      <w:pPr>
        <w:tabs>
          <w:tab w:val="left" w:pos="567"/>
        </w:tabs>
        <w:ind w:firstLine="567"/>
        <w:jc w:val="both"/>
        <w:rPr>
          <w:bCs/>
          <w:sz w:val="26"/>
          <w:szCs w:val="26"/>
        </w:rPr>
      </w:pPr>
      <w:proofErr w:type="gramStart"/>
      <w:r w:rsidRPr="00B62729">
        <w:rPr>
          <w:bCs/>
          <w:sz w:val="26"/>
          <w:szCs w:val="26"/>
        </w:rPr>
        <w:t>7)</w:t>
      </w:r>
      <w:r w:rsidRPr="00B62729">
        <w:rPr>
          <w:bCs/>
          <w:sz w:val="26"/>
          <w:szCs w:val="26"/>
        </w:rPr>
        <w:tab/>
        <w:t>при расчете корректировки за истекший период (2021 г.) регулирующим органом используется ИПЦ на год i-1 (на 2022 г.) на уровне определенного прогнозом в размере 13,9 %, а не на уровне ИПЦ определенного при утверждении тарифов на 2022 г., который был учтен при утверждении НВВ на 2022 г. в размере 4,3 %, как предусматривают Методические указания от 17.02.2012 № 98-э.</w:t>
      </w:r>
      <w:proofErr w:type="gramEnd"/>
    </w:p>
    <w:p w:rsidR="00B62729" w:rsidRPr="00B62729" w:rsidRDefault="00B62729" w:rsidP="00B62729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proofErr w:type="gramStart"/>
      <w:r w:rsidRPr="00B62729">
        <w:rPr>
          <w:bCs/>
          <w:sz w:val="26"/>
          <w:szCs w:val="26"/>
        </w:rPr>
        <w:t>Департамент отмечает следующее, что положения п. 30(1) Правил государственного регулирования устанавливают только предельный срок публикации информации о территориальных сетевых организациях, в отношении которых устанавливаются (пересматриваются) цены (тарифы) на услуги по передаче электрической энергии на очередной расчетный период регулирования, а также о территориальных сетевых организациях, оказывающих услуги по передаче электрической энергии в текущем расчетном периоде регулирования, в отношении которых не</w:t>
      </w:r>
      <w:proofErr w:type="gramEnd"/>
      <w:r w:rsidRPr="00B62729">
        <w:rPr>
          <w:bCs/>
          <w:sz w:val="26"/>
          <w:szCs w:val="26"/>
        </w:rPr>
        <w:t xml:space="preserve"> устанавливаются (не пересматриваются) цены (тарифы) на услуги по передаче электрической энергии на очередной расчетный период регулирования. Во исполнение подпункта 8 пункта 23 Правил регулирования экспертное заключение ОАО «РЖД» (Северная дирекция по энергообеспечению - структурное подразделение филиала Трансэнерго) содержит анализ соответствия организации </w:t>
      </w:r>
      <w:r w:rsidR="00E424F9">
        <w:rPr>
          <w:bCs/>
          <w:sz w:val="26"/>
          <w:szCs w:val="26"/>
        </w:rPr>
        <w:t>К</w:t>
      </w:r>
      <w:r w:rsidRPr="00B62729">
        <w:rPr>
          <w:bCs/>
          <w:sz w:val="26"/>
          <w:szCs w:val="26"/>
        </w:rPr>
        <w:t>ритериям отнесения владельцев объектов электросетевого хозяйства к территориальным сетевым организациям.</w:t>
      </w:r>
    </w:p>
    <w:p w:rsidR="00E424F9" w:rsidRDefault="00E424F9" w:rsidP="00B62729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E424F9">
        <w:rPr>
          <w:bCs/>
          <w:sz w:val="26"/>
          <w:szCs w:val="26"/>
        </w:rPr>
        <w:t>В части в замечания об отсутствии в экспертном заключении ряда сведений, предусмотренных пунктом 23 Правил, Департамент отмечает, что в экспертном заключении соответствующая информация дополнена.</w:t>
      </w:r>
    </w:p>
    <w:p w:rsidR="00B62729" w:rsidRPr="00B62729" w:rsidRDefault="00B62729" w:rsidP="00B62729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B62729">
        <w:rPr>
          <w:bCs/>
          <w:sz w:val="26"/>
          <w:szCs w:val="26"/>
        </w:rPr>
        <w:lastRenderedPageBreak/>
        <w:t xml:space="preserve">По статье «Отчисления на социальные нужды» Департамент отмечает, что расходы по данной статье составляют </w:t>
      </w:r>
      <w:r w:rsidR="00DF497E">
        <w:rPr>
          <w:bCs/>
          <w:sz w:val="26"/>
          <w:szCs w:val="26"/>
        </w:rPr>
        <w:t>1 109,99</w:t>
      </w:r>
      <w:r w:rsidRPr="00B62729">
        <w:rPr>
          <w:bCs/>
          <w:sz w:val="26"/>
          <w:szCs w:val="26"/>
        </w:rPr>
        <w:t xml:space="preserve"> тыс. руб., что составляет 30,</w:t>
      </w:r>
      <w:r w:rsidR="00DF497E">
        <w:rPr>
          <w:bCs/>
          <w:sz w:val="26"/>
          <w:szCs w:val="26"/>
        </w:rPr>
        <w:t>38</w:t>
      </w:r>
      <w:r w:rsidRPr="00B62729">
        <w:rPr>
          <w:bCs/>
          <w:sz w:val="26"/>
          <w:szCs w:val="26"/>
        </w:rPr>
        <w:t>% от заработной платы:</w:t>
      </w:r>
    </w:p>
    <w:p w:rsidR="00B62729" w:rsidRPr="00B62729" w:rsidRDefault="00B62729" w:rsidP="00B62729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B62729">
        <w:rPr>
          <w:bCs/>
          <w:sz w:val="26"/>
          <w:szCs w:val="26"/>
        </w:rPr>
        <w:t>- Пенсионный фонд Российской Федерации – 22 %;</w:t>
      </w:r>
    </w:p>
    <w:p w:rsidR="00B62729" w:rsidRPr="00B62729" w:rsidRDefault="00B62729" w:rsidP="00B62729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B62729">
        <w:rPr>
          <w:bCs/>
          <w:sz w:val="26"/>
          <w:szCs w:val="26"/>
        </w:rPr>
        <w:t>- Фонд социального страхования РФ – 2,9 %;</w:t>
      </w:r>
    </w:p>
    <w:p w:rsidR="00B62729" w:rsidRPr="00B62729" w:rsidRDefault="00B62729" w:rsidP="00B62729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B62729">
        <w:rPr>
          <w:bCs/>
          <w:sz w:val="26"/>
          <w:szCs w:val="26"/>
        </w:rPr>
        <w:t>- Федеральный фонд обязательного медицинского страхования – 5,1 %.</w:t>
      </w:r>
    </w:p>
    <w:p w:rsidR="00B62729" w:rsidRPr="00B62729" w:rsidRDefault="00B62729" w:rsidP="00B62729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proofErr w:type="gramStart"/>
      <w:r w:rsidRPr="00B62729">
        <w:rPr>
          <w:bCs/>
          <w:sz w:val="26"/>
          <w:szCs w:val="26"/>
        </w:rPr>
        <w:t>Кроме того, при формировании тарифов на 2023 год учтен страховой тариф на обязательное социальное страхование от несчастных случаев на производстве и профессиональных заболеваний в размере 0,</w:t>
      </w:r>
      <w:r w:rsidR="00DF497E">
        <w:rPr>
          <w:bCs/>
          <w:sz w:val="26"/>
          <w:szCs w:val="26"/>
        </w:rPr>
        <w:t>38</w:t>
      </w:r>
      <w:r w:rsidRPr="00B62729">
        <w:rPr>
          <w:bCs/>
          <w:sz w:val="26"/>
          <w:szCs w:val="26"/>
        </w:rPr>
        <w:t xml:space="preserve"> %.</w:t>
      </w:r>
      <w:r w:rsidR="00606AFA" w:rsidRPr="00606AFA">
        <w:t xml:space="preserve"> </w:t>
      </w:r>
      <w:r w:rsidR="00606AFA" w:rsidRPr="00606AFA">
        <w:rPr>
          <w:bCs/>
          <w:sz w:val="26"/>
          <w:szCs w:val="26"/>
        </w:rPr>
        <w:t>Методическими указаниями от 17.02.2012 № 98-э также предусмотрена корректировка неподконтрольных расходов, исходя из фактических показателей деятельности, в том числе расходов по статье «Отчисления на социальные нужды».</w:t>
      </w:r>
      <w:proofErr w:type="gramEnd"/>
    </w:p>
    <w:p w:rsidR="006E7BB8" w:rsidRDefault="00606AFA" w:rsidP="006E7BB8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606AFA">
        <w:rPr>
          <w:bCs/>
          <w:sz w:val="26"/>
          <w:szCs w:val="26"/>
        </w:rPr>
        <w:t>При проведении экспертизы Департамент руководствовался индексами потребительских цен из прогноза социально-экономического развития Российской Федерации на 2023 год и плановый период 2024 и 2025 годов, разработанного Минэкономразвития России по состоянию от 28.09.2022, что, по мнению Департамента, не противоречит действующему законодательству.</w:t>
      </w:r>
    </w:p>
    <w:p w:rsidR="00606AFA" w:rsidRPr="006E7BB8" w:rsidRDefault="00606AFA" w:rsidP="006E7BB8">
      <w:pPr>
        <w:tabs>
          <w:tab w:val="left" w:pos="4020"/>
        </w:tabs>
        <w:ind w:firstLine="567"/>
        <w:jc w:val="both"/>
        <w:rPr>
          <w:bCs/>
          <w:sz w:val="26"/>
          <w:szCs w:val="26"/>
          <w:highlight w:val="yellow"/>
        </w:rPr>
      </w:pPr>
    </w:p>
    <w:p w:rsidR="006E7BB8" w:rsidRPr="00DF497E" w:rsidRDefault="006E7BB8" w:rsidP="006E7BB8">
      <w:pPr>
        <w:tabs>
          <w:tab w:val="left" w:pos="1134"/>
          <w:tab w:val="left" w:pos="1276"/>
        </w:tabs>
        <w:ind w:left="567"/>
        <w:contextualSpacing/>
        <w:jc w:val="both"/>
        <w:rPr>
          <w:b/>
          <w:sz w:val="26"/>
          <w:szCs w:val="26"/>
        </w:rPr>
      </w:pPr>
      <w:r w:rsidRPr="00DF497E">
        <w:rPr>
          <w:b/>
          <w:sz w:val="26"/>
          <w:szCs w:val="26"/>
        </w:rPr>
        <w:t>РЕШИЛИ:</w:t>
      </w:r>
    </w:p>
    <w:p w:rsidR="006E7BB8" w:rsidRPr="0019314A" w:rsidRDefault="006E7BB8" w:rsidP="006E7BB8">
      <w:pPr>
        <w:tabs>
          <w:tab w:val="left" w:pos="4020"/>
        </w:tabs>
        <w:ind w:firstLine="540"/>
        <w:jc w:val="both"/>
        <w:rPr>
          <w:sz w:val="26"/>
          <w:szCs w:val="26"/>
        </w:rPr>
      </w:pPr>
      <w:proofErr w:type="gramStart"/>
      <w:r w:rsidRPr="0019314A">
        <w:rPr>
          <w:sz w:val="26"/>
          <w:szCs w:val="26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19314A">
        <w:rPr>
          <w:sz w:val="26"/>
          <w:szCs w:val="26"/>
        </w:rPr>
        <w:t xml:space="preserve"> Федерации от 27.12.2004 № 861:</w:t>
      </w:r>
    </w:p>
    <w:p w:rsidR="006E7BB8" w:rsidRPr="0019314A" w:rsidRDefault="006E7BB8" w:rsidP="006E7BB8">
      <w:pPr>
        <w:tabs>
          <w:tab w:val="left" w:pos="4020"/>
        </w:tabs>
        <w:ind w:firstLine="567"/>
        <w:contextualSpacing/>
        <w:jc w:val="both"/>
        <w:rPr>
          <w:sz w:val="26"/>
          <w:szCs w:val="26"/>
        </w:rPr>
      </w:pPr>
      <w:r w:rsidRPr="0019314A">
        <w:rPr>
          <w:sz w:val="26"/>
          <w:szCs w:val="26"/>
        </w:rPr>
        <w:t>1.</w:t>
      </w:r>
      <w:r w:rsidRPr="0019314A">
        <w:t xml:space="preserve"> </w:t>
      </w:r>
      <w:r w:rsidRPr="0019314A">
        <w:rPr>
          <w:sz w:val="26"/>
          <w:szCs w:val="26"/>
        </w:rPr>
        <w:t xml:space="preserve">Внести изменения в постановление Департамента энергетики и тарифов Ивановской области от </w:t>
      </w:r>
      <w:r w:rsidR="0019314A" w:rsidRPr="0019314A">
        <w:rPr>
          <w:sz w:val="26"/>
          <w:szCs w:val="26"/>
        </w:rPr>
        <w:t>29.12</w:t>
      </w:r>
      <w:r w:rsidRPr="0019314A">
        <w:rPr>
          <w:sz w:val="26"/>
          <w:szCs w:val="26"/>
        </w:rPr>
        <w:t xml:space="preserve">.2020 № </w:t>
      </w:r>
      <w:r w:rsidR="0019314A" w:rsidRPr="0019314A">
        <w:rPr>
          <w:sz w:val="26"/>
          <w:szCs w:val="26"/>
        </w:rPr>
        <w:t>77</w:t>
      </w:r>
      <w:r w:rsidRPr="0019314A">
        <w:rPr>
          <w:sz w:val="26"/>
          <w:szCs w:val="26"/>
        </w:rPr>
        <w:t>-э/1 «</w:t>
      </w:r>
      <w:r w:rsidR="0019314A" w:rsidRPr="0019314A">
        <w:rPr>
          <w:sz w:val="26"/>
          <w:szCs w:val="26"/>
        </w:rPr>
        <w:t>Об установлении необходимой валовой выручки и долгосрочных параметров регулирования для ОАО «РЖД» (Северная дирекция по энергообеспечению - структурное подразделение филиала Трансэнерго)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 w:rsidRPr="0019314A">
        <w:rPr>
          <w:sz w:val="26"/>
          <w:szCs w:val="26"/>
        </w:rPr>
        <w:t xml:space="preserve">», изложив приложение 2 к постановлению Департамента энергетики и тарифов Ивановской области от </w:t>
      </w:r>
      <w:r w:rsidR="0019314A" w:rsidRPr="0019314A">
        <w:rPr>
          <w:sz w:val="26"/>
          <w:szCs w:val="26"/>
        </w:rPr>
        <w:t>29</w:t>
      </w:r>
      <w:r w:rsidRPr="0019314A">
        <w:rPr>
          <w:sz w:val="26"/>
          <w:szCs w:val="26"/>
        </w:rPr>
        <w:t xml:space="preserve">.12.2020 № </w:t>
      </w:r>
      <w:r w:rsidR="0019314A" w:rsidRPr="0019314A">
        <w:rPr>
          <w:sz w:val="26"/>
          <w:szCs w:val="26"/>
        </w:rPr>
        <w:t>77</w:t>
      </w:r>
      <w:r w:rsidRPr="0019314A">
        <w:rPr>
          <w:sz w:val="26"/>
          <w:szCs w:val="26"/>
        </w:rPr>
        <w:t>-э/1 в новой редакции согласно Таблице:</w:t>
      </w:r>
    </w:p>
    <w:p w:rsidR="006E7BB8" w:rsidRPr="0019314A" w:rsidRDefault="006E7BB8" w:rsidP="006E7BB8">
      <w:pPr>
        <w:tabs>
          <w:tab w:val="left" w:pos="4020"/>
        </w:tabs>
        <w:ind w:firstLine="540"/>
        <w:jc w:val="right"/>
        <w:rPr>
          <w:sz w:val="26"/>
          <w:szCs w:val="26"/>
        </w:rPr>
      </w:pPr>
      <w:r w:rsidRPr="0019314A">
        <w:rPr>
          <w:sz w:val="26"/>
          <w:szCs w:val="26"/>
        </w:rPr>
        <w:t>Таблица</w:t>
      </w:r>
    </w:p>
    <w:p w:rsidR="0019314A" w:rsidRDefault="0019314A" w:rsidP="0019314A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19314A">
        <w:rPr>
          <w:sz w:val="24"/>
          <w:szCs w:val="24"/>
        </w:rPr>
        <w:t>НВВ ОАО «РЖД» (Северная дирекция по энергообеспечению - структурное подразделение филиала Трансэнерго)</w:t>
      </w:r>
      <w:r w:rsidR="008E1C37">
        <w:rPr>
          <w:sz w:val="24"/>
          <w:szCs w:val="24"/>
        </w:rPr>
        <w:t xml:space="preserve"> </w:t>
      </w:r>
      <w:r w:rsidRPr="0019314A">
        <w:rPr>
          <w:sz w:val="24"/>
          <w:szCs w:val="24"/>
        </w:rPr>
        <w:t>на долгосрочный период регулирования (без учета оплаты потерь)</w:t>
      </w:r>
    </w:p>
    <w:p w:rsidR="006340C7" w:rsidRDefault="006340C7" w:rsidP="0019314A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37"/>
        <w:gridCol w:w="4683"/>
        <w:gridCol w:w="1100"/>
        <w:gridCol w:w="3618"/>
      </w:tblGrid>
      <w:tr w:rsidR="0019314A" w:rsidRPr="0019314A" w:rsidTr="00F925F7">
        <w:trPr>
          <w:trHeight w:val="61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19314A">
              <w:rPr>
                <w:sz w:val="24"/>
                <w:szCs w:val="24"/>
              </w:rPr>
              <w:t xml:space="preserve">№ </w:t>
            </w:r>
            <w:proofErr w:type="gramStart"/>
            <w:r w:rsidRPr="0019314A">
              <w:rPr>
                <w:sz w:val="24"/>
                <w:szCs w:val="24"/>
              </w:rPr>
              <w:t>п</w:t>
            </w:r>
            <w:proofErr w:type="gramEnd"/>
            <w:r w:rsidRPr="0019314A">
              <w:rPr>
                <w:sz w:val="24"/>
                <w:szCs w:val="24"/>
              </w:rPr>
              <w:t>/п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19314A">
              <w:rPr>
                <w:sz w:val="24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19314A">
              <w:rPr>
                <w:sz w:val="24"/>
                <w:szCs w:val="24"/>
              </w:rPr>
              <w:t>Год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19314A">
              <w:rPr>
                <w:sz w:val="24"/>
                <w:szCs w:val="24"/>
              </w:rPr>
              <w:t>НВВ сетевых организаций без учета оплаты потерь</w:t>
            </w:r>
          </w:p>
        </w:tc>
      </w:tr>
      <w:tr w:rsidR="0019314A" w:rsidRPr="0019314A" w:rsidTr="00F925F7">
        <w:trPr>
          <w:trHeight w:val="31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19314A">
              <w:rPr>
                <w:sz w:val="24"/>
                <w:szCs w:val="24"/>
              </w:rPr>
              <w:t>тыс. руб.</w:t>
            </w:r>
          </w:p>
        </w:tc>
      </w:tr>
      <w:tr w:rsidR="0019314A" w:rsidRPr="0019314A" w:rsidTr="00F925F7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19314A">
              <w:rPr>
                <w:sz w:val="24"/>
                <w:szCs w:val="24"/>
              </w:rPr>
              <w:t>1.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19314A">
              <w:rPr>
                <w:sz w:val="24"/>
                <w:szCs w:val="24"/>
              </w:rPr>
              <w:t>ОАО «РЖД» (Северная дирекция по энергообеспечению - структурное подразделение филиала Трансэнерго)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19314A">
              <w:rPr>
                <w:sz w:val="24"/>
                <w:szCs w:val="24"/>
              </w:rPr>
              <w:t>2021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19314A">
              <w:rPr>
                <w:sz w:val="24"/>
                <w:szCs w:val="24"/>
              </w:rPr>
              <w:t>9 247,62</w:t>
            </w:r>
          </w:p>
        </w:tc>
      </w:tr>
      <w:tr w:rsidR="0019314A" w:rsidRPr="0019314A" w:rsidTr="00F925F7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19314A">
              <w:rPr>
                <w:sz w:val="24"/>
                <w:szCs w:val="24"/>
              </w:rPr>
              <w:t>2022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19314A">
              <w:rPr>
                <w:sz w:val="24"/>
                <w:szCs w:val="24"/>
              </w:rPr>
              <w:t>9 089,21</w:t>
            </w:r>
          </w:p>
        </w:tc>
      </w:tr>
      <w:tr w:rsidR="0019314A" w:rsidRPr="0019314A" w:rsidTr="00F925F7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19314A">
              <w:rPr>
                <w:sz w:val="24"/>
                <w:szCs w:val="24"/>
              </w:rPr>
              <w:t>2023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19314A">
              <w:rPr>
                <w:sz w:val="24"/>
                <w:szCs w:val="24"/>
              </w:rPr>
              <w:t>12 062,16</w:t>
            </w:r>
          </w:p>
        </w:tc>
      </w:tr>
      <w:tr w:rsidR="0019314A" w:rsidRPr="0019314A" w:rsidTr="00F925F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19314A">
              <w:rPr>
                <w:sz w:val="24"/>
                <w:szCs w:val="24"/>
              </w:rPr>
              <w:t>2024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19314A">
              <w:rPr>
                <w:sz w:val="24"/>
                <w:szCs w:val="24"/>
              </w:rPr>
              <w:t>11 560,00</w:t>
            </w:r>
          </w:p>
        </w:tc>
      </w:tr>
      <w:tr w:rsidR="0019314A" w:rsidRPr="0019314A" w:rsidTr="00F925F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19314A">
              <w:rPr>
                <w:sz w:val="24"/>
                <w:szCs w:val="24"/>
              </w:rPr>
              <w:t>2025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14A" w:rsidRPr="0019314A" w:rsidRDefault="0019314A" w:rsidP="0019314A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sz w:val="24"/>
                <w:szCs w:val="24"/>
              </w:rPr>
            </w:pPr>
            <w:r w:rsidRPr="0019314A">
              <w:rPr>
                <w:sz w:val="24"/>
                <w:szCs w:val="24"/>
              </w:rPr>
              <w:t>10 737,62</w:t>
            </w:r>
          </w:p>
        </w:tc>
      </w:tr>
    </w:tbl>
    <w:p w:rsidR="0019314A" w:rsidRDefault="0019314A" w:rsidP="0019314A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</w:p>
    <w:p w:rsidR="006E7BB8" w:rsidRDefault="006E7BB8" w:rsidP="006E7BB8">
      <w:pPr>
        <w:tabs>
          <w:tab w:val="left" w:pos="4020"/>
        </w:tabs>
        <w:ind w:firstLine="540"/>
        <w:jc w:val="both"/>
        <w:rPr>
          <w:sz w:val="26"/>
          <w:szCs w:val="26"/>
        </w:rPr>
      </w:pPr>
      <w:r w:rsidRPr="0019314A">
        <w:rPr>
          <w:sz w:val="26"/>
          <w:szCs w:val="26"/>
        </w:rPr>
        <w:t>2. Постановление вступает в силу со дня его официального опубликования.</w:t>
      </w:r>
    </w:p>
    <w:p w:rsidR="008E1C37" w:rsidRPr="0019314A" w:rsidRDefault="008E1C37" w:rsidP="006E7BB8">
      <w:pPr>
        <w:tabs>
          <w:tab w:val="left" w:pos="4020"/>
        </w:tabs>
        <w:ind w:firstLine="540"/>
        <w:jc w:val="both"/>
        <w:rPr>
          <w:sz w:val="26"/>
          <w:szCs w:val="26"/>
        </w:rPr>
      </w:pPr>
      <w:bookmarkStart w:id="0" w:name="_GoBack"/>
      <w:bookmarkEnd w:id="0"/>
    </w:p>
    <w:p w:rsidR="006E7BB8" w:rsidRPr="00FD73D3" w:rsidRDefault="006E7BB8" w:rsidP="006E7BB8">
      <w:pPr>
        <w:tabs>
          <w:tab w:val="left" w:pos="4020"/>
        </w:tabs>
        <w:ind w:firstLine="540"/>
        <w:rPr>
          <w:sz w:val="26"/>
          <w:szCs w:val="26"/>
        </w:rPr>
      </w:pPr>
      <w:r w:rsidRPr="00FD73D3">
        <w:rPr>
          <w:sz w:val="26"/>
          <w:szCs w:val="26"/>
        </w:rPr>
        <w:lastRenderedPageBreak/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6E7BB8" w:rsidRPr="00FD73D3" w:rsidTr="00056A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 xml:space="preserve">№ </w:t>
            </w:r>
            <w:proofErr w:type="gramStart"/>
            <w:r w:rsidRPr="00FD73D3">
              <w:rPr>
                <w:sz w:val="26"/>
                <w:szCs w:val="26"/>
              </w:rPr>
              <w:t>п</w:t>
            </w:r>
            <w:proofErr w:type="gramEnd"/>
            <w:r w:rsidRPr="00FD73D3">
              <w:rPr>
                <w:sz w:val="26"/>
                <w:szCs w:val="26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Результаты голосования</w:t>
            </w:r>
          </w:p>
        </w:tc>
      </w:tr>
      <w:tr w:rsidR="006E7BB8" w:rsidRPr="00FD73D3" w:rsidTr="00056A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6E7BB8" w:rsidRPr="00FD73D3" w:rsidTr="00056A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6E7BB8" w:rsidRPr="00FD73D3" w:rsidTr="00056A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6E7BB8" w:rsidRPr="00FD73D3" w:rsidTr="00056A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6E7BB8" w:rsidRPr="00FD73D3" w:rsidTr="00056A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6E7BB8" w:rsidRPr="00FD73D3" w:rsidTr="00056A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6E7BB8" w:rsidRPr="00FD73D3" w:rsidTr="00056A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6E7BB8" w:rsidRPr="00FD73D3" w:rsidTr="00056A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6E7BB8" w:rsidP="006E7BB8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8" w:rsidRPr="00FD73D3" w:rsidRDefault="00FD73D3" w:rsidP="006E7BB8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воздержался</w:t>
            </w:r>
          </w:p>
        </w:tc>
      </w:tr>
    </w:tbl>
    <w:p w:rsidR="00147B89" w:rsidRPr="00C875E3" w:rsidRDefault="006E7BB8" w:rsidP="006E7BB8">
      <w:pPr>
        <w:tabs>
          <w:tab w:val="left" w:pos="4020"/>
        </w:tabs>
        <w:ind w:left="284" w:firstLine="283"/>
        <w:rPr>
          <w:sz w:val="26"/>
          <w:szCs w:val="26"/>
        </w:rPr>
      </w:pPr>
      <w:r w:rsidRPr="00FD73D3">
        <w:rPr>
          <w:sz w:val="26"/>
          <w:szCs w:val="26"/>
        </w:rPr>
        <w:t>Итого: за</w:t>
      </w:r>
      <w:r w:rsidR="00FD73D3">
        <w:rPr>
          <w:sz w:val="26"/>
          <w:szCs w:val="26"/>
        </w:rPr>
        <w:t xml:space="preserve"> – 7, против – 0, воздержался – 1</w:t>
      </w:r>
      <w:r w:rsidRPr="00FD73D3">
        <w:rPr>
          <w:sz w:val="26"/>
          <w:szCs w:val="26"/>
        </w:rPr>
        <w:t>, отсутствуют –</w:t>
      </w:r>
      <w:r w:rsidR="00A342A8">
        <w:rPr>
          <w:sz w:val="26"/>
          <w:szCs w:val="26"/>
        </w:rPr>
        <w:t xml:space="preserve"> 0.</w:t>
      </w:r>
    </w:p>
    <w:p w:rsidR="006A3BBE" w:rsidRDefault="006A3BBE" w:rsidP="006E7BB8">
      <w:pPr>
        <w:tabs>
          <w:tab w:val="left" w:pos="4020"/>
        </w:tabs>
        <w:ind w:left="284" w:firstLine="283"/>
        <w:rPr>
          <w:sz w:val="26"/>
          <w:szCs w:val="26"/>
        </w:rPr>
      </w:pPr>
    </w:p>
    <w:p w:rsidR="006E7BB8" w:rsidRPr="006A3BBE" w:rsidRDefault="006A3BBE" w:rsidP="006A3BBE">
      <w:pPr>
        <w:pStyle w:val="aa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b/>
          <w:bCs/>
          <w:sz w:val="26"/>
          <w:szCs w:val="26"/>
        </w:rPr>
      </w:pPr>
      <w:r w:rsidRPr="006A3BBE">
        <w:rPr>
          <w:b/>
          <w:sz w:val="26"/>
          <w:szCs w:val="26"/>
        </w:rPr>
        <w:t>С</w:t>
      </w:r>
      <w:r w:rsidR="001F414F">
        <w:rPr>
          <w:b/>
          <w:sz w:val="26"/>
          <w:szCs w:val="26"/>
        </w:rPr>
        <w:t>ЛУШАЛИ</w:t>
      </w:r>
      <w:r w:rsidRPr="006A3BBE">
        <w:rPr>
          <w:b/>
          <w:sz w:val="26"/>
          <w:szCs w:val="26"/>
        </w:rPr>
        <w:t>: О внесении изменений в постановление Департамента энергетики и тарифов Ивановской области от 27.12.2021 № 59-э/1 «О сбытовых надбавках для гарантирующих поставщиков электрической энергии на территории Ивановской области» (в части сбытовых надбавок для Ивановского филиала АО «ЭнергосбыТ Плюс» во исполнение решения ФАС России)</w:t>
      </w:r>
      <w:r w:rsidRPr="006A3BBE">
        <w:rPr>
          <w:b/>
          <w:bCs/>
          <w:sz w:val="26"/>
          <w:szCs w:val="26"/>
        </w:rPr>
        <w:t xml:space="preserve"> (Морева, Коннова)</w:t>
      </w:r>
      <w:r>
        <w:rPr>
          <w:b/>
          <w:bCs/>
          <w:sz w:val="26"/>
          <w:szCs w:val="26"/>
        </w:rPr>
        <w:t>.</w:t>
      </w:r>
    </w:p>
    <w:p w:rsidR="006A3BBE" w:rsidRDefault="006A3BBE" w:rsidP="006A3BBE">
      <w:pPr>
        <w:tabs>
          <w:tab w:val="left" w:pos="4020"/>
        </w:tabs>
        <w:ind w:left="284" w:firstLine="283"/>
        <w:jc w:val="both"/>
        <w:rPr>
          <w:b/>
          <w:bCs/>
          <w:sz w:val="26"/>
          <w:szCs w:val="26"/>
        </w:rPr>
      </w:pPr>
    </w:p>
    <w:p w:rsidR="00FE5E09" w:rsidRPr="00FE5E09" w:rsidRDefault="00FE5E09" w:rsidP="00FE5E09">
      <w:pPr>
        <w:ind w:firstLine="567"/>
        <w:jc w:val="both"/>
        <w:rPr>
          <w:sz w:val="26"/>
          <w:szCs w:val="26"/>
        </w:rPr>
      </w:pPr>
      <w:r w:rsidRPr="00FE5E09">
        <w:rPr>
          <w:sz w:val="26"/>
          <w:szCs w:val="26"/>
        </w:rPr>
        <w:t>В соответствии с решением ФАС России от 21.09.2022 № СП/87601/22 (далее – Решение ФАС от 21.09.2022) об установлении нового срока исполнения решения ФАС России от 25.07.2022 № 31/70105/22 (далее – Решение ФАС от 25.07.2022) учет экономически обоснованных расходов в соответствии с решением ФАС от 25.</w:t>
      </w:r>
      <w:r w:rsidR="009C6282">
        <w:rPr>
          <w:sz w:val="26"/>
          <w:szCs w:val="26"/>
        </w:rPr>
        <w:t>07.2022</w:t>
      </w:r>
      <w:r w:rsidRPr="00FE5E09">
        <w:rPr>
          <w:sz w:val="26"/>
          <w:szCs w:val="26"/>
        </w:rPr>
        <w:t xml:space="preserve"> должен был быть произведен Департаментом энергетики и тарифов Ивановской области (далее – Департамент) в 2022 году, начиная с 01 сентября 2022 года. </w:t>
      </w:r>
    </w:p>
    <w:p w:rsidR="00FE5E09" w:rsidRPr="00FE5E09" w:rsidRDefault="00FE5E09" w:rsidP="00FE5E09">
      <w:pPr>
        <w:ind w:firstLine="567"/>
        <w:jc w:val="both"/>
        <w:rPr>
          <w:sz w:val="26"/>
          <w:szCs w:val="26"/>
        </w:rPr>
      </w:pPr>
      <w:r w:rsidRPr="00FE5E09">
        <w:rPr>
          <w:sz w:val="26"/>
          <w:szCs w:val="26"/>
        </w:rPr>
        <w:t>Согласно Решению от 21.09.2022 Департаменту необходимо в срок до 01.11.2022г. пересмотреть сбытовые надбавки гарантирующего поставщика электрической энергии (далее – ГП) Ивановского филиала АО «ЭнергосбыТ Плюс», установленные Департаментом на 2022 год с 01.09.2022г</w:t>
      </w:r>
      <w:r w:rsidR="009C6282">
        <w:rPr>
          <w:sz w:val="26"/>
          <w:szCs w:val="26"/>
        </w:rPr>
        <w:t>.</w:t>
      </w:r>
      <w:r w:rsidRPr="00FE5E09">
        <w:rPr>
          <w:sz w:val="26"/>
          <w:szCs w:val="26"/>
        </w:rPr>
        <w:t xml:space="preserve"> (постановление Департамента от 12.08.2022 № 30-э/1 «О внесении изменений в постановление Департамента энергетики и тарифов Ивановской области от 27.12.2021 № 59-э/1 «О сбытовых надбавках для гарантирующих поставщиков электрической энергии на территории Ивановской области»»).</w:t>
      </w:r>
    </w:p>
    <w:p w:rsidR="00FE5E09" w:rsidRPr="00FE5E09" w:rsidRDefault="00FE5E09" w:rsidP="00FE5E09">
      <w:pPr>
        <w:ind w:firstLine="567"/>
        <w:jc w:val="both"/>
        <w:rPr>
          <w:sz w:val="26"/>
          <w:szCs w:val="26"/>
        </w:rPr>
      </w:pPr>
      <w:proofErr w:type="gramStart"/>
      <w:r w:rsidRPr="00FE5E09">
        <w:rPr>
          <w:bCs/>
          <w:sz w:val="26"/>
          <w:szCs w:val="26"/>
        </w:rPr>
        <w:t>С учетом вышеизложе</w:t>
      </w:r>
      <w:r w:rsidR="009C6282">
        <w:rPr>
          <w:bCs/>
          <w:sz w:val="26"/>
          <w:szCs w:val="26"/>
        </w:rPr>
        <w:t>нного, а также положений п.</w:t>
      </w:r>
      <w:r w:rsidRPr="00FE5E09">
        <w:rPr>
          <w:bCs/>
          <w:sz w:val="26"/>
          <w:szCs w:val="26"/>
        </w:rPr>
        <w:t xml:space="preserve"> 7 Основ ценообразования</w:t>
      </w:r>
      <w:r w:rsidRPr="00FE5E09">
        <w:rPr>
          <w:sz w:val="26"/>
          <w:szCs w:val="26"/>
        </w:rPr>
        <w:t xml:space="preserve"> </w:t>
      </w:r>
      <w:r w:rsidRPr="00FE5E09">
        <w:rPr>
          <w:bCs/>
          <w:sz w:val="26"/>
          <w:szCs w:val="26"/>
        </w:rPr>
        <w:t>в области регулируемых цен (тарифов) в электроэнергетике и Правил государственного регулирования (пересмотра, применения) цен (тарифов) в электроэнергетике, утвержденных постановлением Правительства РФ от 29.12.2011 № 1178, с целью приведения расчета сбытовых надбавок гарантирующего поставщика электрической энергии Ивановского филиала АО «ЭнергосбыТ Плюс» на 2022 год в соответствие с Решением от 21.09.2022 необходимо внести</w:t>
      </w:r>
      <w:proofErr w:type="gramEnd"/>
      <w:r w:rsidRPr="00FE5E09">
        <w:rPr>
          <w:bCs/>
          <w:sz w:val="26"/>
          <w:szCs w:val="26"/>
        </w:rPr>
        <w:t xml:space="preserve"> соответствующие изменения в Экспертное заключение Департамента от 27.12.2021 по расчету сбытовых надбавок гарантирующего поставщика </w:t>
      </w:r>
      <w:proofErr w:type="gramStart"/>
      <w:r w:rsidRPr="00FE5E09">
        <w:rPr>
          <w:bCs/>
          <w:sz w:val="26"/>
          <w:szCs w:val="26"/>
        </w:rPr>
        <w:t>электрической</w:t>
      </w:r>
      <w:proofErr w:type="gramEnd"/>
      <w:r w:rsidRPr="00FE5E09">
        <w:rPr>
          <w:bCs/>
          <w:sz w:val="26"/>
          <w:szCs w:val="26"/>
        </w:rPr>
        <w:t xml:space="preserve"> энергии Ивановского филиала АО «ЭнергосбыТ Плюс» на 2022 год.</w:t>
      </w:r>
    </w:p>
    <w:p w:rsidR="00F925F7" w:rsidRPr="009C6282" w:rsidRDefault="00F925F7" w:rsidP="00FE5E09">
      <w:pPr>
        <w:jc w:val="both"/>
        <w:rPr>
          <w:sz w:val="26"/>
          <w:szCs w:val="26"/>
        </w:rPr>
      </w:pPr>
    </w:p>
    <w:p w:rsidR="00F925F7" w:rsidRPr="00F925F7" w:rsidRDefault="00F925F7" w:rsidP="00F925F7">
      <w:pPr>
        <w:jc w:val="center"/>
        <w:rPr>
          <w:sz w:val="26"/>
          <w:szCs w:val="26"/>
        </w:rPr>
      </w:pPr>
      <w:r w:rsidRPr="00F925F7">
        <w:rPr>
          <w:b/>
          <w:bCs/>
          <w:sz w:val="26"/>
          <w:szCs w:val="26"/>
        </w:rPr>
        <w:t>Расчет сбытовых надбавок ГП для прочих потребителей</w:t>
      </w:r>
    </w:p>
    <w:p w:rsidR="00175CED" w:rsidRDefault="00175CED" w:rsidP="00FE5E09">
      <w:pPr>
        <w:ind w:firstLine="567"/>
        <w:jc w:val="both"/>
        <w:rPr>
          <w:sz w:val="26"/>
          <w:szCs w:val="26"/>
        </w:rPr>
      </w:pPr>
    </w:p>
    <w:p w:rsidR="00FE5E09" w:rsidRPr="00FE5E09" w:rsidRDefault="00FE5E09" w:rsidP="00FE5E09">
      <w:pPr>
        <w:ind w:firstLine="567"/>
        <w:jc w:val="both"/>
        <w:rPr>
          <w:sz w:val="26"/>
          <w:szCs w:val="26"/>
        </w:rPr>
      </w:pPr>
      <w:proofErr w:type="gramStart"/>
      <w:r w:rsidRPr="00FE5E09">
        <w:rPr>
          <w:sz w:val="26"/>
          <w:szCs w:val="26"/>
        </w:rPr>
        <w:t xml:space="preserve">Согласно Изменению в экспертное заключение по расчету сбытовых надбавок гарантирующего поставщика электрической энергии Ивановского филиала АО «ЭнергосбыТ Плюс» на 2022 год от 02.08.2022г. Департаментом во исполнение Решения ФАС от 25.07.2022 в составе НВВ ГП дополнительно были учтены средства в размере 146 780 698,59 руб. Как следствие, </w:t>
      </w:r>
      <w:r w:rsidR="00C875E3">
        <w:rPr>
          <w:sz w:val="26"/>
          <w:szCs w:val="26"/>
        </w:rPr>
        <w:t>Департаментом</w:t>
      </w:r>
      <w:r w:rsidRPr="00FE5E09">
        <w:rPr>
          <w:sz w:val="26"/>
          <w:szCs w:val="26"/>
        </w:rPr>
        <w:t xml:space="preserve"> был произведен перерасчет сбытовых надбавок для </w:t>
      </w:r>
      <w:r w:rsidR="009C6282">
        <w:rPr>
          <w:sz w:val="26"/>
          <w:szCs w:val="26"/>
        </w:rPr>
        <w:t>ГП</w:t>
      </w:r>
      <w:r w:rsidRPr="00FE5E09">
        <w:rPr>
          <w:sz w:val="26"/>
          <w:szCs w:val="26"/>
        </w:rPr>
        <w:t xml:space="preserve"> Ивановского филиала АО «ЭнергосбыТ Плюс</w:t>
      </w:r>
      <w:proofErr w:type="gramEnd"/>
      <w:r w:rsidRPr="00FE5E09">
        <w:rPr>
          <w:sz w:val="26"/>
          <w:szCs w:val="26"/>
        </w:rPr>
        <w:t xml:space="preserve">» на 2022г. Соответствующее постановление </w:t>
      </w:r>
      <w:r w:rsidRPr="00FE5E09">
        <w:rPr>
          <w:sz w:val="26"/>
          <w:szCs w:val="26"/>
        </w:rPr>
        <w:lastRenderedPageBreak/>
        <w:t>Департамента от 12.08.2022 № 30-э/1 «О внесении изменений в постановление Департамента энергетики и тарифов Ивановской области от 27.12.2021 № 59-э/1 «О сбытовых надбавках для гарантирующих поставщиков электрической энергии на территории Ивановской области»» вступило в силу со дня его официального опубликования и распространяется на правоотношения, возникшие с 01.09.2022г.</w:t>
      </w:r>
    </w:p>
    <w:p w:rsidR="00FE5E09" w:rsidRDefault="00FE5E09" w:rsidP="00FE5E09">
      <w:pPr>
        <w:ind w:firstLine="567"/>
        <w:jc w:val="both"/>
        <w:rPr>
          <w:sz w:val="26"/>
          <w:szCs w:val="26"/>
        </w:rPr>
      </w:pPr>
      <w:proofErr w:type="gramStart"/>
      <w:r w:rsidRPr="00FE5E09">
        <w:rPr>
          <w:sz w:val="26"/>
          <w:szCs w:val="26"/>
        </w:rPr>
        <w:t xml:space="preserve">Исходя из разницы в первоначально утвержденных сбытовых надбавках для ГП Ивановский филиал АО «ЭнергосбыТ Плюс» на 2-е полугодие 2022г. (постановление Департамента от 27.12.2021 № 59-э/1 (ред. от 14.01.2022)) и сбытовых надбавках после пересмотра с 01.09.2022г., а также плановых объемов электрической энергии в сентябре и октябре 2022г., поставляемой ГП прочим потребителям, </w:t>
      </w:r>
      <w:r w:rsidR="00C875E3">
        <w:rPr>
          <w:sz w:val="26"/>
          <w:szCs w:val="26"/>
        </w:rPr>
        <w:t>Департаментом</w:t>
      </w:r>
      <w:r w:rsidRPr="00FE5E09">
        <w:rPr>
          <w:sz w:val="26"/>
          <w:szCs w:val="26"/>
        </w:rPr>
        <w:t xml:space="preserve"> расчетным способом была определена дельта</w:t>
      </w:r>
      <w:r w:rsidR="009C6282">
        <w:rPr>
          <w:sz w:val="26"/>
          <w:szCs w:val="26"/>
        </w:rPr>
        <w:t xml:space="preserve"> необходимой валовой выручки</w:t>
      </w:r>
      <w:proofErr w:type="gramEnd"/>
      <w:r w:rsidR="009C6282">
        <w:rPr>
          <w:sz w:val="26"/>
          <w:szCs w:val="26"/>
        </w:rPr>
        <w:t xml:space="preserve"> (далее – НВВ)</w:t>
      </w:r>
      <w:r w:rsidRPr="00FE5E09">
        <w:rPr>
          <w:sz w:val="26"/>
          <w:szCs w:val="26"/>
        </w:rPr>
        <w:t xml:space="preserve"> (дополнительно </w:t>
      </w:r>
      <w:proofErr w:type="gramStart"/>
      <w:r w:rsidRPr="00FE5E09">
        <w:rPr>
          <w:sz w:val="26"/>
          <w:szCs w:val="26"/>
        </w:rPr>
        <w:t>учтенной</w:t>
      </w:r>
      <w:proofErr w:type="gramEnd"/>
      <w:r w:rsidRPr="00FE5E09">
        <w:rPr>
          <w:sz w:val="26"/>
          <w:szCs w:val="26"/>
        </w:rPr>
        <w:t xml:space="preserve"> Департаментом по решению ФАС от 25.07.2022), собираемая ГП за период с 01.09.2022г. по 30.10.2022г. </w:t>
      </w:r>
    </w:p>
    <w:p w:rsidR="00175CED" w:rsidRPr="00FE5E09" w:rsidRDefault="00175CED" w:rsidP="00FE5E09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969"/>
        <w:gridCol w:w="1985"/>
        <w:gridCol w:w="1984"/>
        <w:gridCol w:w="1701"/>
        <w:gridCol w:w="1525"/>
      </w:tblGrid>
      <w:tr w:rsidR="00FE5E09" w:rsidRPr="00B20976" w:rsidTr="00FE5E09">
        <w:trPr>
          <w:trHeight w:val="572"/>
        </w:trPr>
        <w:tc>
          <w:tcPr>
            <w:tcW w:w="1974" w:type="dxa"/>
            <w:shd w:val="clear" w:color="auto" w:fill="auto"/>
            <w:hideMark/>
          </w:tcPr>
          <w:p w:rsidR="00FE5E09" w:rsidRPr="00B20976" w:rsidRDefault="00FE5E09" w:rsidP="00FE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69" w:type="dxa"/>
            <w:shd w:val="clear" w:color="auto" w:fill="auto"/>
            <w:hideMark/>
          </w:tcPr>
          <w:p w:rsidR="00FE5E09" w:rsidRPr="00B20976" w:rsidRDefault="00FE5E09" w:rsidP="00FE5E09">
            <w:pPr>
              <w:jc w:val="center"/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кВт*</w:t>
            </w:r>
            <w:proofErr w:type="gramStart"/>
            <w:r w:rsidRPr="00B20976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985" w:type="dxa"/>
            <w:shd w:val="clear" w:color="auto" w:fill="auto"/>
            <w:hideMark/>
          </w:tcPr>
          <w:p w:rsidR="00FE5E09" w:rsidRPr="00A342A8" w:rsidRDefault="00FE5E09" w:rsidP="00FE5E09">
            <w:pPr>
              <w:jc w:val="center"/>
              <w:rPr>
                <w:bCs/>
                <w:sz w:val="22"/>
                <w:szCs w:val="22"/>
              </w:rPr>
            </w:pPr>
            <w:r w:rsidRPr="00A342A8">
              <w:rPr>
                <w:bCs/>
                <w:sz w:val="22"/>
                <w:szCs w:val="22"/>
              </w:rPr>
              <w:t>Прочие до 670 кВт</w:t>
            </w:r>
          </w:p>
        </w:tc>
        <w:tc>
          <w:tcPr>
            <w:tcW w:w="1984" w:type="dxa"/>
            <w:shd w:val="clear" w:color="auto" w:fill="auto"/>
            <w:hideMark/>
          </w:tcPr>
          <w:p w:rsidR="00FE5E09" w:rsidRPr="00A342A8" w:rsidRDefault="00FE5E09" w:rsidP="00FE5E09">
            <w:pPr>
              <w:jc w:val="center"/>
              <w:rPr>
                <w:bCs/>
                <w:sz w:val="22"/>
                <w:szCs w:val="22"/>
              </w:rPr>
            </w:pPr>
            <w:r w:rsidRPr="00A342A8">
              <w:rPr>
                <w:bCs/>
                <w:sz w:val="22"/>
                <w:szCs w:val="22"/>
              </w:rPr>
              <w:t>Прочие 670 кВт-10 МВт</w:t>
            </w:r>
          </w:p>
        </w:tc>
        <w:tc>
          <w:tcPr>
            <w:tcW w:w="1701" w:type="dxa"/>
            <w:shd w:val="clear" w:color="auto" w:fill="auto"/>
            <w:hideMark/>
          </w:tcPr>
          <w:p w:rsidR="00FE5E09" w:rsidRPr="00A342A8" w:rsidRDefault="00FE5E09" w:rsidP="009C6282">
            <w:pPr>
              <w:jc w:val="center"/>
              <w:rPr>
                <w:bCs/>
                <w:sz w:val="22"/>
                <w:szCs w:val="22"/>
              </w:rPr>
            </w:pPr>
            <w:r w:rsidRPr="00A342A8">
              <w:rPr>
                <w:bCs/>
                <w:sz w:val="22"/>
                <w:szCs w:val="22"/>
              </w:rPr>
              <w:t xml:space="preserve">Прочие </w:t>
            </w:r>
            <w:r w:rsidR="009C6282" w:rsidRPr="00A342A8">
              <w:rPr>
                <w:bCs/>
                <w:sz w:val="22"/>
                <w:szCs w:val="22"/>
              </w:rPr>
              <w:t>не менее</w:t>
            </w:r>
            <w:r w:rsidRPr="00A342A8">
              <w:rPr>
                <w:bCs/>
                <w:sz w:val="22"/>
                <w:szCs w:val="22"/>
              </w:rPr>
              <w:t xml:space="preserve"> 10 МВт</w:t>
            </w:r>
          </w:p>
        </w:tc>
        <w:tc>
          <w:tcPr>
            <w:tcW w:w="1525" w:type="dxa"/>
            <w:shd w:val="clear" w:color="auto" w:fill="auto"/>
            <w:hideMark/>
          </w:tcPr>
          <w:p w:rsidR="00FE5E09" w:rsidRPr="00A342A8" w:rsidRDefault="00FE5E09" w:rsidP="00FE5E09">
            <w:pPr>
              <w:jc w:val="center"/>
              <w:rPr>
                <w:bCs/>
                <w:sz w:val="22"/>
                <w:szCs w:val="22"/>
              </w:rPr>
            </w:pPr>
            <w:r w:rsidRPr="00A342A8">
              <w:rPr>
                <w:bCs/>
                <w:sz w:val="22"/>
                <w:szCs w:val="22"/>
              </w:rPr>
              <w:t>Итого</w:t>
            </w:r>
            <w:proofErr w:type="gramStart"/>
            <w:r w:rsidRPr="00A342A8">
              <w:rPr>
                <w:bCs/>
                <w:sz w:val="22"/>
                <w:szCs w:val="22"/>
              </w:rPr>
              <w:t xml:space="preserve"> П</w:t>
            </w:r>
            <w:proofErr w:type="gramEnd"/>
            <w:r w:rsidRPr="00A342A8">
              <w:rPr>
                <w:bCs/>
                <w:sz w:val="22"/>
                <w:szCs w:val="22"/>
              </w:rPr>
              <w:t>рочие</w:t>
            </w:r>
          </w:p>
        </w:tc>
      </w:tr>
      <w:tr w:rsidR="00FE5E09" w:rsidRPr="00B20976" w:rsidTr="00FE5E09">
        <w:trPr>
          <w:trHeight w:val="630"/>
        </w:trPr>
        <w:tc>
          <w:tcPr>
            <w:tcW w:w="1974" w:type="dxa"/>
            <w:shd w:val="clear" w:color="auto" w:fill="auto"/>
            <w:hideMark/>
          </w:tcPr>
          <w:p w:rsidR="00FE5E09" w:rsidRPr="00B20976" w:rsidRDefault="00FE5E09" w:rsidP="00FE5E09">
            <w:pPr>
              <w:jc w:val="both"/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 xml:space="preserve">Объем ЭЭ прочим в СПБ 2 </w:t>
            </w:r>
            <w:proofErr w:type="spellStart"/>
            <w:r w:rsidRPr="00B20976">
              <w:rPr>
                <w:sz w:val="22"/>
                <w:szCs w:val="22"/>
              </w:rPr>
              <w:t>пг</w:t>
            </w:r>
            <w:proofErr w:type="spellEnd"/>
            <w:r w:rsidRPr="00B20976">
              <w:rPr>
                <w:sz w:val="22"/>
                <w:szCs w:val="22"/>
              </w:rPr>
              <w:t xml:space="preserve"> 2022г.</w:t>
            </w:r>
          </w:p>
        </w:tc>
        <w:tc>
          <w:tcPr>
            <w:tcW w:w="969" w:type="dxa"/>
            <w:shd w:val="clear" w:color="auto" w:fill="auto"/>
            <w:hideMark/>
          </w:tcPr>
          <w:p w:rsidR="00FE5E09" w:rsidRPr="00B20976" w:rsidRDefault="00FE5E09" w:rsidP="00FE5E09">
            <w:pPr>
              <w:jc w:val="both"/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 xml:space="preserve">Э пп i, 2 </w:t>
            </w:r>
            <w:proofErr w:type="gramStart"/>
            <w:r w:rsidRPr="00B20976">
              <w:rPr>
                <w:sz w:val="22"/>
                <w:szCs w:val="22"/>
              </w:rPr>
              <w:t>п</w:t>
            </w:r>
            <w:proofErr w:type="gramEnd"/>
            <w:r w:rsidRPr="00B20976">
              <w:rPr>
                <w:sz w:val="22"/>
                <w:szCs w:val="22"/>
              </w:rPr>
              <w:t>/г</w:t>
            </w:r>
          </w:p>
        </w:tc>
        <w:tc>
          <w:tcPr>
            <w:tcW w:w="1985" w:type="dxa"/>
            <w:shd w:val="clear" w:color="auto" w:fill="auto"/>
            <w:hideMark/>
          </w:tcPr>
          <w:p w:rsidR="00FE5E09" w:rsidRPr="00B20976" w:rsidRDefault="00FE5E09" w:rsidP="00FE5E09">
            <w:pPr>
              <w:jc w:val="both"/>
              <w:rPr>
                <w:b/>
                <w:bCs/>
                <w:sz w:val="22"/>
                <w:szCs w:val="22"/>
              </w:rPr>
            </w:pPr>
            <w:r w:rsidRPr="00B20976">
              <w:rPr>
                <w:b/>
                <w:bCs/>
                <w:sz w:val="22"/>
                <w:szCs w:val="22"/>
              </w:rPr>
              <w:t>379 761 338</w:t>
            </w:r>
          </w:p>
        </w:tc>
        <w:tc>
          <w:tcPr>
            <w:tcW w:w="1984" w:type="dxa"/>
            <w:shd w:val="clear" w:color="auto" w:fill="auto"/>
            <w:hideMark/>
          </w:tcPr>
          <w:p w:rsidR="00FE5E09" w:rsidRPr="00B20976" w:rsidRDefault="00FE5E09" w:rsidP="00FE5E09">
            <w:pPr>
              <w:jc w:val="both"/>
              <w:rPr>
                <w:b/>
                <w:bCs/>
                <w:sz w:val="22"/>
                <w:szCs w:val="22"/>
              </w:rPr>
            </w:pPr>
            <w:r w:rsidRPr="00B20976">
              <w:rPr>
                <w:b/>
                <w:bCs/>
                <w:sz w:val="22"/>
                <w:szCs w:val="22"/>
              </w:rPr>
              <w:t>206 226 114</w:t>
            </w:r>
          </w:p>
        </w:tc>
        <w:tc>
          <w:tcPr>
            <w:tcW w:w="1701" w:type="dxa"/>
            <w:shd w:val="clear" w:color="auto" w:fill="auto"/>
            <w:hideMark/>
          </w:tcPr>
          <w:p w:rsidR="00FE5E09" w:rsidRPr="00B20976" w:rsidRDefault="00FE5E09" w:rsidP="00FE5E09">
            <w:pPr>
              <w:jc w:val="both"/>
              <w:rPr>
                <w:b/>
                <w:bCs/>
                <w:sz w:val="22"/>
                <w:szCs w:val="22"/>
              </w:rPr>
            </w:pPr>
            <w:r w:rsidRPr="00B20976">
              <w:rPr>
                <w:b/>
                <w:bCs/>
                <w:sz w:val="22"/>
                <w:szCs w:val="22"/>
              </w:rPr>
              <w:t>13 886 848</w:t>
            </w:r>
          </w:p>
        </w:tc>
        <w:tc>
          <w:tcPr>
            <w:tcW w:w="1525" w:type="dxa"/>
            <w:shd w:val="clear" w:color="auto" w:fill="auto"/>
            <w:hideMark/>
          </w:tcPr>
          <w:p w:rsidR="00FE5E09" w:rsidRPr="00B20976" w:rsidRDefault="00FE5E09" w:rsidP="00FE5E09">
            <w:pPr>
              <w:jc w:val="both"/>
              <w:rPr>
                <w:b/>
                <w:bCs/>
                <w:sz w:val="22"/>
                <w:szCs w:val="22"/>
              </w:rPr>
            </w:pPr>
            <w:r w:rsidRPr="00B20976">
              <w:rPr>
                <w:b/>
                <w:bCs/>
                <w:sz w:val="22"/>
                <w:szCs w:val="22"/>
              </w:rPr>
              <w:t>599 874 300</w:t>
            </w:r>
          </w:p>
        </w:tc>
      </w:tr>
      <w:tr w:rsidR="00FE5E09" w:rsidRPr="00B20976" w:rsidTr="00FE5E09">
        <w:trPr>
          <w:trHeight w:val="396"/>
        </w:trPr>
        <w:tc>
          <w:tcPr>
            <w:tcW w:w="1974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Июль</w:t>
            </w:r>
          </w:p>
        </w:tc>
        <w:tc>
          <w:tcPr>
            <w:tcW w:w="969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53 013 826</w:t>
            </w:r>
          </w:p>
        </w:tc>
        <w:tc>
          <w:tcPr>
            <w:tcW w:w="1984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28 788 700</w:t>
            </w:r>
          </w:p>
        </w:tc>
        <w:tc>
          <w:tcPr>
            <w:tcW w:w="1701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1 938 573</w:t>
            </w:r>
          </w:p>
        </w:tc>
        <w:tc>
          <w:tcPr>
            <w:tcW w:w="1525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83 741 099</w:t>
            </w:r>
          </w:p>
        </w:tc>
      </w:tr>
      <w:tr w:rsidR="00FE5E09" w:rsidRPr="00B20976" w:rsidTr="00FE5E09">
        <w:trPr>
          <w:trHeight w:val="401"/>
        </w:trPr>
        <w:tc>
          <w:tcPr>
            <w:tcW w:w="1974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Август</w:t>
            </w:r>
          </w:p>
        </w:tc>
        <w:tc>
          <w:tcPr>
            <w:tcW w:w="969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54 938 124</w:t>
            </w:r>
          </w:p>
        </w:tc>
        <w:tc>
          <w:tcPr>
            <w:tcW w:w="1984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29 833 674</w:t>
            </w:r>
          </w:p>
        </w:tc>
        <w:tc>
          <w:tcPr>
            <w:tcW w:w="1701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2 008 939</w:t>
            </w:r>
          </w:p>
        </w:tc>
        <w:tc>
          <w:tcPr>
            <w:tcW w:w="1525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86 780 737</w:t>
            </w:r>
          </w:p>
        </w:tc>
      </w:tr>
      <w:tr w:rsidR="00FE5E09" w:rsidRPr="00B20976" w:rsidTr="00FE5E09">
        <w:trPr>
          <w:trHeight w:val="435"/>
        </w:trPr>
        <w:tc>
          <w:tcPr>
            <w:tcW w:w="1974" w:type="dxa"/>
            <w:shd w:val="clear" w:color="auto" w:fill="auto"/>
            <w:hideMark/>
          </w:tcPr>
          <w:p w:rsidR="00FE5E09" w:rsidRPr="00B20976" w:rsidRDefault="00FE5E09" w:rsidP="00FE5E09">
            <w:pPr>
              <w:rPr>
                <w:b/>
                <w:sz w:val="22"/>
                <w:szCs w:val="22"/>
              </w:rPr>
            </w:pPr>
            <w:r w:rsidRPr="00B20976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969" w:type="dxa"/>
            <w:shd w:val="clear" w:color="auto" w:fill="auto"/>
            <w:hideMark/>
          </w:tcPr>
          <w:p w:rsidR="00FE5E09" w:rsidRPr="00B20976" w:rsidRDefault="00FE5E09" w:rsidP="00FE5E09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B2097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FE5E09" w:rsidRPr="00B20976" w:rsidRDefault="00FE5E09" w:rsidP="00FE5E09">
            <w:pPr>
              <w:jc w:val="both"/>
              <w:rPr>
                <w:b/>
                <w:sz w:val="22"/>
                <w:szCs w:val="22"/>
              </w:rPr>
            </w:pPr>
            <w:r w:rsidRPr="00B20976">
              <w:rPr>
                <w:b/>
                <w:sz w:val="22"/>
                <w:szCs w:val="22"/>
              </w:rPr>
              <w:t>56 615 832</w:t>
            </w:r>
          </w:p>
        </w:tc>
        <w:tc>
          <w:tcPr>
            <w:tcW w:w="1984" w:type="dxa"/>
            <w:shd w:val="clear" w:color="auto" w:fill="auto"/>
            <w:hideMark/>
          </w:tcPr>
          <w:p w:rsidR="00FE5E09" w:rsidRPr="00B20976" w:rsidRDefault="00FE5E09" w:rsidP="00FE5E09">
            <w:pPr>
              <w:jc w:val="both"/>
              <w:rPr>
                <w:b/>
                <w:sz w:val="22"/>
                <w:szCs w:val="22"/>
              </w:rPr>
            </w:pPr>
            <w:r w:rsidRPr="00B20976">
              <w:rPr>
                <w:b/>
                <w:sz w:val="22"/>
                <w:szCs w:val="22"/>
              </w:rPr>
              <w:t>30 744 738</w:t>
            </w:r>
          </w:p>
        </w:tc>
        <w:tc>
          <w:tcPr>
            <w:tcW w:w="1701" w:type="dxa"/>
            <w:shd w:val="clear" w:color="auto" w:fill="auto"/>
            <w:hideMark/>
          </w:tcPr>
          <w:p w:rsidR="00FE5E09" w:rsidRPr="00B20976" w:rsidRDefault="00FE5E09" w:rsidP="00FE5E09">
            <w:pPr>
              <w:jc w:val="both"/>
              <w:rPr>
                <w:b/>
                <w:sz w:val="22"/>
                <w:szCs w:val="22"/>
              </w:rPr>
            </w:pPr>
            <w:r w:rsidRPr="00B20976">
              <w:rPr>
                <w:b/>
                <w:sz w:val="22"/>
                <w:szCs w:val="22"/>
              </w:rPr>
              <w:t>2 070 288</w:t>
            </w:r>
          </w:p>
        </w:tc>
        <w:tc>
          <w:tcPr>
            <w:tcW w:w="1525" w:type="dxa"/>
            <w:shd w:val="clear" w:color="auto" w:fill="auto"/>
            <w:hideMark/>
          </w:tcPr>
          <w:p w:rsidR="00FE5E09" w:rsidRPr="00B20976" w:rsidRDefault="00FE5E09" w:rsidP="00FE5E09">
            <w:pPr>
              <w:jc w:val="both"/>
              <w:rPr>
                <w:b/>
                <w:sz w:val="22"/>
                <w:szCs w:val="22"/>
              </w:rPr>
            </w:pPr>
            <w:r w:rsidRPr="00B20976">
              <w:rPr>
                <w:b/>
                <w:sz w:val="22"/>
                <w:szCs w:val="22"/>
              </w:rPr>
              <w:t>89 430 858</w:t>
            </w:r>
          </w:p>
        </w:tc>
      </w:tr>
      <w:tr w:rsidR="00FE5E09" w:rsidRPr="00B20976" w:rsidTr="00FE5E09">
        <w:trPr>
          <w:trHeight w:val="399"/>
        </w:trPr>
        <w:tc>
          <w:tcPr>
            <w:tcW w:w="1974" w:type="dxa"/>
            <w:shd w:val="clear" w:color="auto" w:fill="auto"/>
            <w:hideMark/>
          </w:tcPr>
          <w:p w:rsidR="00FE5E09" w:rsidRPr="00B20976" w:rsidRDefault="00FE5E09" w:rsidP="00FE5E09">
            <w:pPr>
              <w:rPr>
                <w:b/>
                <w:sz w:val="22"/>
                <w:szCs w:val="22"/>
              </w:rPr>
            </w:pPr>
            <w:r w:rsidRPr="00B20976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969" w:type="dxa"/>
            <w:shd w:val="clear" w:color="auto" w:fill="auto"/>
            <w:hideMark/>
          </w:tcPr>
          <w:p w:rsidR="00FE5E09" w:rsidRPr="00B20976" w:rsidRDefault="00FE5E09" w:rsidP="00FE5E09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B2097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FE5E09" w:rsidRPr="00B20976" w:rsidRDefault="00FE5E09" w:rsidP="00FE5E09">
            <w:pPr>
              <w:jc w:val="both"/>
              <w:rPr>
                <w:b/>
                <w:sz w:val="22"/>
                <w:szCs w:val="22"/>
              </w:rPr>
            </w:pPr>
            <w:r w:rsidRPr="00B20976">
              <w:rPr>
                <w:b/>
                <w:sz w:val="22"/>
                <w:szCs w:val="22"/>
              </w:rPr>
              <w:t>64 605 853</w:t>
            </w:r>
          </w:p>
        </w:tc>
        <w:tc>
          <w:tcPr>
            <w:tcW w:w="1984" w:type="dxa"/>
            <w:shd w:val="clear" w:color="auto" w:fill="auto"/>
            <w:hideMark/>
          </w:tcPr>
          <w:p w:rsidR="00FE5E09" w:rsidRPr="00B20976" w:rsidRDefault="00FE5E09" w:rsidP="00FE5E09">
            <w:pPr>
              <w:jc w:val="both"/>
              <w:rPr>
                <w:b/>
                <w:sz w:val="22"/>
                <w:szCs w:val="22"/>
              </w:rPr>
            </w:pPr>
            <w:r w:rsidRPr="00B20976">
              <w:rPr>
                <w:b/>
                <w:sz w:val="22"/>
                <w:szCs w:val="22"/>
              </w:rPr>
              <w:t>35 083 650</w:t>
            </w:r>
          </w:p>
        </w:tc>
        <w:tc>
          <w:tcPr>
            <w:tcW w:w="1701" w:type="dxa"/>
            <w:shd w:val="clear" w:color="auto" w:fill="auto"/>
            <w:hideMark/>
          </w:tcPr>
          <w:p w:rsidR="00FE5E09" w:rsidRPr="00B20976" w:rsidRDefault="00FE5E09" w:rsidP="00FE5E09">
            <w:pPr>
              <w:jc w:val="both"/>
              <w:rPr>
                <w:b/>
                <w:sz w:val="22"/>
                <w:szCs w:val="22"/>
              </w:rPr>
            </w:pPr>
            <w:r w:rsidRPr="00B20976">
              <w:rPr>
                <w:b/>
                <w:sz w:val="22"/>
                <w:szCs w:val="22"/>
              </w:rPr>
              <w:t>2 362 462</w:t>
            </w:r>
          </w:p>
        </w:tc>
        <w:tc>
          <w:tcPr>
            <w:tcW w:w="1525" w:type="dxa"/>
            <w:shd w:val="clear" w:color="auto" w:fill="auto"/>
            <w:hideMark/>
          </w:tcPr>
          <w:p w:rsidR="00FE5E09" w:rsidRPr="00B20976" w:rsidRDefault="00FE5E09" w:rsidP="00FE5E09">
            <w:pPr>
              <w:jc w:val="both"/>
              <w:rPr>
                <w:b/>
                <w:sz w:val="22"/>
                <w:szCs w:val="22"/>
              </w:rPr>
            </w:pPr>
            <w:r w:rsidRPr="00B20976">
              <w:rPr>
                <w:b/>
                <w:sz w:val="22"/>
                <w:szCs w:val="22"/>
              </w:rPr>
              <w:t>102 051 966</w:t>
            </w:r>
          </w:p>
        </w:tc>
      </w:tr>
      <w:tr w:rsidR="00FE5E09" w:rsidRPr="00B20976" w:rsidTr="00FE5E09">
        <w:trPr>
          <w:trHeight w:val="400"/>
        </w:trPr>
        <w:tc>
          <w:tcPr>
            <w:tcW w:w="1974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Ноябрь</w:t>
            </w:r>
          </w:p>
        </w:tc>
        <w:tc>
          <w:tcPr>
            <w:tcW w:w="969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69 699 518</w:t>
            </w:r>
          </w:p>
        </w:tc>
        <w:tc>
          <w:tcPr>
            <w:tcW w:w="1984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37 849 721</w:t>
            </w:r>
          </w:p>
        </w:tc>
        <w:tc>
          <w:tcPr>
            <w:tcW w:w="1701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2 548 723</w:t>
            </w:r>
          </w:p>
        </w:tc>
        <w:tc>
          <w:tcPr>
            <w:tcW w:w="1525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110 097 963</w:t>
            </w:r>
          </w:p>
        </w:tc>
      </w:tr>
      <w:tr w:rsidR="00FE5E09" w:rsidRPr="00B20976" w:rsidTr="00FE5E09">
        <w:trPr>
          <w:trHeight w:val="392"/>
        </w:trPr>
        <w:tc>
          <w:tcPr>
            <w:tcW w:w="1974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Декабрь</w:t>
            </w:r>
          </w:p>
        </w:tc>
        <w:tc>
          <w:tcPr>
            <w:tcW w:w="969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80 888 185</w:t>
            </w:r>
          </w:p>
        </w:tc>
        <w:tc>
          <w:tcPr>
            <w:tcW w:w="1984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43 925 630</w:t>
            </w:r>
          </w:p>
        </w:tc>
        <w:tc>
          <w:tcPr>
            <w:tcW w:w="1701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2 957 863</w:t>
            </w:r>
          </w:p>
        </w:tc>
        <w:tc>
          <w:tcPr>
            <w:tcW w:w="1525" w:type="dxa"/>
            <w:shd w:val="clear" w:color="auto" w:fill="auto"/>
          </w:tcPr>
          <w:p w:rsidR="00FE5E09" w:rsidRPr="00B20976" w:rsidRDefault="00FE5E09" w:rsidP="00FE5E09">
            <w:pPr>
              <w:rPr>
                <w:sz w:val="22"/>
                <w:szCs w:val="22"/>
              </w:rPr>
            </w:pPr>
            <w:r w:rsidRPr="00B20976">
              <w:rPr>
                <w:sz w:val="22"/>
                <w:szCs w:val="22"/>
              </w:rPr>
              <w:t>127 771 678</w:t>
            </w:r>
          </w:p>
        </w:tc>
      </w:tr>
    </w:tbl>
    <w:p w:rsidR="00FE5E09" w:rsidRPr="00753B97" w:rsidRDefault="00FE5E09" w:rsidP="00FE5E09">
      <w:pPr>
        <w:ind w:firstLine="567"/>
        <w:jc w:val="both"/>
      </w:pPr>
    </w:p>
    <w:tbl>
      <w:tblPr>
        <w:tblW w:w="10127" w:type="dxa"/>
        <w:tblLook w:val="04A0" w:firstRow="1" w:lastRow="0" w:firstColumn="1" w:lastColumn="0" w:noHBand="0" w:noVBand="1"/>
      </w:tblPr>
      <w:tblGrid>
        <w:gridCol w:w="2250"/>
        <w:gridCol w:w="2111"/>
        <w:gridCol w:w="1984"/>
        <w:gridCol w:w="2120"/>
        <w:gridCol w:w="1662"/>
      </w:tblGrid>
      <w:tr w:rsidR="00FE5E09" w:rsidRPr="00FE1450" w:rsidTr="00FE5E09">
        <w:trPr>
          <w:trHeight w:val="677"/>
        </w:trPr>
        <w:tc>
          <w:tcPr>
            <w:tcW w:w="10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E09" w:rsidRPr="00175CED" w:rsidRDefault="00FE5E09" w:rsidP="00FE5E09">
            <w:pPr>
              <w:rPr>
                <w:b/>
                <w:bCs/>
                <w:sz w:val="22"/>
                <w:szCs w:val="22"/>
              </w:rPr>
            </w:pPr>
            <w:r w:rsidRPr="00175CED">
              <w:rPr>
                <w:b/>
                <w:bCs/>
                <w:sz w:val="22"/>
                <w:szCs w:val="22"/>
              </w:rPr>
              <w:t xml:space="preserve">Расчетная дельта НВВ (дополнительно </w:t>
            </w:r>
            <w:proofErr w:type="gramStart"/>
            <w:r w:rsidRPr="00175CED">
              <w:rPr>
                <w:b/>
                <w:bCs/>
                <w:sz w:val="22"/>
                <w:szCs w:val="22"/>
              </w:rPr>
              <w:t>учтенной</w:t>
            </w:r>
            <w:proofErr w:type="gramEnd"/>
            <w:r w:rsidRPr="00175CED">
              <w:rPr>
                <w:b/>
                <w:bCs/>
                <w:sz w:val="22"/>
                <w:szCs w:val="22"/>
              </w:rPr>
              <w:t xml:space="preserve"> Департаментом по решению ФАС от 25.07.2022), собираемая ГП за период с 01.09.2022г по 30.10.2022г. по пересмотренным с 01.09.2022г. сбытовым надбавкам, руб.</w:t>
            </w:r>
          </w:p>
        </w:tc>
      </w:tr>
      <w:tr w:rsidR="00FE5E09" w:rsidRPr="00FE1450" w:rsidTr="00FE5E09">
        <w:trPr>
          <w:trHeight w:val="85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E09" w:rsidRPr="00175CED" w:rsidRDefault="00FE5E09" w:rsidP="00FE5E09">
            <w:pPr>
              <w:rPr>
                <w:sz w:val="22"/>
                <w:szCs w:val="22"/>
              </w:rPr>
            </w:pPr>
            <w:r w:rsidRPr="00175CED">
              <w:rPr>
                <w:sz w:val="22"/>
                <w:szCs w:val="22"/>
              </w:rPr>
              <w:t> Руб.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E09" w:rsidRPr="00175CED" w:rsidRDefault="00FE5E09" w:rsidP="00FE5E09">
            <w:pPr>
              <w:jc w:val="center"/>
              <w:rPr>
                <w:sz w:val="22"/>
                <w:szCs w:val="22"/>
              </w:rPr>
            </w:pPr>
            <w:r w:rsidRPr="00175CED">
              <w:rPr>
                <w:sz w:val="22"/>
                <w:szCs w:val="22"/>
              </w:rPr>
              <w:t>Прочие до 670 кВт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E09" w:rsidRPr="00175CED" w:rsidRDefault="00FE5E09" w:rsidP="00FE5E09">
            <w:pPr>
              <w:jc w:val="center"/>
              <w:rPr>
                <w:sz w:val="22"/>
                <w:szCs w:val="22"/>
              </w:rPr>
            </w:pPr>
            <w:r w:rsidRPr="00175CED">
              <w:rPr>
                <w:sz w:val="22"/>
                <w:szCs w:val="22"/>
              </w:rPr>
              <w:t>Прочие 670 кВт-10 МВт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E09" w:rsidRPr="00175CED" w:rsidRDefault="00FE5E09" w:rsidP="00FE5E09">
            <w:pPr>
              <w:jc w:val="center"/>
              <w:rPr>
                <w:sz w:val="22"/>
                <w:szCs w:val="22"/>
              </w:rPr>
            </w:pPr>
            <w:r w:rsidRPr="00175CED">
              <w:rPr>
                <w:sz w:val="22"/>
                <w:szCs w:val="22"/>
              </w:rPr>
              <w:t>Прочие свыше 10 МВт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E09" w:rsidRPr="00175CED" w:rsidRDefault="00FE5E09" w:rsidP="00FE5E09">
            <w:pPr>
              <w:jc w:val="center"/>
              <w:rPr>
                <w:b/>
                <w:bCs/>
                <w:sz w:val="22"/>
                <w:szCs w:val="22"/>
              </w:rPr>
            </w:pPr>
            <w:r w:rsidRPr="00175CED">
              <w:rPr>
                <w:b/>
                <w:bCs/>
                <w:sz w:val="22"/>
                <w:szCs w:val="22"/>
              </w:rPr>
              <w:t>ИТОГО</w:t>
            </w:r>
          </w:p>
        </w:tc>
      </w:tr>
      <w:tr w:rsidR="00FE5E09" w:rsidRPr="00FE1450" w:rsidTr="00FE5E09">
        <w:trPr>
          <w:trHeight w:val="30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7DC" w:fill="auto"/>
            <w:hideMark/>
          </w:tcPr>
          <w:p w:rsidR="00FE5E09" w:rsidRPr="00175CED" w:rsidRDefault="00FE5E09" w:rsidP="00FE5E09">
            <w:pPr>
              <w:rPr>
                <w:b/>
                <w:bCs/>
                <w:sz w:val="22"/>
                <w:szCs w:val="22"/>
              </w:rPr>
            </w:pPr>
            <w:r w:rsidRPr="00175CED">
              <w:rPr>
                <w:b/>
                <w:bCs/>
                <w:sz w:val="22"/>
                <w:szCs w:val="22"/>
              </w:rPr>
              <w:t>Сентябрь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4C7DC" w:fill="auto"/>
            <w:hideMark/>
          </w:tcPr>
          <w:p w:rsidR="00FE5E09" w:rsidRPr="00175CED" w:rsidRDefault="00FE5E09" w:rsidP="00FE5E09">
            <w:pPr>
              <w:jc w:val="right"/>
              <w:rPr>
                <w:sz w:val="22"/>
                <w:szCs w:val="22"/>
              </w:rPr>
            </w:pPr>
            <w:r w:rsidRPr="00175CED">
              <w:rPr>
                <w:sz w:val="22"/>
                <w:szCs w:val="22"/>
              </w:rPr>
              <w:t>10 405 999,75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4C7DC" w:fill="auto"/>
            <w:hideMark/>
          </w:tcPr>
          <w:p w:rsidR="00FE5E09" w:rsidRPr="00175CED" w:rsidRDefault="00FE5E09" w:rsidP="00FE5E09">
            <w:pPr>
              <w:jc w:val="right"/>
              <w:rPr>
                <w:sz w:val="22"/>
                <w:szCs w:val="22"/>
              </w:rPr>
            </w:pPr>
            <w:r w:rsidRPr="00175CED">
              <w:rPr>
                <w:sz w:val="22"/>
                <w:szCs w:val="22"/>
              </w:rPr>
              <w:t>850 866,19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4C7DC" w:fill="auto"/>
            <w:hideMark/>
          </w:tcPr>
          <w:p w:rsidR="00FE5E09" w:rsidRPr="00175CED" w:rsidRDefault="00FE5E09" w:rsidP="00FE5E09">
            <w:pPr>
              <w:jc w:val="right"/>
              <w:rPr>
                <w:sz w:val="22"/>
                <w:szCs w:val="22"/>
              </w:rPr>
            </w:pPr>
            <w:r w:rsidRPr="00175CED">
              <w:rPr>
                <w:sz w:val="22"/>
                <w:szCs w:val="22"/>
              </w:rPr>
              <w:t>87 274,58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4C7DC" w:fill="auto"/>
            <w:hideMark/>
          </w:tcPr>
          <w:p w:rsidR="00FE5E09" w:rsidRPr="00175CED" w:rsidRDefault="00FE5E09" w:rsidP="00FE5E09">
            <w:pPr>
              <w:jc w:val="right"/>
              <w:rPr>
                <w:sz w:val="22"/>
                <w:szCs w:val="22"/>
              </w:rPr>
            </w:pPr>
            <w:r w:rsidRPr="00175CED">
              <w:rPr>
                <w:sz w:val="22"/>
                <w:szCs w:val="22"/>
              </w:rPr>
              <w:t>11 344 140,52</w:t>
            </w:r>
          </w:p>
        </w:tc>
      </w:tr>
      <w:tr w:rsidR="00FE5E09" w:rsidRPr="00FE1450" w:rsidTr="00FE5E09">
        <w:trPr>
          <w:trHeight w:val="30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7DC" w:fill="auto"/>
            <w:hideMark/>
          </w:tcPr>
          <w:p w:rsidR="00FE5E09" w:rsidRPr="00175CED" w:rsidRDefault="00FE5E09" w:rsidP="00FE5E09">
            <w:pPr>
              <w:rPr>
                <w:b/>
                <w:bCs/>
                <w:sz w:val="22"/>
                <w:szCs w:val="22"/>
              </w:rPr>
            </w:pPr>
            <w:r w:rsidRPr="00175CED">
              <w:rPr>
                <w:b/>
                <w:bCs/>
                <w:sz w:val="22"/>
                <w:szCs w:val="22"/>
              </w:rPr>
              <w:t>Октябрь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4C7DC" w:fill="auto"/>
            <w:hideMark/>
          </w:tcPr>
          <w:p w:rsidR="00FE5E09" w:rsidRPr="00175CED" w:rsidRDefault="00FE5E09" w:rsidP="00FE5E09">
            <w:pPr>
              <w:jc w:val="right"/>
              <w:rPr>
                <w:sz w:val="22"/>
                <w:szCs w:val="22"/>
              </w:rPr>
            </w:pPr>
            <w:r w:rsidRPr="00175CED">
              <w:rPr>
                <w:sz w:val="22"/>
                <w:szCs w:val="22"/>
              </w:rPr>
              <w:t>11 874 567,15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4C7DC" w:fill="auto"/>
            <w:hideMark/>
          </w:tcPr>
          <w:p w:rsidR="00FE5E09" w:rsidRPr="00175CED" w:rsidRDefault="00FE5E09" w:rsidP="00FE5E09">
            <w:pPr>
              <w:jc w:val="right"/>
              <w:rPr>
                <w:sz w:val="22"/>
                <w:szCs w:val="22"/>
              </w:rPr>
            </w:pPr>
            <w:r w:rsidRPr="00175CED">
              <w:rPr>
                <w:sz w:val="22"/>
                <w:szCs w:val="22"/>
              </w:rPr>
              <w:t>970 946,37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4C7DC" w:fill="auto"/>
            <w:hideMark/>
          </w:tcPr>
          <w:p w:rsidR="00FE5E09" w:rsidRPr="00175CED" w:rsidRDefault="00FE5E09" w:rsidP="00FE5E09">
            <w:pPr>
              <w:jc w:val="right"/>
              <w:rPr>
                <w:sz w:val="22"/>
                <w:szCs w:val="22"/>
              </w:rPr>
            </w:pPr>
            <w:r w:rsidRPr="00175CED">
              <w:rPr>
                <w:sz w:val="22"/>
                <w:szCs w:val="22"/>
              </w:rPr>
              <w:t>99 591,38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4C7DC" w:fill="auto"/>
            <w:hideMark/>
          </w:tcPr>
          <w:p w:rsidR="00FE5E09" w:rsidRPr="00175CED" w:rsidRDefault="00FE5E09" w:rsidP="00FE5E09">
            <w:pPr>
              <w:jc w:val="right"/>
              <w:rPr>
                <w:sz w:val="22"/>
                <w:szCs w:val="22"/>
              </w:rPr>
            </w:pPr>
            <w:r w:rsidRPr="00175CED">
              <w:rPr>
                <w:sz w:val="22"/>
                <w:szCs w:val="22"/>
              </w:rPr>
              <w:t>12 945 104,90</w:t>
            </w:r>
          </w:p>
        </w:tc>
      </w:tr>
      <w:tr w:rsidR="00FE5E09" w:rsidRPr="00FE1450" w:rsidTr="00FE5E09">
        <w:trPr>
          <w:trHeight w:val="30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7DC" w:fill="auto"/>
          </w:tcPr>
          <w:p w:rsidR="00FE5E09" w:rsidRPr="00175CED" w:rsidRDefault="00FE5E09" w:rsidP="00FE5E09">
            <w:pPr>
              <w:rPr>
                <w:b/>
                <w:bCs/>
                <w:sz w:val="22"/>
                <w:szCs w:val="22"/>
              </w:rPr>
            </w:pPr>
            <w:r w:rsidRPr="00175CE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4C7DC" w:fill="auto"/>
          </w:tcPr>
          <w:p w:rsidR="00FE5E09" w:rsidRPr="00175CED" w:rsidRDefault="00FE5E09" w:rsidP="00FE5E0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4C7DC" w:fill="auto"/>
          </w:tcPr>
          <w:p w:rsidR="00FE5E09" w:rsidRPr="00175CED" w:rsidRDefault="00FE5E09" w:rsidP="00FE5E0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4C7DC" w:fill="auto"/>
          </w:tcPr>
          <w:p w:rsidR="00FE5E09" w:rsidRPr="00175CED" w:rsidRDefault="00FE5E09" w:rsidP="00FE5E0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4C7DC" w:fill="auto"/>
          </w:tcPr>
          <w:p w:rsidR="00FE5E09" w:rsidRPr="00175CED" w:rsidRDefault="00FE5E09" w:rsidP="00FE5E09">
            <w:pPr>
              <w:jc w:val="right"/>
              <w:rPr>
                <w:b/>
                <w:sz w:val="22"/>
                <w:szCs w:val="22"/>
              </w:rPr>
            </w:pPr>
            <w:r w:rsidRPr="00175CED">
              <w:rPr>
                <w:b/>
                <w:sz w:val="22"/>
                <w:szCs w:val="22"/>
              </w:rPr>
              <w:t>24 289 245,42</w:t>
            </w:r>
          </w:p>
        </w:tc>
      </w:tr>
    </w:tbl>
    <w:p w:rsidR="00FE5E09" w:rsidRDefault="00FE5E09" w:rsidP="00FE5E09">
      <w:pPr>
        <w:ind w:firstLine="567"/>
        <w:jc w:val="both"/>
      </w:pPr>
    </w:p>
    <w:p w:rsidR="00FE5E09" w:rsidRPr="00A00FE4" w:rsidRDefault="00FE5E09" w:rsidP="00A00FE4">
      <w:pPr>
        <w:ind w:firstLine="567"/>
        <w:jc w:val="both"/>
        <w:rPr>
          <w:sz w:val="26"/>
          <w:szCs w:val="26"/>
        </w:rPr>
      </w:pPr>
      <w:r w:rsidRPr="00FE5E09">
        <w:rPr>
          <w:sz w:val="26"/>
          <w:szCs w:val="26"/>
        </w:rPr>
        <w:t xml:space="preserve">Расчет произведен </w:t>
      </w:r>
      <w:r w:rsidR="00C875E3">
        <w:rPr>
          <w:sz w:val="26"/>
          <w:szCs w:val="26"/>
        </w:rPr>
        <w:t>Департаментом</w:t>
      </w:r>
      <w:r w:rsidRPr="00FE5E09">
        <w:rPr>
          <w:sz w:val="26"/>
          <w:szCs w:val="26"/>
        </w:rPr>
        <w:t xml:space="preserve"> с использованием раздела IV Методических указаний по расчету сбытовых надбавок гарантирующих поставщиков с использованием метода сравнения аналогов</w:t>
      </w:r>
      <w:r>
        <w:rPr>
          <w:sz w:val="26"/>
          <w:szCs w:val="26"/>
        </w:rPr>
        <w:t xml:space="preserve"> (далее – Методические указания № 1554/17)</w:t>
      </w:r>
      <w:r w:rsidRPr="00FE5E09">
        <w:rPr>
          <w:sz w:val="26"/>
          <w:szCs w:val="26"/>
        </w:rPr>
        <w:t>, утвержденных приказом ФАС России от 21.11.2017 № 1554/17, и представлен в таблице:</w:t>
      </w:r>
    </w:p>
    <w:tbl>
      <w:tblPr>
        <w:tblW w:w="0" w:type="auto"/>
        <w:tblInd w:w="-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21"/>
        <w:gridCol w:w="21"/>
        <w:gridCol w:w="683"/>
        <w:gridCol w:w="1700"/>
        <w:gridCol w:w="1133"/>
        <w:gridCol w:w="18"/>
        <w:gridCol w:w="207"/>
        <w:gridCol w:w="1475"/>
        <w:gridCol w:w="1437"/>
        <w:gridCol w:w="7"/>
      </w:tblGrid>
      <w:tr w:rsidR="00FE5E09" w:rsidRPr="0007060E" w:rsidTr="00FE5E09"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09" w:rsidRPr="0007060E" w:rsidRDefault="00FE5E09" w:rsidP="00FE5E09">
            <w:pPr>
              <w:snapToGrid w:val="0"/>
              <w:jc w:val="center"/>
            </w:pPr>
            <w:r w:rsidRPr="0007060E"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09" w:rsidRPr="0007060E" w:rsidRDefault="00FE5E09" w:rsidP="00FE5E09">
            <w:pPr>
              <w:snapToGrid w:val="0"/>
              <w:jc w:val="center"/>
            </w:pPr>
            <w:r w:rsidRPr="0007060E">
              <w:rPr>
                <w:rFonts w:ascii="PT Astra Serif" w:hAnsi="PT Astra Serif" w:cs="PT Astra Serif"/>
              </w:rPr>
              <w:t>Условное обозначение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09" w:rsidRPr="0007060E" w:rsidRDefault="00FE5E09" w:rsidP="00FE5E09">
            <w:pPr>
              <w:jc w:val="center"/>
            </w:pPr>
            <w:r w:rsidRPr="0007060E">
              <w:rPr>
                <w:rFonts w:ascii="PT Astra Serif" w:hAnsi="PT Astra Serif" w:cs="PT Astra Serif"/>
              </w:rPr>
              <w:t>Прочие до 670 кВт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09" w:rsidRPr="0007060E" w:rsidRDefault="00FE5E09" w:rsidP="00FE5E09">
            <w:pPr>
              <w:jc w:val="center"/>
            </w:pPr>
            <w:r w:rsidRPr="0007060E">
              <w:rPr>
                <w:rFonts w:ascii="PT Astra Serif" w:hAnsi="PT Astra Serif" w:cs="PT Astra Serif"/>
              </w:rPr>
              <w:t>Прочие от 670 кВт до 10 МВт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E09" w:rsidRPr="0007060E" w:rsidRDefault="00FE5E09" w:rsidP="00FE5E09">
            <w:pPr>
              <w:jc w:val="center"/>
            </w:pPr>
            <w:r w:rsidRPr="0007060E">
              <w:rPr>
                <w:rFonts w:ascii="PT Astra Serif" w:hAnsi="PT Astra Serif" w:cs="PT Astra Serif"/>
              </w:rPr>
              <w:t>Прочие не менее 10 МВт</w:t>
            </w:r>
          </w:p>
        </w:tc>
      </w:tr>
      <w:tr w:rsidR="00FE5E09" w:rsidRPr="0007060E" w:rsidTr="00FE5E09"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r w:rsidRPr="0007060E">
              <w:rPr>
                <w:rFonts w:ascii="PT Astra Serif" w:hAnsi="PT Astra Serif" w:cs="PT Astra Serif"/>
              </w:rPr>
              <w:t>Произведение ИПЦ от 2021 до расчетного периода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09" w:rsidRPr="0007060E" w:rsidRDefault="00FE5E09" w:rsidP="00FE5E09">
            <w:pPr>
              <w:jc w:val="center"/>
            </w:pPr>
            <w:proofErr w:type="gramStart"/>
            <w:r w:rsidRPr="0007060E">
              <w:rPr>
                <w:rFonts w:ascii="PT Astra Serif" w:hAnsi="PT Astra Serif" w:cs="PT Astra Serif"/>
              </w:rPr>
              <w:t>П</w:t>
            </w:r>
            <w:proofErr w:type="gramEnd"/>
            <w:r w:rsidRPr="0007060E">
              <w:rPr>
                <w:rFonts w:ascii="PT Astra Serif" w:hAnsi="PT Astra Serif" w:cs="PT Astra Serif"/>
              </w:rPr>
              <w:t xml:space="preserve"> 2021 ИПЦ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09" w:rsidRPr="0007060E" w:rsidRDefault="00FE5E09" w:rsidP="00FE5E09">
            <w:pPr>
              <w:jc w:val="right"/>
            </w:pPr>
            <w:r w:rsidRPr="0007060E">
              <w:t>1,10558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09" w:rsidRPr="0007060E" w:rsidRDefault="00FE5E09" w:rsidP="00FE5E09">
            <w:pPr>
              <w:jc w:val="right"/>
            </w:pPr>
            <w:r w:rsidRPr="0007060E">
              <w:t>1,10558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E09" w:rsidRPr="0007060E" w:rsidRDefault="00FE5E09" w:rsidP="00FE5E09">
            <w:pPr>
              <w:jc w:val="right"/>
            </w:pPr>
            <w:r w:rsidRPr="0007060E">
              <w:t>1,10558</w:t>
            </w:r>
          </w:p>
        </w:tc>
      </w:tr>
      <w:tr w:rsidR="00FE5E09" w:rsidRPr="0007060E" w:rsidTr="00FE5E09"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9C6282">
            <w:r w:rsidRPr="0007060E">
              <w:rPr>
                <w:rFonts w:ascii="PT Astra Serif" w:hAnsi="PT Astra Serif" w:cs="PT Astra Serif"/>
              </w:rPr>
              <w:t xml:space="preserve">Остаток дельты </w:t>
            </w:r>
            <w:r>
              <w:rPr>
                <w:rFonts w:ascii="PT Astra Serif" w:hAnsi="PT Astra Serif" w:cs="PT Astra Serif"/>
              </w:rPr>
              <w:t>НВВ, дополнительно учтенной Департаментом по решению</w:t>
            </w:r>
            <w:r w:rsidRPr="0007060E">
              <w:rPr>
                <w:rFonts w:ascii="PT Astra Serif" w:hAnsi="PT Astra Serif" w:cs="PT Astra Serif"/>
              </w:rPr>
              <w:t xml:space="preserve"> ФАС</w:t>
            </w:r>
            <w:r w:rsidR="009C6282">
              <w:rPr>
                <w:rFonts w:ascii="PT Astra Serif" w:hAnsi="PT Astra Serif" w:cs="PT Astra Serif"/>
              </w:rPr>
              <w:t xml:space="preserve"> от 25.07.2022 </w:t>
            </w:r>
            <w:r w:rsidRPr="0007060E">
              <w:rPr>
                <w:rFonts w:ascii="PT Astra Serif" w:hAnsi="PT Astra Serif" w:cs="PT Astra Serif"/>
              </w:rPr>
              <w:t xml:space="preserve">при пересмотре </w:t>
            </w:r>
            <w:r>
              <w:rPr>
                <w:rFonts w:ascii="PT Astra Serif" w:hAnsi="PT Astra Serif" w:cs="PT Astra Serif"/>
              </w:rPr>
              <w:t xml:space="preserve">сбытовых надбавок ГП </w:t>
            </w:r>
            <w:r w:rsidRPr="0007060E">
              <w:rPr>
                <w:rFonts w:ascii="PT Astra Serif" w:hAnsi="PT Astra Serif" w:cs="PT Astra Serif"/>
              </w:rPr>
              <w:t>с 01.09.2022, за вычетом части, собранной за сентябрь-октябрь 2022</w:t>
            </w:r>
            <w:r>
              <w:rPr>
                <w:rFonts w:ascii="PT Astra Serif" w:hAnsi="PT Astra Serif" w:cs="PT Astra Serif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jc w:val="center"/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7E006E" w:rsidRDefault="00FE5E09" w:rsidP="00FE5E09">
            <w:pPr>
              <w:jc w:val="right"/>
            </w:pPr>
            <w:r w:rsidRPr="007E006E">
              <w:t>101 475 212,68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7E006E" w:rsidRDefault="00FE5E09" w:rsidP="00FE5E09">
            <w:pPr>
              <w:jc w:val="right"/>
            </w:pPr>
            <w:r w:rsidRPr="007E006E">
              <w:t>19 708 611,20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09" w:rsidRPr="007E006E" w:rsidRDefault="00FE5E09" w:rsidP="00FE5E09">
            <w:pPr>
              <w:jc w:val="right"/>
            </w:pPr>
            <w:r w:rsidRPr="007E006E">
              <w:t>1 307 629,29</w:t>
            </w:r>
          </w:p>
        </w:tc>
      </w:tr>
      <w:tr w:rsidR="00FE5E09" w:rsidRPr="0007060E" w:rsidTr="00FE5E09"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НВВ ГП для прочих </w:t>
            </w:r>
            <w:r w:rsidRPr="007E006E">
              <w:rPr>
                <w:rFonts w:ascii="PT Astra Serif" w:hAnsi="PT Astra Serif" w:cs="PT Astra Serif"/>
              </w:rPr>
              <w:t>за ноябрь-декабрь 2022</w:t>
            </w:r>
            <w:r>
              <w:rPr>
                <w:rFonts w:ascii="PT Astra Serif" w:hAnsi="PT Astra Serif" w:cs="PT Astra Serif"/>
              </w:rPr>
              <w:t>г.</w:t>
            </w:r>
            <w:r w:rsidRPr="007E006E">
              <w:rPr>
                <w:rFonts w:ascii="PT Astra Serif" w:hAnsi="PT Astra Serif" w:cs="PT Astra Serif"/>
              </w:rPr>
              <w:t xml:space="preserve"> </w:t>
            </w:r>
            <w:r>
              <w:rPr>
                <w:rFonts w:ascii="PT Astra Serif" w:hAnsi="PT Astra Serif" w:cs="PT Astra Serif"/>
              </w:rPr>
              <w:t>(</w:t>
            </w:r>
            <w:proofErr w:type="gramStart"/>
            <w:r>
              <w:rPr>
                <w:rFonts w:ascii="PT Astra Serif" w:hAnsi="PT Astra Serif" w:cs="PT Astra Serif"/>
              </w:rPr>
              <w:t>рассчитанная</w:t>
            </w:r>
            <w:proofErr w:type="gramEnd"/>
            <w:r>
              <w:rPr>
                <w:rFonts w:ascii="PT Astra Serif" w:hAnsi="PT Astra Serif" w:cs="PT Astra Serif"/>
              </w:rPr>
              <w:t xml:space="preserve"> </w:t>
            </w:r>
            <w:r w:rsidRPr="007E006E">
              <w:rPr>
                <w:rFonts w:ascii="PT Astra Serif" w:hAnsi="PT Astra Serif" w:cs="PT Astra Serif"/>
              </w:rPr>
              <w:t xml:space="preserve">по первоначально </w:t>
            </w:r>
            <w:r w:rsidRPr="007E006E">
              <w:rPr>
                <w:rFonts w:ascii="PT Astra Serif" w:hAnsi="PT Astra Serif" w:cs="PT Astra Serif"/>
              </w:rPr>
              <w:lastRenderedPageBreak/>
              <w:t>утвержденным СН на 2022г</w:t>
            </w:r>
            <w:r>
              <w:rPr>
                <w:rFonts w:ascii="PT Astra Serif" w:hAnsi="PT Astra Serif" w:cs="PT Astra Serif"/>
              </w:rPr>
              <w:t>.</w:t>
            </w:r>
            <w:r w:rsidRPr="007E006E">
              <w:rPr>
                <w:rFonts w:ascii="PT Astra Serif" w:hAnsi="PT Astra Serif" w:cs="PT Astra Serif"/>
              </w:rPr>
              <w:t xml:space="preserve"> с учетом остатка дельты НВВ)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7E006E" w:rsidRDefault="00FE5E09" w:rsidP="00FE5E09">
            <w:pPr>
              <w:jc w:val="center"/>
            </w:pPr>
            <w:r w:rsidRPr="007E006E">
              <w:lastRenderedPageBreak/>
              <w:t>НВВ пп i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7E006E" w:rsidRDefault="00FE5E09" w:rsidP="00FE5E09">
            <w:pPr>
              <w:jc w:val="right"/>
            </w:pPr>
            <w:r w:rsidRPr="007E006E">
              <w:t>130 877 343,40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7E006E" w:rsidRDefault="00FE5E09" w:rsidP="00FE5E09">
            <w:pPr>
              <w:jc w:val="right"/>
            </w:pPr>
            <w:r w:rsidRPr="007E006E">
              <w:t>28 492 109,83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09" w:rsidRPr="007E006E" w:rsidRDefault="00FE5E09" w:rsidP="00FE5E09">
            <w:pPr>
              <w:jc w:val="right"/>
            </w:pPr>
            <w:r w:rsidRPr="007E006E">
              <w:t>1 808 419,15</w:t>
            </w:r>
          </w:p>
        </w:tc>
      </w:tr>
      <w:tr w:rsidR="00FE5E09" w:rsidRPr="0007060E" w:rsidTr="00FE5E09"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Default="00FE5E09" w:rsidP="00FE5E09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Объем ЭЭ прочим в СПБ </w:t>
            </w:r>
          </w:p>
          <w:p w:rsidR="00FE5E09" w:rsidRPr="0007060E" w:rsidRDefault="00FE5E09" w:rsidP="00FE5E09">
            <w:r w:rsidRPr="007E006E">
              <w:rPr>
                <w:rFonts w:ascii="PT Astra Serif" w:hAnsi="PT Astra Serif" w:cs="PT Astra Serif"/>
              </w:rPr>
              <w:t>(ноябрь-декабрь 2022</w:t>
            </w:r>
            <w:r>
              <w:rPr>
                <w:rFonts w:ascii="PT Astra Serif" w:hAnsi="PT Astra Serif" w:cs="PT Astra Serif"/>
              </w:rPr>
              <w:t>г.</w:t>
            </w:r>
            <w:r w:rsidRPr="007E006E">
              <w:rPr>
                <w:rFonts w:ascii="PT Astra Serif" w:hAnsi="PT Astra Serif" w:cs="PT Astra Serif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jc w:val="center"/>
            </w:pPr>
            <w:r w:rsidRPr="0007060E">
              <w:rPr>
                <w:rFonts w:ascii="PT Astra Serif" w:hAnsi="PT Astra Serif" w:cs="PT Astra Serif"/>
              </w:rPr>
              <w:t>Э пп i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7E006E" w:rsidRDefault="00FE5E09" w:rsidP="00FE5E09">
            <w:pPr>
              <w:jc w:val="right"/>
            </w:pPr>
            <w:r w:rsidRPr="007E006E">
              <w:t>150 587 703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7E006E" w:rsidRDefault="00FE5E09" w:rsidP="00FE5E09">
            <w:pPr>
              <w:jc w:val="right"/>
            </w:pPr>
            <w:r w:rsidRPr="007E006E">
              <w:t>81 775 351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09" w:rsidRPr="007E006E" w:rsidRDefault="00FE5E09" w:rsidP="00FE5E09">
            <w:pPr>
              <w:jc w:val="right"/>
            </w:pPr>
            <w:r w:rsidRPr="007E006E">
              <w:t>5 506 586</w:t>
            </w:r>
          </w:p>
        </w:tc>
      </w:tr>
      <w:tr w:rsidR="00FE5E09" w:rsidRPr="0007060E" w:rsidTr="00FE5E09"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r w:rsidRPr="007E006E">
              <w:rPr>
                <w:rFonts w:ascii="PT Astra Serif" w:hAnsi="PT Astra Serif" w:cs="PT Astra Serif"/>
              </w:rPr>
              <w:t>Удельная величина НВВ ГП для прочих с 01.11.2022</w:t>
            </w:r>
            <w:r>
              <w:rPr>
                <w:rFonts w:ascii="PT Astra Serif" w:hAnsi="PT Astra Serif" w:cs="PT Astra Serif"/>
              </w:rPr>
              <w:t>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jc w:val="center"/>
            </w:pPr>
            <w:r w:rsidRPr="0007060E">
              <w:rPr>
                <w:rFonts w:ascii="PT Astra Serif" w:hAnsi="PT Astra Serif" w:cs="PT Astra Serif"/>
              </w:rPr>
              <w:t>НВВ удпп i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FE41D9" w:rsidRDefault="00FE5E09" w:rsidP="00FE5E09">
            <w:pPr>
              <w:jc w:val="right"/>
            </w:pPr>
            <w:r w:rsidRPr="00FE41D9">
              <w:t>0,86911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FE41D9" w:rsidRDefault="00FE5E09" w:rsidP="00FE5E09">
            <w:pPr>
              <w:jc w:val="right"/>
            </w:pPr>
            <w:r w:rsidRPr="00FE41D9">
              <w:t>0,34842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09" w:rsidRPr="00FE41D9" w:rsidRDefault="00FE5E09" w:rsidP="00FE5E09">
            <w:pPr>
              <w:jc w:val="right"/>
            </w:pPr>
            <w:r w:rsidRPr="00FE41D9">
              <w:t>0,32841</w:t>
            </w:r>
          </w:p>
        </w:tc>
      </w:tr>
      <w:tr w:rsidR="00FE5E09" w:rsidRPr="0007060E" w:rsidTr="00FE5E09"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r w:rsidRPr="0007060E">
              <w:rPr>
                <w:rFonts w:ascii="PT Astra Serif" w:hAnsi="PT Astra Serif" w:cs="PT Astra Serif"/>
                <w:b/>
                <w:bCs/>
              </w:rPr>
              <w:t>СН прочие расчетного периода</w:t>
            </w:r>
            <w:r>
              <w:rPr>
                <w:rFonts w:ascii="PT Astra Serif" w:hAnsi="PT Astra Serif" w:cs="PT Astra Serif"/>
                <w:b/>
                <w:bCs/>
              </w:rPr>
              <w:t xml:space="preserve"> с 01.11.2022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jc w:val="center"/>
            </w:pPr>
            <w:r>
              <w:rPr>
                <w:rFonts w:ascii="PT Astra Serif" w:hAnsi="PT Astra Serif" w:cs="PT Astra Serif"/>
                <w:b/>
                <w:bCs/>
              </w:rPr>
              <w:t>СН пп i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FE41D9" w:rsidRDefault="00FE5E09" w:rsidP="00FE5E09">
            <w:pPr>
              <w:jc w:val="right"/>
              <w:rPr>
                <w:b/>
                <w:bCs/>
              </w:rPr>
            </w:pPr>
            <w:r w:rsidRPr="00FE41D9">
              <w:rPr>
                <w:b/>
                <w:bCs/>
              </w:rPr>
              <w:t>0,86911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FE41D9" w:rsidRDefault="00FE5E09" w:rsidP="00FE5E09">
            <w:pPr>
              <w:jc w:val="right"/>
              <w:rPr>
                <w:b/>
                <w:bCs/>
              </w:rPr>
            </w:pPr>
            <w:r w:rsidRPr="00FE41D9">
              <w:rPr>
                <w:b/>
                <w:bCs/>
              </w:rPr>
              <w:t>0,34842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09" w:rsidRPr="00FE41D9" w:rsidRDefault="00FE5E09" w:rsidP="00FE5E09">
            <w:pPr>
              <w:jc w:val="right"/>
              <w:rPr>
                <w:b/>
                <w:bCs/>
              </w:rPr>
            </w:pPr>
            <w:r w:rsidRPr="00FE41D9">
              <w:rPr>
                <w:b/>
                <w:bCs/>
              </w:rPr>
              <w:t>0,32841</w:t>
            </w:r>
          </w:p>
        </w:tc>
      </w:tr>
      <w:tr w:rsidR="00FE5E09" w:rsidRPr="0007060E" w:rsidTr="00FE5E09">
        <w:trPr>
          <w:trHeight w:val="117"/>
        </w:trPr>
        <w:tc>
          <w:tcPr>
            <w:tcW w:w="100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E09" w:rsidRPr="0007060E" w:rsidRDefault="00FE5E09" w:rsidP="00FE5E09">
            <w:pPr>
              <w:pStyle w:val="af"/>
              <w:jc w:val="center"/>
            </w:pPr>
            <w:r w:rsidRPr="0007060E">
              <w:rPr>
                <w:rFonts w:ascii="PT Astra Serif" w:hAnsi="PT Astra Serif" w:cs="PT Astra Serif"/>
                <w:sz w:val="20"/>
                <w:szCs w:val="20"/>
              </w:rPr>
              <w:t>Проверка условий не превышения (по удельным величинам)</w:t>
            </w:r>
          </w:p>
        </w:tc>
      </w:tr>
      <w:tr w:rsidR="00FE5E09" w:rsidRPr="0007060E" w:rsidTr="00FE5E09">
        <w:trPr>
          <w:trHeight w:val="219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pStyle w:val="af"/>
              <w:jc w:val="center"/>
            </w:pPr>
            <w:r w:rsidRPr="0007060E">
              <w:rPr>
                <w:rFonts w:ascii="PT Astra Serif" w:hAnsi="PT Astra Serif" w:cs="PT Astra Serif"/>
                <w:sz w:val="20"/>
                <w:szCs w:val="20"/>
              </w:rPr>
              <w:t>Менее 670 кВт &lt;= 3*не менее 10 МВт</w:t>
            </w: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pStyle w:val="af"/>
              <w:jc w:val="center"/>
            </w:pPr>
            <w:r w:rsidRPr="0007060E">
              <w:rPr>
                <w:rFonts w:ascii="PT Astra Serif" w:hAnsi="PT Astra Serif" w:cs="PT Astra Serif"/>
                <w:sz w:val="20"/>
                <w:szCs w:val="20"/>
              </w:rPr>
              <w:t>Не менее 10 МВт &lt;= от 670 кВт до 10 МВт</w:t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pStyle w:val="af"/>
              <w:jc w:val="center"/>
            </w:pPr>
            <w:r w:rsidRPr="0007060E">
              <w:rPr>
                <w:rFonts w:ascii="PT Astra Serif" w:hAnsi="PT Astra Serif" w:cs="PT Astra Serif"/>
                <w:sz w:val="20"/>
                <w:szCs w:val="20"/>
              </w:rPr>
              <w:t>Не менее 10 МВт &lt;= менее 670 кВт</w:t>
            </w:r>
          </w:p>
        </w:tc>
      </w:tr>
      <w:tr w:rsidR="00FE5E09" w:rsidRPr="0007060E" w:rsidTr="00FE5E09">
        <w:trPr>
          <w:trHeight w:val="215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pStyle w:val="af"/>
              <w:jc w:val="center"/>
            </w:pPr>
            <w:proofErr w:type="gramStart"/>
            <w:r w:rsidRPr="0007060E">
              <w:rPr>
                <w:rFonts w:ascii="PT Astra Serif" w:hAnsi="PT Astra Serif" w:cs="PT Astra Serif"/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pStyle w:val="af"/>
              <w:jc w:val="center"/>
            </w:pPr>
            <w:proofErr w:type="gramStart"/>
            <w:r w:rsidRPr="0007060E">
              <w:rPr>
                <w:rFonts w:ascii="PT Astra Serif" w:hAnsi="PT Astra Serif" w:cs="PT Astra Serif"/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pStyle w:val="af"/>
              <w:jc w:val="center"/>
            </w:pPr>
            <w:proofErr w:type="gramStart"/>
            <w:r w:rsidRPr="0007060E">
              <w:rPr>
                <w:rFonts w:ascii="PT Astra Serif" w:hAnsi="PT Astra Serif" w:cs="PT Astra Serif"/>
                <w:sz w:val="20"/>
                <w:szCs w:val="20"/>
              </w:rPr>
              <w:t>ОК</w:t>
            </w:r>
            <w:proofErr w:type="gramEnd"/>
          </w:p>
        </w:tc>
      </w:tr>
      <w:tr w:rsidR="00FE5E09" w:rsidRPr="0007060E" w:rsidTr="00FE5E09">
        <w:trPr>
          <w:trHeight w:val="209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pStyle w:val="af"/>
              <w:jc w:val="center"/>
            </w:pPr>
            <w:proofErr w:type="gramStart"/>
            <w:r w:rsidRPr="0007060E">
              <w:rPr>
                <w:rFonts w:ascii="PT Astra Serif" w:hAnsi="PT Astra Serif" w:cs="PT Astra Serif"/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pStyle w:val="af"/>
              <w:jc w:val="center"/>
            </w:pPr>
            <w:proofErr w:type="gramStart"/>
            <w:r w:rsidRPr="0007060E">
              <w:rPr>
                <w:rFonts w:ascii="PT Astra Serif" w:hAnsi="PT Astra Serif" w:cs="PT Astra Serif"/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pStyle w:val="af"/>
              <w:jc w:val="center"/>
            </w:pPr>
            <w:proofErr w:type="gramStart"/>
            <w:r w:rsidRPr="0007060E">
              <w:rPr>
                <w:rFonts w:ascii="PT Astra Serif" w:hAnsi="PT Astra Serif" w:cs="PT Astra Serif"/>
                <w:sz w:val="20"/>
                <w:szCs w:val="20"/>
              </w:rPr>
              <w:t>ОК</w:t>
            </w:r>
            <w:proofErr w:type="gramEnd"/>
          </w:p>
        </w:tc>
      </w:tr>
      <w:tr w:rsidR="00FE5E09" w:rsidRPr="0007060E" w:rsidTr="00A00FE4">
        <w:trPr>
          <w:gridAfter w:val="1"/>
          <w:wAfter w:w="7" w:type="dxa"/>
          <w:trHeight w:val="447"/>
        </w:trPr>
        <w:tc>
          <w:tcPr>
            <w:tcW w:w="9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E09" w:rsidRDefault="00FE5E09" w:rsidP="00A00FE4">
            <w:pPr>
              <w:jc w:val="center"/>
              <w:rPr>
                <w:rFonts w:ascii="PT Astra Serif" w:hAnsi="PT Astra Serif" w:cs="PT Astra Serif"/>
              </w:rPr>
            </w:pPr>
            <w:r w:rsidRPr="0007060E">
              <w:rPr>
                <w:rFonts w:ascii="PT Astra Serif" w:hAnsi="PT Astra Serif" w:cs="PT Astra Serif"/>
              </w:rPr>
              <w:t>Проверка условий не превышения (по установленным сбытовым надбавкам)</w:t>
            </w:r>
          </w:p>
          <w:p w:rsidR="00FE5E09" w:rsidRPr="0007060E" w:rsidRDefault="00FE5E09" w:rsidP="00FE5E09">
            <w:pPr>
              <w:jc w:val="center"/>
            </w:pPr>
          </w:p>
        </w:tc>
      </w:tr>
      <w:tr w:rsidR="00FE5E09" w:rsidRPr="0007060E" w:rsidTr="00FE5E09">
        <w:trPr>
          <w:gridAfter w:val="1"/>
          <w:wAfter w:w="7" w:type="dxa"/>
          <w:trHeight w:val="208"/>
        </w:trPr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pStyle w:val="af"/>
              <w:jc w:val="center"/>
            </w:pPr>
            <w:r w:rsidRPr="0007060E">
              <w:rPr>
                <w:rFonts w:ascii="PT Astra Serif" w:hAnsi="PT Astra Serif" w:cs="PT Astra Serif"/>
                <w:sz w:val="20"/>
                <w:szCs w:val="20"/>
              </w:rPr>
              <w:t>Менее 670 кВт &lt;= 3*не менее 10 МВт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pStyle w:val="af"/>
              <w:jc w:val="center"/>
            </w:pPr>
            <w:r w:rsidRPr="0007060E">
              <w:rPr>
                <w:rFonts w:ascii="PT Astra Serif" w:hAnsi="PT Astra Serif" w:cs="PT Astra Serif"/>
                <w:sz w:val="20"/>
                <w:szCs w:val="20"/>
              </w:rPr>
              <w:t>Не менее 10 МВт &lt;= от 670 кВт до 10 МВт</w:t>
            </w:r>
          </w:p>
        </w:tc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pStyle w:val="af"/>
              <w:jc w:val="center"/>
            </w:pPr>
            <w:r w:rsidRPr="0007060E">
              <w:rPr>
                <w:rFonts w:ascii="PT Astra Serif" w:hAnsi="PT Astra Serif" w:cs="PT Astra Serif"/>
                <w:sz w:val="20"/>
                <w:szCs w:val="20"/>
              </w:rPr>
              <w:t>Не менее 10 МВт &lt;= менее 670 кВт</w:t>
            </w:r>
          </w:p>
        </w:tc>
      </w:tr>
      <w:tr w:rsidR="00FE5E09" w:rsidRPr="0007060E" w:rsidTr="00FE5E09">
        <w:trPr>
          <w:gridAfter w:val="1"/>
          <w:wAfter w:w="7" w:type="dxa"/>
          <w:trHeight w:val="202"/>
        </w:trPr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jc w:val="center"/>
            </w:pPr>
            <w:proofErr w:type="gramStart"/>
            <w:r w:rsidRPr="0007060E">
              <w:rPr>
                <w:rFonts w:ascii="PT Astra Serif" w:hAnsi="PT Astra Serif" w:cs="PT Astra Serif"/>
              </w:rPr>
              <w:t>ОК</w:t>
            </w:r>
            <w:proofErr w:type="gramEnd"/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jc w:val="center"/>
            </w:pPr>
            <w:proofErr w:type="gramStart"/>
            <w:r w:rsidRPr="0007060E">
              <w:rPr>
                <w:rFonts w:ascii="PT Astra Serif" w:hAnsi="PT Astra Serif" w:cs="PT Astra Serif"/>
              </w:rPr>
              <w:t>ОК</w:t>
            </w:r>
            <w:proofErr w:type="gramEnd"/>
          </w:p>
        </w:tc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jc w:val="center"/>
            </w:pPr>
            <w:proofErr w:type="gramStart"/>
            <w:r w:rsidRPr="0007060E">
              <w:rPr>
                <w:rFonts w:ascii="PT Astra Serif" w:hAnsi="PT Astra Serif" w:cs="PT Astra Serif"/>
              </w:rPr>
              <w:t>ОК</w:t>
            </w:r>
            <w:proofErr w:type="gramEnd"/>
          </w:p>
        </w:tc>
      </w:tr>
      <w:tr w:rsidR="00FE5E09" w:rsidTr="00FE5E09">
        <w:trPr>
          <w:gridAfter w:val="1"/>
          <w:wAfter w:w="7" w:type="dxa"/>
          <w:trHeight w:val="205"/>
        </w:trPr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jc w:val="center"/>
            </w:pPr>
            <w:proofErr w:type="gramStart"/>
            <w:r w:rsidRPr="0007060E">
              <w:rPr>
                <w:rFonts w:ascii="PT Astra Serif" w:hAnsi="PT Astra Serif" w:cs="PT Astra Serif"/>
              </w:rPr>
              <w:t>ОК</w:t>
            </w:r>
            <w:proofErr w:type="gramEnd"/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E09" w:rsidRPr="0007060E" w:rsidRDefault="00FE5E09" w:rsidP="00FE5E09">
            <w:pPr>
              <w:jc w:val="center"/>
            </w:pPr>
            <w:proofErr w:type="gramStart"/>
            <w:r w:rsidRPr="0007060E">
              <w:rPr>
                <w:rFonts w:ascii="PT Astra Serif" w:hAnsi="PT Astra Serif" w:cs="PT Astra Serif"/>
              </w:rPr>
              <w:t>ОК</w:t>
            </w:r>
            <w:proofErr w:type="gramEnd"/>
          </w:p>
        </w:tc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E09" w:rsidRDefault="00FE5E09" w:rsidP="00FE5E09">
            <w:pPr>
              <w:jc w:val="center"/>
            </w:pPr>
            <w:proofErr w:type="gramStart"/>
            <w:r w:rsidRPr="0007060E">
              <w:rPr>
                <w:rFonts w:ascii="PT Astra Serif" w:hAnsi="PT Astra Serif" w:cs="PT Astra Serif"/>
              </w:rPr>
              <w:t>ОК</w:t>
            </w:r>
            <w:proofErr w:type="gramEnd"/>
          </w:p>
        </w:tc>
      </w:tr>
    </w:tbl>
    <w:p w:rsidR="00FE5E09" w:rsidRPr="001F414F" w:rsidRDefault="00FE5E09" w:rsidP="00FE5E09">
      <w:pPr>
        <w:ind w:firstLine="567"/>
        <w:jc w:val="both"/>
        <w:rPr>
          <w:sz w:val="26"/>
          <w:szCs w:val="26"/>
        </w:rPr>
      </w:pPr>
      <w:r w:rsidRPr="001F414F">
        <w:rPr>
          <w:rFonts w:ascii="PT Astra Serif" w:hAnsi="PT Astra Serif" w:cs="PT Astra Serif"/>
          <w:sz w:val="26"/>
          <w:szCs w:val="26"/>
        </w:rPr>
        <w:t xml:space="preserve">Во исполнение Решения ФАС России от 21.09.2022 </w:t>
      </w:r>
      <w:r w:rsidR="00A00FE4" w:rsidRPr="001F414F">
        <w:rPr>
          <w:rFonts w:ascii="PT Astra Serif" w:hAnsi="PT Astra Serif" w:cs="PT Astra Serif"/>
          <w:sz w:val="26"/>
          <w:szCs w:val="26"/>
        </w:rPr>
        <w:t xml:space="preserve">№ СП/87601/22 </w:t>
      </w:r>
      <w:r w:rsidRPr="001F414F">
        <w:rPr>
          <w:rFonts w:ascii="PT Astra Serif" w:hAnsi="PT Astra Serif" w:cs="PT Astra Serif"/>
          <w:sz w:val="26"/>
          <w:szCs w:val="26"/>
        </w:rPr>
        <w:t>Правлению Департамента предлагаются на рассмотр</w:t>
      </w:r>
      <w:r w:rsidR="00A00FE4" w:rsidRPr="001F414F">
        <w:rPr>
          <w:rFonts w:ascii="PT Astra Serif" w:hAnsi="PT Astra Serif" w:cs="PT Astra Serif"/>
          <w:sz w:val="26"/>
          <w:szCs w:val="26"/>
        </w:rPr>
        <w:t xml:space="preserve">ение и утверждение с 01.11.2022г. </w:t>
      </w:r>
      <w:r w:rsidRPr="001F414F">
        <w:rPr>
          <w:rFonts w:ascii="PT Astra Serif" w:hAnsi="PT Astra Serif" w:cs="PT Astra Serif"/>
          <w:sz w:val="26"/>
          <w:szCs w:val="26"/>
        </w:rPr>
        <w:t>сбытовые надбавки для гарантирующего поставщика электрической энергии Ивановского филиала АО «ЭнергосбыТ Плюс» в следующих размерах:</w:t>
      </w:r>
    </w:p>
    <w:p w:rsidR="00FE5E09" w:rsidRPr="00FE5E09" w:rsidRDefault="00FE5E09" w:rsidP="00FE5E09">
      <w:pPr>
        <w:ind w:firstLine="567"/>
        <w:jc w:val="both"/>
        <w:rPr>
          <w:sz w:val="26"/>
          <w:szCs w:val="26"/>
        </w:rPr>
      </w:pPr>
      <w:r w:rsidRPr="00FE5E09">
        <w:rPr>
          <w:rFonts w:ascii="PT Astra Serif" w:hAnsi="PT Astra Serif" w:cs="PT Astra Serif"/>
          <w:sz w:val="26"/>
          <w:szCs w:val="26"/>
        </w:rPr>
        <w:t>- прочие потребители - по подгруппе в зависимости от величины максимальной мощности принадлежащих им энергопринимающих устройств менее 670 кВт — 0,86911 руб./кВтч;</w:t>
      </w:r>
    </w:p>
    <w:p w:rsidR="00FE5E09" w:rsidRPr="00FE5E09" w:rsidRDefault="00FE5E09" w:rsidP="00FE5E09">
      <w:pPr>
        <w:ind w:firstLine="567"/>
        <w:jc w:val="both"/>
        <w:rPr>
          <w:sz w:val="26"/>
          <w:szCs w:val="26"/>
        </w:rPr>
      </w:pPr>
      <w:r w:rsidRPr="00FE5E09">
        <w:rPr>
          <w:rFonts w:ascii="PT Astra Serif" w:hAnsi="PT Astra Serif" w:cs="PT Astra Serif"/>
          <w:sz w:val="26"/>
          <w:szCs w:val="26"/>
        </w:rPr>
        <w:t>- прочие потребители - по подгруппе в зависимости от величины максимальной мощности принадлежащих им энергопринимающих устройств от 670 кВт до 10 МВт — 0,34842 руб./кВтч;</w:t>
      </w:r>
    </w:p>
    <w:p w:rsidR="00FE5E09" w:rsidRPr="00FE5E09" w:rsidRDefault="00FE5E09" w:rsidP="00FE5E09">
      <w:pPr>
        <w:ind w:firstLine="567"/>
        <w:jc w:val="both"/>
        <w:rPr>
          <w:sz w:val="26"/>
          <w:szCs w:val="26"/>
        </w:rPr>
      </w:pPr>
      <w:r w:rsidRPr="00FE5E09">
        <w:rPr>
          <w:rFonts w:ascii="PT Astra Serif" w:hAnsi="PT Astra Serif" w:cs="PT Astra Serif"/>
          <w:sz w:val="26"/>
          <w:szCs w:val="26"/>
        </w:rPr>
        <w:t>- прочие потребители - по подгруппе в зависимости от величины максимальной мощности принадлежащих им энергопринимающих устройств не менее 10 МВт — 0,32841 руб./кВтч.</w:t>
      </w:r>
    </w:p>
    <w:p w:rsidR="00FE5E09" w:rsidRPr="00FE5E09" w:rsidRDefault="00FE5E09" w:rsidP="00F925F7">
      <w:pPr>
        <w:ind w:firstLine="567"/>
        <w:jc w:val="both"/>
        <w:rPr>
          <w:sz w:val="26"/>
          <w:szCs w:val="26"/>
        </w:rPr>
      </w:pPr>
    </w:p>
    <w:p w:rsidR="00E454AF" w:rsidRPr="00E454AF" w:rsidRDefault="00E454AF" w:rsidP="00E454AF">
      <w:pPr>
        <w:ind w:firstLine="567"/>
        <w:jc w:val="both"/>
        <w:rPr>
          <w:bCs/>
          <w:sz w:val="26"/>
          <w:szCs w:val="26"/>
        </w:rPr>
      </w:pPr>
      <w:r w:rsidRPr="00E454AF">
        <w:rPr>
          <w:bCs/>
          <w:sz w:val="26"/>
          <w:szCs w:val="26"/>
        </w:rPr>
        <w:t xml:space="preserve">От </w:t>
      </w:r>
      <w:r w:rsidR="00A00FE4">
        <w:rPr>
          <w:bCs/>
          <w:sz w:val="26"/>
          <w:szCs w:val="26"/>
        </w:rPr>
        <w:t>Ивановского филиала АО «ЭнергосбыТ Плюс»</w:t>
      </w:r>
      <w:r w:rsidRPr="00E454AF">
        <w:rPr>
          <w:bCs/>
          <w:sz w:val="26"/>
          <w:szCs w:val="26"/>
        </w:rPr>
        <w:t xml:space="preserve"> письменная позиция по рассматриваемым на заседании Правления Департамента вопросам не поступала. На заседании Правления Департамента представителем организации было сообщено об отсутствии замечаний по материалам, рассматриваемым на данном заседании Правления в отношении </w:t>
      </w:r>
      <w:r w:rsidR="00A00FE4">
        <w:rPr>
          <w:bCs/>
          <w:sz w:val="26"/>
          <w:szCs w:val="26"/>
        </w:rPr>
        <w:t>Ивановского филиала АО «ЭнергосбыТ Плюс»</w:t>
      </w:r>
      <w:r w:rsidRPr="00E454AF">
        <w:rPr>
          <w:bCs/>
          <w:sz w:val="26"/>
          <w:szCs w:val="26"/>
        </w:rPr>
        <w:t>.</w:t>
      </w:r>
    </w:p>
    <w:p w:rsidR="00F925F7" w:rsidRPr="00F925F7" w:rsidRDefault="00F925F7" w:rsidP="00F925F7">
      <w:pPr>
        <w:ind w:firstLine="567"/>
        <w:jc w:val="both"/>
        <w:rPr>
          <w:sz w:val="26"/>
          <w:szCs w:val="26"/>
        </w:rPr>
      </w:pPr>
      <w:r w:rsidRPr="00F925F7">
        <w:rPr>
          <w:sz w:val="26"/>
          <w:szCs w:val="26"/>
        </w:rPr>
        <w:t>Ассоциация «НП Совет рынка» голосует по данному вопросу «воздержался», так как не был представлен принцип распределения прочих корректировок по группам потребителей.</w:t>
      </w:r>
    </w:p>
    <w:p w:rsidR="00F925F7" w:rsidRPr="00F925F7" w:rsidRDefault="00F925F7" w:rsidP="00F925F7">
      <w:pPr>
        <w:ind w:firstLine="567"/>
        <w:jc w:val="both"/>
        <w:rPr>
          <w:sz w:val="26"/>
          <w:szCs w:val="26"/>
        </w:rPr>
      </w:pPr>
      <w:r w:rsidRPr="00F925F7">
        <w:rPr>
          <w:sz w:val="26"/>
          <w:szCs w:val="26"/>
        </w:rPr>
        <w:t>Департамент отмечает, что все расчетные материалы и экспертные заключения по рассматриваемому вопросу были направлены в адрес Ассоциации «НП Совет рынка».</w:t>
      </w:r>
    </w:p>
    <w:p w:rsidR="00F925F7" w:rsidRPr="00F925F7" w:rsidRDefault="00F925F7" w:rsidP="00F925F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25F7" w:rsidRPr="003042C4" w:rsidRDefault="00F925F7" w:rsidP="00F925F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42C4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3042C4" w:rsidRPr="003042C4" w:rsidRDefault="003042C4" w:rsidP="001F414F">
      <w:pPr>
        <w:widowControl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3042C4">
        <w:rPr>
          <w:sz w:val="26"/>
          <w:szCs w:val="26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Методическими указаниями по расчету сбытовых надбавок гарантирующих поставщиков с использованием метода сравнения аналогов, утвержденными приказом ФАС России от 21.11.2017 № 1554/17, решением ФАС России от 21.09.2022 № СП/87601/22 Департамент энергетики и тарифов Ивановской</w:t>
      </w:r>
      <w:proofErr w:type="gramEnd"/>
      <w:r w:rsidRPr="003042C4">
        <w:rPr>
          <w:sz w:val="26"/>
          <w:szCs w:val="26"/>
        </w:rPr>
        <w:t xml:space="preserve"> области постановляет:</w:t>
      </w:r>
    </w:p>
    <w:p w:rsidR="003042C4" w:rsidRPr="003042C4" w:rsidRDefault="003042C4" w:rsidP="001F414F">
      <w:pPr>
        <w:numPr>
          <w:ilvl w:val="0"/>
          <w:numId w:val="27"/>
        </w:numPr>
        <w:ind w:left="0" w:firstLine="567"/>
        <w:jc w:val="both"/>
        <w:rPr>
          <w:sz w:val="26"/>
          <w:szCs w:val="26"/>
          <w:lang w:eastAsia="x-none"/>
        </w:rPr>
      </w:pPr>
      <w:r w:rsidRPr="003042C4">
        <w:rPr>
          <w:sz w:val="26"/>
          <w:szCs w:val="26"/>
          <w:lang w:eastAsia="x-none"/>
        </w:rPr>
        <w:t xml:space="preserve">Внести в </w:t>
      </w:r>
      <w:hyperlink r:id="rId9" w:history="1">
        <w:r w:rsidRPr="003042C4">
          <w:rPr>
            <w:rStyle w:val="ab"/>
            <w:color w:val="auto"/>
            <w:sz w:val="26"/>
            <w:szCs w:val="26"/>
            <w:u w:val="none"/>
            <w:lang w:eastAsia="x-none"/>
          </w:rPr>
          <w:t>постановление</w:t>
        </w:r>
      </w:hyperlink>
      <w:r w:rsidRPr="003042C4">
        <w:rPr>
          <w:sz w:val="26"/>
          <w:szCs w:val="26"/>
          <w:lang w:eastAsia="x-none"/>
        </w:rPr>
        <w:t xml:space="preserve"> Департамента энергетики и тарифов Ивановской области от 27.12.2021 № 59-э/1 «О сбытовых надбавках для гарантирующих поставщиков электрической энергии на территории Ивановской области» следующие изменения:</w:t>
      </w:r>
    </w:p>
    <w:p w:rsidR="003042C4" w:rsidRPr="003042C4" w:rsidRDefault="003042C4" w:rsidP="001F414F">
      <w:pPr>
        <w:ind w:firstLine="567"/>
        <w:jc w:val="both"/>
        <w:rPr>
          <w:sz w:val="26"/>
          <w:szCs w:val="26"/>
          <w:lang w:eastAsia="x-none"/>
        </w:rPr>
      </w:pPr>
      <w:r w:rsidRPr="003042C4">
        <w:rPr>
          <w:sz w:val="26"/>
          <w:szCs w:val="26"/>
          <w:lang w:eastAsia="x-none"/>
        </w:rPr>
        <w:lastRenderedPageBreak/>
        <w:t>в приложении к постановлению Департамента энергетики и тарифов Ивановской области от 27.12.2021 № 59-э/1 в строке 1 в графе 8 цифры «0,37905» заменить цифрами «0,86911», в графе 10 цифры «0,13509» заменить цифрами «0,34842», в графе 12 цифры «0,13310» заменить цифрами «0,32841».</w:t>
      </w:r>
    </w:p>
    <w:p w:rsidR="003042C4" w:rsidRPr="003042C4" w:rsidRDefault="003042C4" w:rsidP="001F414F">
      <w:pPr>
        <w:tabs>
          <w:tab w:val="left" w:pos="1276"/>
        </w:tabs>
        <w:ind w:firstLine="567"/>
        <w:jc w:val="both"/>
        <w:rPr>
          <w:b/>
          <w:sz w:val="26"/>
          <w:szCs w:val="26"/>
        </w:rPr>
      </w:pPr>
      <w:r w:rsidRPr="003042C4">
        <w:rPr>
          <w:sz w:val="26"/>
          <w:szCs w:val="26"/>
          <w:lang w:eastAsia="x-none"/>
        </w:rPr>
        <w:t>2</w:t>
      </w:r>
      <w:r w:rsidRPr="003042C4">
        <w:rPr>
          <w:sz w:val="26"/>
          <w:szCs w:val="26"/>
          <w:lang w:val="x-none" w:eastAsia="x-none"/>
        </w:rPr>
        <w:t>. Настоящее постановление вступает в силу с</w:t>
      </w:r>
      <w:r w:rsidRPr="003042C4">
        <w:rPr>
          <w:sz w:val="26"/>
          <w:szCs w:val="26"/>
          <w:lang w:eastAsia="x-none"/>
        </w:rPr>
        <w:t>о дня</w:t>
      </w:r>
      <w:r w:rsidRPr="003042C4">
        <w:rPr>
          <w:sz w:val="26"/>
          <w:szCs w:val="26"/>
          <w:lang w:val="x-none" w:eastAsia="x-none"/>
        </w:rPr>
        <w:t xml:space="preserve"> </w:t>
      </w:r>
      <w:r w:rsidRPr="003042C4">
        <w:rPr>
          <w:sz w:val="26"/>
          <w:szCs w:val="26"/>
          <w:lang w:eastAsia="x-none"/>
        </w:rPr>
        <w:t xml:space="preserve">его </w:t>
      </w:r>
      <w:r w:rsidRPr="003042C4">
        <w:rPr>
          <w:sz w:val="26"/>
          <w:szCs w:val="26"/>
          <w:lang w:val="x-none" w:eastAsia="x-none"/>
        </w:rPr>
        <w:t>официального опубликования</w:t>
      </w:r>
      <w:r w:rsidRPr="003042C4">
        <w:rPr>
          <w:sz w:val="26"/>
          <w:szCs w:val="26"/>
          <w:lang w:eastAsia="x-none"/>
        </w:rPr>
        <w:t xml:space="preserve"> и распространяется на правоотношения, возникшие с 01.11.2022</w:t>
      </w:r>
      <w:r w:rsidRPr="003042C4">
        <w:rPr>
          <w:sz w:val="26"/>
          <w:szCs w:val="26"/>
          <w:lang w:val="x-none" w:eastAsia="x-none"/>
        </w:rPr>
        <w:t>.</w:t>
      </w:r>
    </w:p>
    <w:p w:rsidR="00F925F7" w:rsidRPr="00F925F7" w:rsidRDefault="00F925F7" w:rsidP="00F925F7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3042C4" w:rsidRPr="00FD73D3" w:rsidRDefault="003042C4" w:rsidP="003042C4">
      <w:pPr>
        <w:tabs>
          <w:tab w:val="left" w:pos="4020"/>
        </w:tabs>
        <w:ind w:firstLine="540"/>
        <w:rPr>
          <w:sz w:val="26"/>
          <w:szCs w:val="26"/>
        </w:rPr>
      </w:pPr>
      <w:r w:rsidRPr="00FD73D3">
        <w:rPr>
          <w:sz w:val="26"/>
          <w:szCs w:val="26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3042C4" w:rsidRPr="00FD73D3" w:rsidTr="003042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 xml:space="preserve">№ </w:t>
            </w:r>
            <w:proofErr w:type="gramStart"/>
            <w:r w:rsidRPr="00FD73D3">
              <w:rPr>
                <w:sz w:val="26"/>
                <w:szCs w:val="26"/>
              </w:rPr>
              <w:t>п</w:t>
            </w:r>
            <w:proofErr w:type="gramEnd"/>
            <w:r w:rsidRPr="00FD73D3">
              <w:rPr>
                <w:sz w:val="26"/>
                <w:szCs w:val="26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Результаты голосования</w:t>
            </w:r>
          </w:p>
        </w:tc>
      </w:tr>
      <w:tr w:rsidR="003042C4" w:rsidRPr="00FD73D3" w:rsidTr="003042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3042C4" w:rsidRPr="00FD73D3" w:rsidTr="003042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3042C4" w:rsidRPr="00FD73D3" w:rsidTr="003042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3042C4" w:rsidRPr="00FD73D3" w:rsidTr="003042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3042C4" w:rsidRPr="00FD73D3" w:rsidTr="003042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3042C4" w:rsidRPr="00FD73D3" w:rsidTr="003042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3042C4" w:rsidRPr="00FD73D3" w:rsidTr="003042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за</w:t>
            </w:r>
          </w:p>
        </w:tc>
      </w:tr>
      <w:tr w:rsidR="003042C4" w:rsidRPr="00FD73D3" w:rsidTr="003042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FD73D3">
              <w:rPr>
                <w:sz w:val="26"/>
                <w:szCs w:val="26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FD73D3" w:rsidRDefault="003042C4" w:rsidP="003042C4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воздержался</w:t>
            </w:r>
          </w:p>
        </w:tc>
      </w:tr>
    </w:tbl>
    <w:p w:rsidR="003042C4" w:rsidRDefault="003042C4" w:rsidP="003042C4">
      <w:pPr>
        <w:tabs>
          <w:tab w:val="left" w:pos="4020"/>
        </w:tabs>
        <w:ind w:left="284" w:firstLine="283"/>
        <w:rPr>
          <w:sz w:val="26"/>
          <w:szCs w:val="26"/>
        </w:rPr>
      </w:pPr>
      <w:r w:rsidRPr="00FD73D3">
        <w:rPr>
          <w:sz w:val="26"/>
          <w:szCs w:val="26"/>
        </w:rPr>
        <w:t>Итого: за</w:t>
      </w:r>
      <w:r>
        <w:rPr>
          <w:sz w:val="26"/>
          <w:szCs w:val="26"/>
        </w:rPr>
        <w:t xml:space="preserve"> – 7, против – 0, воздержался – 1</w:t>
      </w:r>
      <w:r w:rsidRPr="00FD73D3">
        <w:rPr>
          <w:sz w:val="26"/>
          <w:szCs w:val="26"/>
        </w:rPr>
        <w:t>, отсутствуют –</w:t>
      </w:r>
      <w:r w:rsidR="00A342A8">
        <w:rPr>
          <w:sz w:val="26"/>
          <w:szCs w:val="26"/>
        </w:rPr>
        <w:t xml:space="preserve"> 0.</w:t>
      </w:r>
    </w:p>
    <w:p w:rsidR="003042C4" w:rsidRDefault="003042C4" w:rsidP="00F925F7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6A3BBE" w:rsidRPr="006A3BBE" w:rsidRDefault="006A3BBE" w:rsidP="006A3BBE">
      <w:pPr>
        <w:tabs>
          <w:tab w:val="left" w:pos="4020"/>
        </w:tabs>
        <w:ind w:left="284" w:firstLine="283"/>
        <w:jc w:val="both"/>
        <w:rPr>
          <w:b/>
          <w:sz w:val="26"/>
          <w:szCs w:val="26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466942" w:rsidRPr="004E2154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4E2154" w:rsidRDefault="00CB2DB7" w:rsidP="00FB144C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О</w:t>
            </w:r>
            <w:r w:rsidR="005B384C" w:rsidRPr="004E2154">
              <w:rPr>
                <w:sz w:val="26"/>
                <w:szCs w:val="26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4E2154" w:rsidRDefault="005B384C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4E2154" w:rsidRDefault="00A0421C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М.С. Блинова</w:t>
            </w:r>
          </w:p>
        </w:tc>
      </w:tr>
      <w:tr w:rsidR="00466942" w:rsidRPr="004E2154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4E2154" w:rsidRDefault="005B384C" w:rsidP="00FB144C">
            <w:pPr>
              <w:jc w:val="both"/>
              <w:rPr>
                <w:b/>
                <w:sz w:val="26"/>
                <w:szCs w:val="26"/>
              </w:rPr>
            </w:pPr>
            <w:r w:rsidRPr="004E2154">
              <w:rPr>
                <w:b/>
                <w:sz w:val="26"/>
                <w:szCs w:val="26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4E2154" w:rsidRDefault="005B384C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4E2154" w:rsidRDefault="005B384C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 xml:space="preserve">С.Е. Бугаева 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 xml:space="preserve">Н.Б. Гущина 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A73314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Е.В. Турбачкина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jc w:val="both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102CEC" w:rsidP="00102CE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Е.А. Коннова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6A3BBE" w:rsidP="00100123">
            <w:pPr>
              <w:rPr>
                <w:sz w:val="26"/>
                <w:szCs w:val="26"/>
              </w:rPr>
            </w:pPr>
            <w:r w:rsidRPr="006A3BBE">
              <w:rPr>
                <w:sz w:val="26"/>
                <w:szCs w:val="26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6A3BBE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И.Г. Полозов</w:t>
            </w:r>
          </w:p>
        </w:tc>
      </w:tr>
      <w:tr w:rsidR="00750E43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E2154" w:rsidRDefault="00750E43" w:rsidP="00FB144C">
            <w:pPr>
              <w:jc w:val="both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E2154" w:rsidRDefault="00750E4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:rsidR="00750E43" w:rsidRPr="004E2154" w:rsidRDefault="00750E4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E2154" w:rsidRDefault="00750E43" w:rsidP="00750E4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750E43" w:rsidRPr="004E2154" w:rsidRDefault="00750E43" w:rsidP="00750E4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О.П. Агапова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750E43" w:rsidP="00750E43">
            <w:pPr>
              <w:jc w:val="both"/>
              <w:rPr>
                <w:sz w:val="26"/>
                <w:szCs w:val="26"/>
                <w:highlight w:val="yellow"/>
              </w:rPr>
            </w:pPr>
            <w:r w:rsidRPr="004E2154">
              <w:rPr>
                <w:sz w:val="26"/>
                <w:szCs w:val="26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  <w:highlight w:val="yellow"/>
              </w:rPr>
            </w:pPr>
          </w:p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  <w:highlight w:val="yellow"/>
              </w:rPr>
            </w:pPr>
          </w:p>
          <w:p w:rsidR="00100123" w:rsidRPr="004E2154" w:rsidRDefault="006A3BBE" w:rsidP="006A3BBE">
            <w:pPr>
              <w:tabs>
                <w:tab w:val="left" w:pos="4020"/>
              </w:tabs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З.Б. </w:t>
            </w:r>
            <w:r w:rsidRPr="006A3BBE">
              <w:rPr>
                <w:sz w:val="26"/>
                <w:szCs w:val="26"/>
              </w:rPr>
              <w:t xml:space="preserve">Виднова 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jc w:val="both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100123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А.И. Кулешов</w:t>
            </w:r>
          </w:p>
        </w:tc>
      </w:tr>
    </w:tbl>
    <w:p w:rsidR="006A3BBE" w:rsidRDefault="00C8155C" w:rsidP="00C8155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6A3BBE" w:rsidRDefault="006A3BBE" w:rsidP="00C8155C">
      <w:pPr>
        <w:jc w:val="right"/>
        <w:rPr>
          <w:sz w:val="24"/>
          <w:szCs w:val="24"/>
        </w:rPr>
      </w:pPr>
    </w:p>
    <w:sectPr w:rsidR="006A3BBE" w:rsidSect="00175CED">
      <w:headerReference w:type="even" r:id="rId10"/>
      <w:headerReference w:type="default" r:id="rId11"/>
      <w:pgSz w:w="11906" w:h="16838"/>
      <w:pgMar w:top="1418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A8" w:rsidRDefault="00A342A8">
      <w:r>
        <w:separator/>
      </w:r>
    </w:p>
  </w:endnote>
  <w:endnote w:type="continuationSeparator" w:id="0">
    <w:p w:rsidR="00A342A8" w:rsidRDefault="00A3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A8" w:rsidRDefault="00A342A8">
      <w:r>
        <w:separator/>
      </w:r>
    </w:p>
  </w:footnote>
  <w:footnote w:type="continuationSeparator" w:id="0">
    <w:p w:rsidR="00A342A8" w:rsidRDefault="00A34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A8" w:rsidRDefault="00A342A8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42A8" w:rsidRDefault="00A342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A8" w:rsidRDefault="00A342A8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1C37">
      <w:rPr>
        <w:rStyle w:val="a5"/>
        <w:noProof/>
      </w:rPr>
      <w:t>13</w:t>
    </w:r>
    <w:r>
      <w:rPr>
        <w:rStyle w:val="a5"/>
      </w:rPr>
      <w:fldChar w:fldCharType="end"/>
    </w:r>
  </w:p>
  <w:p w:rsidR="00A342A8" w:rsidRDefault="00A342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22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5"/>
  </w:num>
  <w:num w:numId="7">
    <w:abstractNumId w:val="20"/>
  </w:num>
  <w:num w:numId="8">
    <w:abstractNumId w:val="24"/>
  </w:num>
  <w:num w:numId="9">
    <w:abstractNumId w:val="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3"/>
  </w:num>
  <w:num w:numId="13">
    <w:abstractNumId w:val="6"/>
  </w:num>
  <w:num w:numId="14">
    <w:abstractNumId w:val="15"/>
  </w:num>
  <w:num w:numId="15">
    <w:abstractNumId w:val="23"/>
  </w:num>
  <w:num w:numId="16">
    <w:abstractNumId w:val="19"/>
  </w:num>
  <w:num w:numId="17">
    <w:abstractNumId w:val="14"/>
  </w:num>
  <w:num w:numId="18">
    <w:abstractNumId w:val="8"/>
  </w:num>
  <w:num w:numId="19">
    <w:abstractNumId w:val="12"/>
  </w:num>
  <w:num w:numId="20">
    <w:abstractNumId w:val="18"/>
  </w:num>
  <w:num w:numId="21">
    <w:abstractNumId w:val="10"/>
  </w:num>
  <w:num w:numId="22">
    <w:abstractNumId w:val="17"/>
  </w:num>
  <w:num w:numId="23">
    <w:abstractNumId w:val="11"/>
  </w:num>
  <w:num w:numId="24">
    <w:abstractNumId w:val="1"/>
  </w:num>
  <w:num w:numId="25">
    <w:abstractNumId w:val="4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B84"/>
    <w:rsid w:val="000064CF"/>
    <w:rsid w:val="0000686F"/>
    <w:rsid w:val="000137F0"/>
    <w:rsid w:val="000277EB"/>
    <w:rsid w:val="000301BD"/>
    <w:rsid w:val="00030E80"/>
    <w:rsid w:val="00034065"/>
    <w:rsid w:val="00035973"/>
    <w:rsid w:val="00042C3E"/>
    <w:rsid w:val="00045769"/>
    <w:rsid w:val="00047724"/>
    <w:rsid w:val="00050055"/>
    <w:rsid w:val="000514A4"/>
    <w:rsid w:val="00052294"/>
    <w:rsid w:val="000556C3"/>
    <w:rsid w:val="00056A15"/>
    <w:rsid w:val="00074265"/>
    <w:rsid w:val="00085EAD"/>
    <w:rsid w:val="00086DEB"/>
    <w:rsid w:val="00091843"/>
    <w:rsid w:val="000949BD"/>
    <w:rsid w:val="0009775D"/>
    <w:rsid w:val="000A4B37"/>
    <w:rsid w:val="000C03C8"/>
    <w:rsid w:val="000C2866"/>
    <w:rsid w:val="000C7F31"/>
    <w:rsid w:val="000D61F7"/>
    <w:rsid w:val="000E6693"/>
    <w:rsid w:val="000E6C4A"/>
    <w:rsid w:val="00100123"/>
    <w:rsid w:val="00102665"/>
    <w:rsid w:val="00102CEC"/>
    <w:rsid w:val="00102ED2"/>
    <w:rsid w:val="0010702C"/>
    <w:rsid w:val="00113A9D"/>
    <w:rsid w:val="00147B89"/>
    <w:rsid w:val="00150B76"/>
    <w:rsid w:val="001512A5"/>
    <w:rsid w:val="00174CA1"/>
    <w:rsid w:val="00174DB7"/>
    <w:rsid w:val="00175CED"/>
    <w:rsid w:val="0017733A"/>
    <w:rsid w:val="00181BF3"/>
    <w:rsid w:val="00181D4D"/>
    <w:rsid w:val="00190A38"/>
    <w:rsid w:val="0019314A"/>
    <w:rsid w:val="001938D2"/>
    <w:rsid w:val="001A1815"/>
    <w:rsid w:val="001A211D"/>
    <w:rsid w:val="001A68A8"/>
    <w:rsid w:val="001C3FF6"/>
    <w:rsid w:val="001C5116"/>
    <w:rsid w:val="001D267C"/>
    <w:rsid w:val="001E449B"/>
    <w:rsid w:val="001F100B"/>
    <w:rsid w:val="001F29F1"/>
    <w:rsid w:val="001F414F"/>
    <w:rsid w:val="0020423A"/>
    <w:rsid w:val="0021547D"/>
    <w:rsid w:val="00217DC7"/>
    <w:rsid w:val="00222418"/>
    <w:rsid w:val="00230A1D"/>
    <w:rsid w:val="002476A2"/>
    <w:rsid w:val="00262C82"/>
    <w:rsid w:val="00267E21"/>
    <w:rsid w:val="00273544"/>
    <w:rsid w:val="00273BD2"/>
    <w:rsid w:val="00283F36"/>
    <w:rsid w:val="0028579F"/>
    <w:rsid w:val="00293AF9"/>
    <w:rsid w:val="002D04FB"/>
    <w:rsid w:val="002D0AF6"/>
    <w:rsid w:val="002E3293"/>
    <w:rsid w:val="002E4504"/>
    <w:rsid w:val="002E7787"/>
    <w:rsid w:val="002F0C90"/>
    <w:rsid w:val="002F7851"/>
    <w:rsid w:val="003042C4"/>
    <w:rsid w:val="00334250"/>
    <w:rsid w:val="00335AB5"/>
    <w:rsid w:val="00353E00"/>
    <w:rsid w:val="00370909"/>
    <w:rsid w:val="003768AC"/>
    <w:rsid w:val="00390B94"/>
    <w:rsid w:val="00392DA8"/>
    <w:rsid w:val="00394351"/>
    <w:rsid w:val="003953E3"/>
    <w:rsid w:val="0039712C"/>
    <w:rsid w:val="003A2FBF"/>
    <w:rsid w:val="003A4496"/>
    <w:rsid w:val="003A6C9D"/>
    <w:rsid w:val="003A78E2"/>
    <w:rsid w:val="003A7B41"/>
    <w:rsid w:val="003B0663"/>
    <w:rsid w:val="003B0C99"/>
    <w:rsid w:val="003C01FA"/>
    <w:rsid w:val="003D2E03"/>
    <w:rsid w:val="003E5A74"/>
    <w:rsid w:val="003E7C83"/>
    <w:rsid w:val="003F081D"/>
    <w:rsid w:val="003F3FC6"/>
    <w:rsid w:val="004118FC"/>
    <w:rsid w:val="0041444D"/>
    <w:rsid w:val="00427593"/>
    <w:rsid w:val="0043607E"/>
    <w:rsid w:val="00456648"/>
    <w:rsid w:val="004649EB"/>
    <w:rsid w:val="00465DE5"/>
    <w:rsid w:val="00466942"/>
    <w:rsid w:val="00473802"/>
    <w:rsid w:val="0047755F"/>
    <w:rsid w:val="0048693C"/>
    <w:rsid w:val="004A3C0A"/>
    <w:rsid w:val="004A3F1A"/>
    <w:rsid w:val="004B0782"/>
    <w:rsid w:val="004B191C"/>
    <w:rsid w:val="004C3F09"/>
    <w:rsid w:val="004C4178"/>
    <w:rsid w:val="004C6E09"/>
    <w:rsid w:val="004D0A10"/>
    <w:rsid w:val="004E2154"/>
    <w:rsid w:val="004E2C77"/>
    <w:rsid w:val="004E35E5"/>
    <w:rsid w:val="005010B2"/>
    <w:rsid w:val="0050264C"/>
    <w:rsid w:val="00515FCE"/>
    <w:rsid w:val="00520414"/>
    <w:rsid w:val="0052099A"/>
    <w:rsid w:val="00522274"/>
    <w:rsid w:val="00534B05"/>
    <w:rsid w:val="005353FE"/>
    <w:rsid w:val="00546435"/>
    <w:rsid w:val="00551589"/>
    <w:rsid w:val="0055285B"/>
    <w:rsid w:val="00554200"/>
    <w:rsid w:val="005614F7"/>
    <w:rsid w:val="005639E3"/>
    <w:rsid w:val="00576EDF"/>
    <w:rsid w:val="00593C83"/>
    <w:rsid w:val="005B2A72"/>
    <w:rsid w:val="005B384C"/>
    <w:rsid w:val="005B57C8"/>
    <w:rsid w:val="005C5306"/>
    <w:rsid w:val="005D13EC"/>
    <w:rsid w:val="005D4BBE"/>
    <w:rsid w:val="005F268F"/>
    <w:rsid w:val="00606AFA"/>
    <w:rsid w:val="00610136"/>
    <w:rsid w:val="006208AA"/>
    <w:rsid w:val="006218E7"/>
    <w:rsid w:val="00626A32"/>
    <w:rsid w:val="00630F85"/>
    <w:rsid w:val="006340C7"/>
    <w:rsid w:val="006376B4"/>
    <w:rsid w:val="00637B5E"/>
    <w:rsid w:val="006479A0"/>
    <w:rsid w:val="00657A22"/>
    <w:rsid w:val="00662303"/>
    <w:rsid w:val="00670278"/>
    <w:rsid w:val="00671CC5"/>
    <w:rsid w:val="006732ED"/>
    <w:rsid w:val="0067528C"/>
    <w:rsid w:val="00675A8B"/>
    <w:rsid w:val="00690DA4"/>
    <w:rsid w:val="00691745"/>
    <w:rsid w:val="00693F4E"/>
    <w:rsid w:val="00694117"/>
    <w:rsid w:val="0069698E"/>
    <w:rsid w:val="006A3BBE"/>
    <w:rsid w:val="006B6625"/>
    <w:rsid w:val="006C6386"/>
    <w:rsid w:val="006C7FD6"/>
    <w:rsid w:val="006D00A4"/>
    <w:rsid w:val="006E2C97"/>
    <w:rsid w:val="006E56E3"/>
    <w:rsid w:val="006E7BB8"/>
    <w:rsid w:val="006F1364"/>
    <w:rsid w:val="006F54B2"/>
    <w:rsid w:val="0070141D"/>
    <w:rsid w:val="007068DC"/>
    <w:rsid w:val="00725F00"/>
    <w:rsid w:val="00737365"/>
    <w:rsid w:val="00750E43"/>
    <w:rsid w:val="0076398B"/>
    <w:rsid w:val="00764D5A"/>
    <w:rsid w:val="007660C9"/>
    <w:rsid w:val="00771B42"/>
    <w:rsid w:val="00772D93"/>
    <w:rsid w:val="00784053"/>
    <w:rsid w:val="00784702"/>
    <w:rsid w:val="00790FF1"/>
    <w:rsid w:val="007921B5"/>
    <w:rsid w:val="007A0214"/>
    <w:rsid w:val="007B5DD0"/>
    <w:rsid w:val="007C2BFE"/>
    <w:rsid w:val="007D340D"/>
    <w:rsid w:val="007D42E6"/>
    <w:rsid w:val="007D776C"/>
    <w:rsid w:val="007E5A1F"/>
    <w:rsid w:val="008018D0"/>
    <w:rsid w:val="00802AFD"/>
    <w:rsid w:val="00804CFB"/>
    <w:rsid w:val="008069CD"/>
    <w:rsid w:val="00806B96"/>
    <w:rsid w:val="00817FB8"/>
    <w:rsid w:val="00822448"/>
    <w:rsid w:val="00832278"/>
    <w:rsid w:val="00834454"/>
    <w:rsid w:val="00843EBE"/>
    <w:rsid w:val="00847CC3"/>
    <w:rsid w:val="00884BA4"/>
    <w:rsid w:val="00884C58"/>
    <w:rsid w:val="00885A4A"/>
    <w:rsid w:val="008A5F9F"/>
    <w:rsid w:val="008B4AF5"/>
    <w:rsid w:val="008B720C"/>
    <w:rsid w:val="008B75D9"/>
    <w:rsid w:val="008C042F"/>
    <w:rsid w:val="008D0D47"/>
    <w:rsid w:val="008D1B66"/>
    <w:rsid w:val="008E1C37"/>
    <w:rsid w:val="008E24DC"/>
    <w:rsid w:val="008E343B"/>
    <w:rsid w:val="008E7EDA"/>
    <w:rsid w:val="008F0C67"/>
    <w:rsid w:val="00902327"/>
    <w:rsid w:val="009162DA"/>
    <w:rsid w:val="0092634E"/>
    <w:rsid w:val="00945A23"/>
    <w:rsid w:val="00947799"/>
    <w:rsid w:val="00950173"/>
    <w:rsid w:val="00950A6E"/>
    <w:rsid w:val="00960CB6"/>
    <w:rsid w:val="009643B0"/>
    <w:rsid w:val="009A06DC"/>
    <w:rsid w:val="009A0A72"/>
    <w:rsid w:val="009A1FB2"/>
    <w:rsid w:val="009B651F"/>
    <w:rsid w:val="009C6019"/>
    <w:rsid w:val="009C6282"/>
    <w:rsid w:val="009D1404"/>
    <w:rsid w:val="009D3914"/>
    <w:rsid w:val="009D5AB3"/>
    <w:rsid w:val="009D60BE"/>
    <w:rsid w:val="009E75E7"/>
    <w:rsid w:val="009F131D"/>
    <w:rsid w:val="009F2C7F"/>
    <w:rsid w:val="009F77AE"/>
    <w:rsid w:val="00A00FE4"/>
    <w:rsid w:val="00A01D42"/>
    <w:rsid w:val="00A02F26"/>
    <w:rsid w:val="00A0421C"/>
    <w:rsid w:val="00A06490"/>
    <w:rsid w:val="00A14BD5"/>
    <w:rsid w:val="00A17C95"/>
    <w:rsid w:val="00A26D02"/>
    <w:rsid w:val="00A32482"/>
    <w:rsid w:val="00A33801"/>
    <w:rsid w:val="00A342A8"/>
    <w:rsid w:val="00A423D8"/>
    <w:rsid w:val="00A4262F"/>
    <w:rsid w:val="00A525DD"/>
    <w:rsid w:val="00A53A61"/>
    <w:rsid w:val="00A64548"/>
    <w:rsid w:val="00A658B7"/>
    <w:rsid w:val="00A73314"/>
    <w:rsid w:val="00A833E0"/>
    <w:rsid w:val="00A94DEB"/>
    <w:rsid w:val="00A973F4"/>
    <w:rsid w:val="00AA1281"/>
    <w:rsid w:val="00AA1CE4"/>
    <w:rsid w:val="00AA3F49"/>
    <w:rsid w:val="00AA4D30"/>
    <w:rsid w:val="00AA676D"/>
    <w:rsid w:val="00AB2502"/>
    <w:rsid w:val="00AC336E"/>
    <w:rsid w:val="00AC6A44"/>
    <w:rsid w:val="00AD318E"/>
    <w:rsid w:val="00AD339B"/>
    <w:rsid w:val="00AD6195"/>
    <w:rsid w:val="00AE001D"/>
    <w:rsid w:val="00AE1D47"/>
    <w:rsid w:val="00AE5EEB"/>
    <w:rsid w:val="00AF0BE9"/>
    <w:rsid w:val="00B00CF1"/>
    <w:rsid w:val="00B1374E"/>
    <w:rsid w:val="00B150D4"/>
    <w:rsid w:val="00B173E4"/>
    <w:rsid w:val="00B21B80"/>
    <w:rsid w:val="00B30208"/>
    <w:rsid w:val="00B31BA4"/>
    <w:rsid w:val="00B62729"/>
    <w:rsid w:val="00B73526"/>
    <w:rsid w:val="00B854A8"/>
    <w:rsid w:val="00B86551"/>
    <w:rsid w:val="00B872E8"/>
    <w:rsid w:val="00B911BA"/>
    <w:rsid w:val="00B942FC"/>
    <w:rsid w:val="00B96B60"/>
    <w:rsid w:val="00BA20E7"/>
    <w:rsid w:val="00BA4212"/>
    <w:rsid w:val="00BA5A30"/>
    <w:rsid w:val="00BC172E"/>
    <w:rsid w:val="00BC1905"/>
    <w:rsid w:val="00BD4C16"/>
    <w:rsid w:val="00BE2600"/>
    <w:rsid w:val="00BF6CDF"/>
    <w:rsid w:val="00C007C7"/>
    <w:rsid w:val="00C10AF5"/>
    <w:rsid w:val="00C2349C"/>
    <w:rsid w:val="00C34509"/>
    <w:rsid w:val="00C433FF"/>
    <w:rsid w:val="00C45974"/>
    <w:rsid w:val="00C57BF7"/>
    <w:rsid w:val="00C6399E"/>
    <w:rsid w:val="00C64358"/>
    <w:rsid w:val="00C645A4"/>
    <w:rsid w:val="00C81296"/>
    <w:rsid w:val="00C8155C"/>
    <w:rsid w:val="00C828F9"/>
    <w:rsid w:val="00C875E3"/>
    <w:rsid w:val="00C92030"/>
    <w:rsid w:val="00CB07AC"/>
    <w:rsid w:val="00CB2DB7"/>
    <w:rsid w:val="00CB5495"/>
    <w:rsid w:val="00CC6A50"/>
    <w:rsid w:val="00CD1ACA"/>
    <w:rsid w:val="00CD3A4E"/>
    <w:rsid w:val="00CE0328"/>
    <w:rsid w:val="00CE5B58"/>
    <w:rsid w:val="00CE7A74"/>
    <w:rsid w:val="00CF12C1"/>
    <w:rsid w:val="00D116AE"/>
    <w:rsid w:val="00D13CE4"/>
    <w:rsid w:val="00D2174F"/>
    <w:rsid w:val="00D270C4"/>
    <w:rsid w:val="00D303A6"/>
    <w:rsid w:val="00D37CFC"/>
    <w:rsid w:val="00D43B0B"/>
    <w:rsid w:val="00D65A0C"/>
    <w:rsid w:val="00D81313"/>
    <w:rsid w:val="00D86FA6"/>
    <w:rsid w:val="00D871F9"/>
    <w:rsid w:val="00D913B7"/>
    <w:rsid w:val="00DB156E"/>
    <w:rsid w:val="00DB2BAD"/>
    <w:rsid w:val="00DC690C"/>
    <w:rsid w:val="00DC70E0"/>
    <w:rsid w:val="00DC7CDD"/>
    <w:rsid w:val="00DD3D8E"/>
    <w:rsid w:val="00DE310B"/>
    <w:rsid w:val="00DE63F9"/>
    <w:rsid w:val="00DF2186"/>
    <w:rsid w:val="00DF497E"/>
    <w:rsid w:val="00E2741D"/>
    <w:rsid w:val="00E330EB"/>
    <w:rsid w:val="00E34193"/>
    <w:rsid w:val="00E424F9"/>
    <w:rsid w:val="00E454AF"/>
    <w:rsid w:val="00E51103"/>
    <w:rsid w:val="00E566D5"/>
    <w:rsid w:val="00E65D99"/>
    <w:rsid w:val="00E86E4E"/>
    <w:rsid w:val="00E95F9F"/>
    <w:rsid w:val="00EA2A52"/>
    <w:rsid w:val="00EA6678"/>
    <w:rsid w:val="00EB77D5"/>
    <w:rsid w:val="00EB7A7F"/>
    <w:rsid w:val="00EC77B9"/>
    <w:rsid w:val="00ED3715"/>
    <w:rsid w:val="00EE40BF"/>
    <w:rsid w:val="00EE48B6"/>
    <w:rsid w:val="00EF2F65"/>
    <w:rsid w:val="00F07056"/>
    <w:rsid w:val="00F07C93"/>
    <w:rsid w:val="00F23C80"/>
    <w:rsid w:val="00F31207"/>
    <w:rsid w:val="00F36FBC"/>
    <w:rsid w:val="00F37527"/>
    <w:rsid w:val="00F43C50"/>
    <w:rsid w:val="00F57773"/>
    <w:rsid w:val="00F620F1"/>
    <w:rsid w:val="00F64F61"/>
    <w:rsid w:val="00F66464"/>
    <w:rsid w:val="00F66CD0"/>
    <w:rsid w:val="00F72658"/>
    <w:rsid w:val="00F84FCF"/>
    <w:rsid w:val="00F925F7"/>
    <w:rsid w:val="00F92613"/>
    <w:rsid w:val="00F93FAF"/>
    <w:rsid w:val="00FB144C"/>
    <w:rsid w:val="00FB2BA8"/>
    <w:rsid w:val="00FC453A"/>
    <w:rsid w:val="00FD73D3"/>
    <w:rsid w:val="00FE5D55"/>
    <w:rsid w:val="00FE5E09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B8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B8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F86E82CCA269AC15B7F1ED91EFDBF6734A3C0FCBA224A4D719403AB1138EA2F0BAE52C07803AA824B157E03248CC720AN3v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C780-8562-4629-BE2D-D2AFC574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13</Pages>
  <Words>5561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</dc:creator>
  <cp:keywords/>
  <dc:description/>
  <cp:lastModifiedBy>Коннова Е.А.</cp:lastModifiedBy>
  <cp:revision>85</cp:revision>
  <cp:lastPrinted>2020-11-05T06:24:00Z</cp:lastPrinted>
  <dcterms:created xsi:type="dcterms:W3CDTF">2020-11-06T12:27:00Z</dcterms:created>
  <dcterms:modified xsi:type="dcterms:W3CDTF">2022-10-18T05:56:00Z</dcterms:modified>
</cp:coreProperties>
</file>