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 w:rsidRPr="004E2154">
        <w:rPr>
          <w:b/>
          <w:sz w:val="26"/>
          <w:szCs w:val="26"/>
          <w:u w:val="single"/>
        </w:rPr>
        <w:t>П</w:t>
      </w:r>
      <w:proofErr w:type="gramEnd"/>
      <w:r w:rsidRPr="004E2154">
        <w:rPr>
          <w:b/>
          <w:sz w:val="26"/>
          <w:szCs w:val="26"/>
          <w:u w:val="single"/>
        </w:rPr>
        <w:t xml:space="preserve"> Р О Т О К О Л    № </w:t>
      </w:r>
      <w:r w:rsidR="00AB2502" w:rsidRPr="004E2154">
        <w:rPr>
          <w:b/>
          <w:sz w:val="26"/>
          <w:szCs w:val="26"/>
          <w:u w:val="single"/>
        </w:rPr>
        <w:t>4</w:t>
      </w:r>
      <w:r w:rsidR="009D5AB3">
        <w:rPr>
          <w:b/>
          <w:sz w:val="26"/>
          <w:szCs w:val="26"/>
          <w:u w:val="single"/>
        </w:rPr>
        <w:t>5</w:t>
      </w:r>
      <w:r w:rsidR="00C45974" w:rsidRPr="004E2154">
        <w:rPr>
          <w:b/>
          <w:sz w:val="26"/>
          <w:szCs w:val="26"/>
          <w:u w:val="single"/>
        </w:rPr>
        <w:t>/1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5B384C">
      <w:pPr>
        <w:jc w:val="center"/>
        <w:rPr>
          <w:sz w:val="26"/>
          <w:szCs w:val="26"/>
        </w:rPr>
      </w:pPr>
    </w:p>
    <w:p w:rsidR="005B384C" w:rsidRPr="004E2154" w:rsidRDefault="009D5AB3" w:rsidP="005B384C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C45974" w:rsidRPr="004E2154">
        <w:rPr>
          <w:sz w:val="26"/>
          <w:szCs w:val="26"/>
        </w:rPr>
        <w:t xml:space="preserve"> </w:t>
      </w:r>
      <w:r w:rsidR="00A423D8" w:rsidRPr="004E2154">
        <w:rPr>
          <w:sz w:val="26"/>
          <w:szCs w:val="26"/>
        </w:rPr>
        <w:t>октября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 w:rsidR="00A423D8" w:rsidRPr="004E2154">
        <w:rPr>
          <w:sz w:val="26"/>
          <w:szCs w:val="26"/>
        </w:rPr>
        <w:t>1</w:t>
      </w:r>
      <w:r w:rsidR="00B173E4"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r w:rsidR="00790FF1" w:rsidRPr="004E2154">
        <w:rPr>
          <w:sz w:val="26"/>
          <w:szCs w:val="26"/>
        </w:rPr>
        <w:t xml:space="preserve">Гущина Н.Б., </w:t>
      </w:r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Курчанинова О.А., </w:t>
      </w:r>
      <w:r w:rsidR="00335AB5" w:rsidRPr="004E2154">
        <w:rPr>
          <w:sz w:val="26"/>
          <w:szCs w:val="26"/>
        </w:rPr>
        <w:t>Коннова Е.А</w:t>
      </w:r>
      <w:r w:rsidR="009D60BE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, 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9D5AB3">
        <w:rPr>
          <w:sz w:val="26"/>
          <w:szCs w:val="26"/>
        </w:rPr>
        <w:t>Сергеев М.А., Куфтырева Т.В.</w:t>
      </w:r>
    </w:p>
    <w:p w:rsidR="005010B2" w:rsidRPr="004E2154" w:rsidRDefault="00F93FAF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Грехов М.В.</w:t>
      </w:r>
      <w:r w:rsidR="009D5AB3">
        <w:rPr>
          <w:sz w:val="26"/>
          <w:szCs w:val="26"/>
        </w:rPr>
        <w:t xml:space="preserve"> </w:t>
      </w:r>
      <w:r w:rsidR="005010B2" w:rsidRPr="004E2154">
        <w:rPr>
          <w:sz w:val="26"/>
          <w:szCs w:val="26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Соколова А.В.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35AB5" w:rsidRPr="00B942FC" w:rsidRDefault="00515FCE" w:rsidP="00B942FC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 w:rsidRPr="00B942FC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26.11.2020 № 62-э/1 «Об установлении необходимой валовой выручки и долгосрочных параметров регулирования для ООО «ТДЛ Энерго»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B942FC" w:rsidRPr="00B942FC" w:rsidRDefault="00B942FC" w:rsidP="00B942FC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 w:rsidRPr="00B942FC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</w:t>
      </w:r>
      <w:r>
        <w:rPr>
          <w:b/>
          <w:bCs/>
          <w:sz w:val="26"/>
          <w:szCs w:val="26"/>
        </w:rPr>
        <w:t>области от 01.12.2020 № 64-э/1 «</w:t>
      </w:r>
      <w:r w:rsidRPr="00B942FC">
        <w:rPr>
          <w:b/>
          <w:bCs/>
          <w:sz w:val="26"/>
          <w:szCs w:val="26"/>
        </w:rPr>
        <w:t>Об установлении необходимой валовой выручки и долгосрочных па</w:t>
      </w:r>
      <w:r>
        <w:rPr>
          <w:b/>
          <w:bCs/>
          <w:sz w:val="26"/>
          <w:szCs w:val="26"/>
        </w:rPr>
        <w:t>раметров регулирования для ООО «</w:t>
      </w:r>
      <w:r w:rsidRPr="00B942FC">
        <w:rPr>
          <w:b/>
          <w:bCs/>
          <w:sz w:val="26"/>
          <w:szCs w:val="26"/>
        </w:rPr>
        <w:t>ТСП</w:t>
      </w:r>
      <w:r>
        <w:rPr>
          <w:b/>
          <w:bCs/>
          <w:sz w:val="26"/>
          <w:szCs w:val="26"/>
        </w:rPr>
        <w:t>»</w:t>
      </w:r>
      <w:r w:rsidRPr="00B942FC">
        <w:rPr>
          <w:b/>
          <w:bCs/>
          <w:sz w:val="26"/>
          <w:szCs w:val="26"/>
        </w:rPr>
        <w:t xml:space="preserve">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>
        <w:rPr>
          <w:b/>
          <w:bCs/>
          <w:sz w:val="26"/>
          <w:szCs w:val="26"/>
        </w:rPr>
        <w:t>»</w:t>
      </w:r>
      <w:r w:rsidRPr="00B942FC">
        <w:rPr>
          <w:b/>
          <w:bCs/>
          <w:sz w:val="26"/>
          <w:szCs w:val="26"/>
        </w:rPr>
        <w:t>.</w:t>
      </w:r>
    </w:p>
    <w:p w:rsidR="00EC77B9" w:rsidRPr="00515FCE" w:rsidRDefault="00EC77B9" w:rsidP="00F84FCF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6"/>
          <w:szCs w:val="26"/>
        </w:rPr>
      </w:pPr>
    </w:p>
    <w:p w:rsidR="0069698E" w:rsidRDefault="004C3F09" w:rsidP="00F84FCF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proofErr w:type="gramStart"/>
      <w:r w:rsidR="00515FCE" w:rsidRPr="00515FCE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26.11.2020 № 62-э/1 «Об установлении необходимой валовой выручки и долгосрочных параметров регулирования для ООО «ТДЛ Энерго»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515FCE">
        <w:rPr>
          <w:b/>
          <w:bCs/>
          <w:sz w:val="26"/>
          <w:szCs w:val="26"/>
        </w:rPr>
        <w:t xml:space="preserve"> (Морева, Коннова, </w:t>
      </w:r>
      <w:r w:rsidR="00515FCE" w:rsidRPr="00515FCE">
        <w:rPr>
          <w:b/>
          <w:bCs/>
          <w:sz w:val="26"/>
          <w:szCs w:val="26"/>
        </w:rPr>
        <w:t>Сергеев</w:t>
      </w:r>
      <w:r w:rsidR="0069698E" w:rsidRPr="00515FCE">
        <w:rPr>
          <w:b/>
          <w:bCs/>
          <w:sz w:val="26"/>
          <w:szCs w:val="26"/>
        </w:rPr>
        <w:t>).</w:t>
      </w:r>
      <w:proofErr w:type="gramEnd"/>
    </w:p>
    <w:p w:rsidR="00147B89" w:rsidRPr="00515FCE" w:rsidRDefault="00147B89" w:rsidP="00147B89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6"/>
          <w:szCs w:val="26"/>
        </w:rPr>
      </w:pPr>
    </w:p>
    <w:p w:rsidR="00671CC5" w:rsidRPr="009D60BE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Рассмотр</w:t>
      </w:r>
      <w:r w:rsidR="00150B76" w:rsidRPr="009D60BE">
        <w:rPr>
          <w:bCs/>
          <w:sz w:val="26"/>
          <w:szCs w:val="26"/>
        </w:rPr>
        <w:t>ен</w:t>
      </w:r>
      <w:r w:rsidR="0069698E" w:rsidRPr="009D60BE">
        <w:rPr>
          <w:bCs/>
          <w:sz w:val="26"/>
          <w:szCs w:val="26"/>
        </w:rPr>
        <w:t>о</w:t>
      </w:r>
      <w:r w:rsidR="00150B76" w:rsidRPr="009D60BE">
        <w:rPr>
          <w:bCs/>
          <w:sz w:val="26"/>
          <w:szCs w:val="26"/>
        </w:rPr>
        <w:t xml:space="preserve"> дел</w:t>
      </w:r>
      <w:r w:rsidR="0069698E" w:rsidRPr="009D60BE">
        <w:rPr>
          <w:bCs/>
          <w:sz w:val="26"/>
          <w:szCs w:val="26"/>
        </w:rPr>
        <w:t>о</w:t>
      </w:r>
      <w:r w:rsidRPr="009D60BE">
        <w:rPr>
          <w:bCs/>
          <w:sz w:val="26"/>
          <w:szCs w:val="26"/>
        </w:rPr>
        <w:t xml:space="preserve"> в части корректировки </w:t>
      </w:r>
      <w:r w:rsidRPr="009D60BE">
        <w:rPr>
          <w:sz w:val="26"/>
          <w:szCs w:val="26"/>
        </w:rPr>
        <w:t>НВВ на содерж</w:t>
      </w:r>
      <w:r w:rsidR="00C45974" w:rsidRPr="009D60BE">
        <w:rPr>
          <w:sz w:val="26"/>
          <w:szCs w:val="26"/>
        </w:rPr>
        <w:t>ание электрических сетей на 202</w:t>
      </w:r>
      <w:r w:rsidR="00A423D8" w:rsidRPr="009D60BE">
        <w:rPr>
          <w:sz w:val="26"/>
          <w:szCs w:val="26"/>
        </w:rPr>
        <w:t>2</w:t>
      </w:r>
      <w:r w:rsidRPr="009D60BE">
        <w:rPr>
          <w:sz w:val="26"/>
          <w:szCs w:val="26"/>
        </w:rPr>
        <w:t xml:space="preserve"> год, </w:t>
      </w:r>
      <w:r w:rsidRPr="009D60BE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9D60BE">
        <w:rPr>
          <w:bCs/>
          <w:sz w:val="26"/>
          <w:szCs w:val="26"/>
        </w:rPr>
        <w:t>,</w:t>
      </w:r>
      <w:r w:rsidRPr="009D60BE">
        <w:rPr>
          <w:bCs/>
          <w:sz w:val="26"/>
          <w:szCs w:val="26"/>
        </w:rPr>
        <w:t xml:space="preserve"> для </w:t>
      </w:r>
      <w:r w:rsidR="004E35E5" w:rsidRPr="009D60BE">
        <w:rPr>
          <w:bCs/>
          <w:sz w:val="26"/>
          <w:szCs w:val="26"/>
        </w:rPr>
        <w:t>ООО «</w:t>
      </w:r>
      <w:r w:rsidR="009D60BE" w:rsidRPr="009D60BE">
        <w:rPr>
          <w:bCs/>
          <w:sz w:val="26"/>
          <w:szCs w:val="26"/>
        </w:rPr>
        <w:t>ТДЛ Энерго</w:t>
      </w:r>
      <w:r w:rsidR="004E35E5" w:rsidRPr="009D60BE">
        <w:rPr>
          <w:bCs/>
          <w:sz w:val="26"/>
          <w:szCs w:val="26"/>
        </w:rPr>
        <w:t>» (долгос</w:t>
      </w:r>
      <w:r w:rsidR="0069698E" w:rsidRPr="009D60BE">
        <w:rPr>
          <w:bCs/>
          <w:sz w:val="26"/>
          <w:szCs w:val="26"/>
        </w:rPr>
        <w:t>рочный период регулирования 202</w:t>
      </w:r>
      <w:r w:rsidR="009D60BE" w:rsidRPr="009D60BE">
        <w:rPr>
          <w:bCs/>
          <w:sz w:val="26"/>
          <w:szCs w:val="26"/>
        </w:rPr>
        <w:t>1</w:t>
      </w:r>
      <w:r w:rsidR="0069698E" w:rsidRPr="009D60BE">
        <w:rPr>
          <w:bCs/>
          <w:sz w:val="26"/>
          <w:szCs w:val="26"/>
        </w:rPr>
        <w:t>-202</w:t>
      </w:r>
      <w:r w:rsidR="009D60BE" w:rsidRPr="009D60BE">
        <w:rPr>
          <w:bCs/>
          <w:sz w:val="26"/>
          <w:szCs w:val="26"/>
        </w:rPr>
        <w:t>5</w:t>
      </w:r>
      <w:r w:rsidR="004E35E5" w:rsidRPr="009D60BE">
        <w:rPr>
          <w:bCs/>
          <w:sz w:val="26"/>
          <w:szCs w:val="26"/>
        </w:rPr>
        <w:t xml:space="preserve"> гг.)</w:t>
      </w:r>
      <w:r w:rsidR="00473802" w:rsidRPr="009D60BE">
        <w:rPr>
          <w:bCs/>
          <w:sz w:val="26"/>
          <w:szCs w:val="26"/>
        </w:rPr>
        <w:t>.</w:t>
      </w:r>
    </w:p>
    <w:p w:rsidR="00671CC5" w:rsidRPr="009D60BE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</w:t>
      </w:r>
      <w:r w:rsidR="00150B76" w:rsidRPr="009D60BE">
        <w:rPr>
          <w:sz w:val="26"/>
          <w:szCs w:val="26"/>
        </w:rPr>
        <w:t>й установлено, что вышеуказанн</w:t>
      </w:r>
      <w:r w:rsidR="0069698E" w:rsidRPr="009D60BE">
        <w:rPr>
          <w:sz w:val="26"/>
          <w:szCs w:val="26"/>
        </w:rPr>
        <w:t>ая</w:t>
      </w:r>
      <w:r w:rsidR="00150B76" w:rsidRPr="009D60BE">
        <w:rPr>
          <w:sz w:val="26"/>
          <w:szCs w:val="26"/>
        </w:rPr>
        <w:t xml:space="preserve"> </w:t>
      </w:r>
      <w:r w:rsidR="00150B76" w:rsidRPr="009D60BE">
        <w:rPr>
          <w:sz w:val="26"/>
          <w:szCs w:val="26"/>
        </w:rPr>
        <w:lastRenderedPageBreak/>
        <w:t>сетев</w:t>
      </w:r>
      <w:r w:rsidR="0069698E" w:rsidRPr="009D60BE">
        <w:rPr>
          <w:sz w:val="26"/>
          <w:szCs w:val="26"/>
        </w:rPr>
        <w:t>ая</w:t>
      </w:r>
      <w:r w:rsidR="00150B76" w:rsidRPr="009D60BE">
        <w:rPr>
          <w:sz w:val="26"/>
          <w:szCs w:val="26"/>
        </w:rPr>
        <w:t xml:space="preserve"> организаци</w:t>
      </w:r>
      <w:r w:rsidR="0069698E" w:rsidRPr="009D60BE">
        <w:rPr>
          <w:sz w:val="26"/>
          <w:szCs w:val="26"/>
        </w:rPr>
        <w:t>я</w:t>
      </w:r>
      <w:r w:rsidRPr="009D60BE">
        <w:rPr>
          <w:sz w:val="26"/>
          <w:szCs w:val="26"/>
        </w:rPr>
        <w:t xml:space="preserve"> </w:t>
      </w:r>
      <w:r w:rsidR="00843EBE" w:rsidRPr="009D60BE">
        <w:rPr>
          <w:sz w:val="26"/>
          <w:szCs w:val="26"/>
        </w:rPr>
        <w:t>соответствую</w:t>
      </w:r>
      <w:r w:rsidR="00C57BF7" w:rsidRPr="009D60BE">
        <w:rPr>
          <w:sz w:val="26"/>
          <w:szCs w:val="26"/>
        </w:rPr>
        <w:t>т</w:t>
      </w:r>
      <w:r w:rsidRPr="009D60BE">
        <w:rPr>
          <w:sz w:val="26"/>
          <w:szCs w:val="26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71CC5" w:rsidRPr="009D60BE" w:rsidRDefault="00671CC5" w:rsidP="00671CC5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</w:t>
      </w:r>
      <w:r w:rsidR="0069698E" w:rsidRPr="009D60BE">
        <w:rPr>
          <w:bCs/>
          <w:sz w:val="26"/>
          <w:szCs w:val="26"/>
        </w:rPr>
        <w:t xml:space="preserve"> расчет произведен специалист</w:t>
      </w:r>
      <w:r w:rsidR="0047755F" w:rsidRPr="009D60BE">
        <w:rPr>
          <w:bCs/>
          <w:sz w:val="26"/>
          <w:szCs w:val="26"/>
        </w:rPr>
        <w:t>ами</w:t>
      </w:r>
      <w:r w:rsidRPr="009D60BE">
        <w:rPr>
          <w:bCs/>
          <w:sz w:val="26"/>
          <w:szCs w:val="26"/>
        </w:rPr>
        <w:t xml:space="preserve">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671CC5" w:rsidRPr="009D60BE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EC77B9" w:rsidRPr="009D60BE">
        <w:rPr>
          <w:bCs/>
          <w:sz w:val="26"/>
          <w:szCs w:val="26"/>
        </w:rPr>
        <w:t>3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671CC5" w:rsidRPr="009D60BE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</w:t>
      </w:r>
      <w:r w:rsidR="00546435">
        <w:rPr>
          <w:sz w:val="26"/>
          <w:szCs w:val="26"/>
        </w:rPr>
        <w:t xml:space="preserve"> (далее – Основы ценообразования)</w:t>
      </w:r>
      <w:r w:rsidRPr="009D60BE">
        <w:rPr>
          <w:sz w:val="26"/>
          <w:szCs w:val="26"/>
        </w:rPr>
        <w:t>,</w:t>
      </w:r>
    </w:p>
    <w:p w:rsidR="00671CC5" w:rsidRPr="009D60BE" w:rsidRDefault="00671CC5" w:rsidP="00671CC5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E2600">
        <w:rPr>
          <w:sz w:val="26"/>
          <w:szCs w:val="26"/>
        </w:rPr>
        <w:t xml:space="preserve"> (далее – Методические указания № 98-э)</w:t>
      </w:r>
      <w:r w:rsidRPr="009D60BE">
        <w:rPr>
          <w:sz w:val="26"/>
          <w:szCs w:val="26"/>
        </w:rPr>
        <w:t>.</w:t>
      </w:r>
    </w:p>
    <w:p w:rsidR="00671CC5" w:rsidRPr="009D60BE" w:rsidRDefault="00671CC5" w:rsidP="00671CC5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="0048693C" w:rsidRPr="009D60BE">
        <w:rPr>
          <w:bCs/>
          <w:sz w:val="26"/>
          <w:szCs w:val="26"/>
        </w:rPr>
        <w:t>ООО</w:t>
      </w:r>
      <w:proofErr w:type="gramEnd"/>
      <w:r w:rsidR="0048693C" w:rsidRPr="009D60BE">
        <w:rPr>
          <w:bCs/>
          <w:sz w:val="26"/>
          <w:szCs w:val="26"/>
        </w:rPr>
        <w:t xml:space="preserve"> </w:t>
      </w:r>
      <w:r w:rsidR="00610136" w:rsidRPr="009D60BE">
        <w:rPr>
          <w:bCs/>
          <w:sz w:val="26"/>
          <w:szCs w:val="26"/>
        </w:rPr>
        <w:t>«</w:t>
      </w:r>
      <w:r w:rsidR="009D60BE" w:rsidRPr="009D60BE">
        <w:rPr>
          <w:bCs/>
          <w:sz w:val="26"/>
          <w:szCs w:val="26"/>
        </w:rPr>
        <w:t>ТДЛ Энерго</w:t>
      </w:r>
      <w:r w:rsidR="00610136" w:rsidRPr="009D60BE">
        <w:rPr>
          <w:bCs/>
          <w:sz w:val="26"/>
          <w:szCs w:val="26"/>
        </w:rPr>
        <w:t>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</w:t>
      </w:r>
      <w:r w:rsidR="00335AB5" w:rsidRPr="009D60BE">
        <w:rPr>
          <w:sz w:val="26"/>
          <w:szCs w:val="26"/>
        </w:rPr>
        <w:t>а</w:t>
      </w:r>
      <w:r w:rsidR="00C45974" w:rsidRPr="009D60BE">
        <w:rPr>
          <w:sz w:val="26"/>
          <w:szCs w:val="26"/>
        </w:rPr>
        <w:t>че электрической энергии на 202</w:t>
      </w:r>
      <w:r w:rsidR="00A423D8" w:rsidRPr="009D60BE">
        <w:rPr>
          <w:sz w:val="26"/>
          <w:szCs w:val="26"/>
        </w:rPr>
        <w:t>2</w:t>
      </w:r>
      <w:r w:rsidRPr="009D60BE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671CC5" w:rsidRPr="009D60BE" w:rsidRDefault="00671CC5" w:rsidP="00671CC5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</w:t>
      </w:r>
      <w:r w:rsidR="00150B76" w:rsidRPr="009D60BE">
        <w:rPr>
          <w:bCs/>
          <w:sz w:val="26"/>
          <w:szCs w:val="26"/>
        </w:rPr>
        <w:t>етствующ</w:t>
      </w:r>
      <w:r w:rsidR="00C828F9" w:rsidRPr="009D60BE">
        <w:rPr>
          <w:bCs/>
          <w:sz w:val="26"/>
          <w:szCs w:val="26"/>
        </w:rPr>
        <w:t>е</w:t>
      </w:r>
      <w:r w:rsidR="00150B76" w:rsidRPr="009D60BE">
        <w:rPr>
          <w:bCs/>
          <w:sz w:val="26"/>
          <w:szCs w:val="26"/>
        </w:rPr>
        <w:t>е экспертн</w:t>
      </w:r>
      <w:r w:rsidR="00C828F9" w:rsidRPr="009D60BE">
        <w:rPr>
          <w:bCs/>
          <w:sz w:val="26"/>
          <w:szCs w:val="26"/>
        </w:rPr>
        <w:t>о</w:t>
      </w:r>
      <w:r w:rsidR="00150B76" w:rsidRPr="009D60BE">
        <w:rPr>
          <w:bCs/>
          <w:sz w:val="26"/>
          <w:szCs w:val="26"/>
        </w:rPr>
        <w:t>е заключени</w:t>
      </w:r>
      <w:r w:rsidR="00C828F9" w:rsidRPr="009D60BE">
        <w:rPr>
          <w:bCs/>
          <w:sz w:val="26"/>
          <w:szCs w:val="26"/>
        </w:rPr>
        <w:t>е</w:t>
      </w:r>
      <w:r w:rsidRPr="009D60BE">
        <w:rPr>
          <w:bCs/>
          <w:sz w:val="26"/>
          <w:szCs w:val="26"/>
        </w:rPr>
        <w:t>.</w:t>
      </w:r>
    </w:p>
    <w:p w:rsidR="004D0A10" w:rsidRPr="005639E3" w:rsidRDefault="004D0A10" w:rsidP="00671CC5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5639E3" w:rsidRPr="005639E3">
        <w:rPr>
          <w:bCs/>
          <w:sz w:val="26"/>
          <w:szCs w:val="26"/>
        </w:rPr>
        <w:t>от 26.11.2020 № 62-э/1 «Об установлении необходимой валовой выручки и долгосрочных параметров регулирования для ООО «ТДЛ Энерго»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5639E3">
        <w:rPr>
          <w:bCs/>
          <w:sz w:val="26"/>
          <w:szCs w:val="26"/>
        </w:rPr>
        <w:t>.</w:t>
      </w:r>
    </w:p>
    <w:p w:rsidR="005010B2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>ООО «</w:t>
      </w:r>
      <w:r w:rsidR="005639E3" w:rsidRPr="005639E3">
        <w:rPr>
          <w:bCs/>
          <w:sz w:val="26"/>
          <w:szCs w:val="26"/>
        </w:rPr>
        <w:t>ТДЛ Энерго</w:t>
      </w:r>
      <w:r w:rsidR="0069698E" w:rsidRPr="005639E3">
        <w:rPr>
          <w:bCs/>
          <w:sz w:val="26"/>
          <w:szCs w:val="26"/>
        </w:rPr>
        <w:t xml:space="preserve">» письмом </w:t>
      </w:r>
      <w:r w:rsidR="0069698E" w:rsidRPr="003C01FA">
        <w:rPr>
          <w:bCs/>
          <w:sz w:val="26"/>
          <w:szCs w:val="26"/>
        </w:rPr>
        <w:t xml:space="preserve">от </w:t>
      </w:r>
      <w:r w:rsidR="003C01FA" w:rsidRPr="003C01FA">
        <w:rPr>
          <w:bCs/>
          <w:sz w:val="26"/>
          <w:szCs w:val="26"/>
        </w:rPr>
        <w:t>19</w:t>
      </w:r>
      <w:r w:rsidR="00A423D8" w:rsidRPr="003C01FA">
        <w:rPr>
          <w:bCs/>
          <w:sz w:val="26"/>
          <w:szCs w:val="26"/>
        </w:rPr>
        <w:t>.</w:t>
      </w:r>
      <w:r w:rsidR="003C01FA" w:rsidRPr="003C01FA">
        <w:rPr>
          <w:bCs/>
          <w:sz w:val="26"/>
          <w:szCs w:val="26"/>
        </w:rPr>
        <w:t>10</w:t>
      </w:r>
      <w:r w:rsidRPr="003C01FA">
        <w:rPr>
          <w:bCs/>
          <w:sz w:val="26"/>
          <w:szCs w:val="26"/>
        </w:rPr>
        <w:t>.202</w:t>
      </w:r>
      <w:r w:rsidR="00A423D8" w:rsidRPr="003C01FA">
        <w:rPr>
          <w:bCs/>
          <w:sz w:val="26"/>
          <w:szCs w:val="26"/>
        </w:rPr>
        <w:t>1</w:t>
      </w:r>
      <w:r w:rsidRPr="003C01FA">
        <w:rPr>
          <w:bCs/>
          <w:sz w:val="26"/>
          <w:szCs w:val="26"/>
        </w:rPr>
        <w:t xml:space="preserve"> № </w:t>
      </w:r>
      <w:r w:rsidR="003C01FA" w:rsidRPr="003C01FA">
        <w:rPr>
          <w:bCs/>
          <w:sz w:val="26"/>
          <w:szCs w:val="26"/>
        </w:rPr>
        <w:t>146</w:t>
      </w:r>
      <w:r w:rsidRPr="003C01FA">
        <w:rPr>
          <w:bCs/>
          <w:sz w:val="26"/>
          <w:szCs w:val="26"/>
        </w:rPr>
        <w:t xml:space="preserve"> (прилагается к </w:t>
      </w:r>
      <w:r w:rsidR="00DC7CDD" w:rsidRPr="003C01FA">
        <w:rPr>
          <w:bCs/>
          <w:sz w:val="26"/>
          <w:szCs w:val="26"/>
        </w:rPr>
        <w:t xml:space="preserve">настоящему </w:t>
      </w:r>
      <w:r w:rsidRPr="003C01FA">
        <w:rPr>
          <w:bCs/>
          <w:sz w:val="26"/>
          <w:szCs w:val="26"/>
        </w:rPr>
        <w:t xml:space="preserve">протоколу) </w:t>
      </w:r>
      <w:proofErr w:type="gramStart"/>
      <w:r w:rsidR="003C01FA" w:rsidRPr="003C01FA">
        <w:rPr>
          <w:bCs/>
          <w:sz w:val="26"/>
          <w:szCs w:val="26"/>
        </w:rPr>
        <w:t xml:space="preserve">не </w:t>
      </w:r>
      <w:r w:rsidRPr="003C01FA">
        <w:rPr>
          <w:bCs/>
          <w:sz w:val="26"/>
          <w:szCs w:val="26"/>
        </w:rPr>
        <w:t>соглас</w:t>
      </w:r>
      <w:r w:rsidR="003C01FA">
        <w:rPr>
          <w:bCs/>
          <w:sz w:val="26"/>
          <w:szCs w:val="26"/>
        </w:rPr>
        <w:t>но</w:t>
      </w:r>
      <w:proofErr w:type="gramEnd"/>
      <w:r w:rsidR="003C01FA">
        <w:rPr>
          <w:bCs/>
          <w:sz w:val="26"/>
          <w:szCs w:val="26"/>
        </w:rPr>
        <w:t xml:space="preserve"> с </w:t>
      </w:r>
      <w:r w:rsidRPr="003C01FA">
        <w:rPr>
          <w:bCs/>
          <w:sz w:val="26"/>
          <w:szCs w:val="26"/>
        </w:rPr>
        <w:t xml:space="preserve"> предлагаем</w:t>
      </w:r>
      <w:r w:rsidR="003C01FA">
        <w:rPr>
          <w:bCs/>
          <w:sz w:val="26"/>
          <w:szCs w:val="26"/>
        </w:rPr>
        <w:t>ой</w:t>
      </w:r>
      <w:r w:rsidRPr="003C01FA">
        <w:rPr>
          <w:bCs/>
          <w:sz w:val="26"/>
          <w:szCs w:val="26"/>
        </w:rPr>
        <w:t xml:space="preserve"> к утверждению </w:t>
      </w:r>
      <w:r w:rsidR="000514A4">
        <w:rPr>
          <w:bCs/>
          <w:sz w:val="26"/>
          <w:szCs w:val="26"/>
        </w:rPr>
        <w:t xml:space="preserve">величиной </w:t>
      </w:r>
      <w:r w:rsidRPr="003C01FA">
        <w:rPr>
          <w:bCs/>
          <w:sz w:val="26"/>
          <w:szCs w:val="26"/>
        </w:rPr>
        <w:t>НВВ, участвующ</w:t>
      </w:r>
      <w:r w:rsidR="000514A4">
        <w:rPr>
          <w:bCs/>
          <w:sz w:val="26"/>
          <w:szCs w:val="26"/>
        </w:rPr>
        <w:t>ей</w:t>
      </w:r>
      <w:r w:rsidRPr="003C01FA">
        <w:rPr>
          <w:bCs/>
          <w:sz w:val="26"/>
          <w:szCs w:val="26"/>
        </w:rPr>
        <w:t xml:space="preserve"> в расчете тарифов на услуги по передаче электрической энергии (мощности) на 202</w:t>
      </w:r>
      <w:r w:rsidR="00A423D8" w:rsidRPr="003C01FA">
        <w:rPr>
          <w:bCs/>
          <w:sz w:val="26"/>
          <w:szCs w:val="26"/>
        </w:rPr>
        <w:t>2</w:t>
      </w:r>
      <w:r w:rsidRPr="003C01FA">
        <w:rPr>
          <w:bCs/>
          <w:sz w:val="26"/>
          <w:szCs w:val="26"/>
        </w:rPr>
        <w:t xml:space="preserve"> год.</w:t>
      </w:r>
    </w:p>
    <w:p w:rsidR="003C01FA" w:rsidRDefault="003C01FA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ООО «ТДЛ Энерго» считает, что п</w:t>
      </w:r>
      <w:r w:rsidRPr="003C01FA">
        <w:rPr>
          <w:bCs/>
          <w:sz w:val="26"/>
          <w:szCs w:val="26"/>
        </w:rPr>
        <w:t xml:space="preserve">ри формировании НВВ </w:t>
      </w:r>
      <w:r>
        <w:rPr>
          <w:bCs/>
          <w:sz w:val="26"/>
          <w:szCs w:val="26"/>
        </w:rPr>
        <w:t xml:space="preserve">Департаментом </w:t>
      </w:r>
      <w:r w:rsidRPr="003C01FA">
        <w:rPr>
          <w:bCs/>
          <w:sz w:val="26"/>
          <w:szCs w:val="26"/>
        </w:rPr>
        <w:t>для ООО «ТДЛ Энерго» на 2022 г. и последующие годы долгосрочного периода регулирования были проиндексированы «Подконтрольные расходы» не в полном объеме, установленном на 2021 г., а в доле стороннего отпуска 2021 г., а «Неподконтрольные расходы» приняты в доле стороннего отпуска 2022 г. (исходя из согласованного прогнозного баланса передачи электрической энергии по</w:t>
      </w:r>
      <w:proofErr w:type="gramEnd"/>
      <w:r w:rsidRPr="003C01FA">
        <w:rPr>
          <w:bCs/>
          <w:sz w:val="26"/>
          <w:szCs w:val="26"/>
        </w:rPr>
        <w:t xml:space="preserve"> сетям на 2022 г. доля стороннего отпуска составляет 0,6894).</w:t>
      </w:r>
      <w:r w:rsidR="00B872E8">
        <w:rPr>
          <w:bCs/>
          <w:sz w:val="26"/>
          <w:szCs w:val="26"/>
        </w:rPr>
        <w:t xml:space="preserve"> ООО «ТДЛ Энерго» </w:t>
      </w:r>
      <w:r w:rsidR="00B872E8" w:rsidRPr="00B872E8">
        <w:rPr>
          <w:bCs/>
          <w:sz w:val="26"/>
          <w:szCs w:val="26"/>
        </w:rPr>
        <w:t>считае</w:t>
      </w:r>
      <w:r w:rsidR="000514A4">
        <w:rPr>
          <w:bCs/>
          <w:sz w:val="26"/>
          <w:szCs w:val="26"/>
        </w:rPr>
        <w:t>т, что</w:t>
      </w:r>
      <w:r w:rsidR="00B872E8" w:rsidRPr="00B872E8">
        <w:rPr>
          <w:bCs/>
          <w:sz w:val="26"/>
          <w:szCs w:val="26"/>
        </w:rPr>
        <w:t xml:space="preserve"> необходим</w:t>
      </w:r>
      <w:r w:rsidR="000514A4">
        <w:rPr>
          <w:bCs/>
          <w:sz w:val="26"/>
          <w:szCs w:val="26"/>
        </w:rPr>
        <w:t>о</w:t>
      </w:r>
      <w:r w:rsidR="00B872E8" w:rsidRPr="00B872E8">
        <w:rPr>
          <w:bCs/>
          <w:sz w:val="26"/>
          <w:szCs w:val="26"/>
        </w:rPr>
        <w:t xml:space="preserve"> провести индексацию «Подконтрольных расходов», необходимых для обслуживания электрических сетей ООО «ТДЛ Энерго»</w:t>
      </w:r>
      <w:r w:rsidR="000514A4">
        <w:rPr>
          <w:bCs/>
          <w:sz w:val="26"/>
          <w:szCs w:val="26"/>
        </w:rPr>
        <w:t>,</w:t>
      </w:r>
      <w:r w:rsidR="00B872E8" w:rsidRPr="00B872E8">
        <w:rPr>
          <w:bCs/>
          <w:sz w:val="26"/>
          <w:szCs w:val="26"/>
        </w:rPr>
        <w:t xml:space="preserve"> и принять их для расчета тарифа для сторонних потребителей в доле стороннего отпуска согласно согласованному прогнозному балансу передачи электрической энергии на 2022</w:t>
      </w:r>
      <w:r w:rsidR="000514A4">
        <w:rPr>
          <w:bCs/>
          <w:sz w:val="26"/>
          <w:szCs w:val="26"/>
        </w:rPr>
        <w:t xml:space="preserve"> </w:t>
      </w:r>
      <w:r w:rsidR="000514A4" w:rsidRPr="000514A4">
        <w:rPr>
          <w:bCs/>
          <w:sz w:val="26"/>
          <w:szCs w:val="26"/>
        </w:rPr>
        <w:t>(доля стороннего отпуска на 2022 г</w:t>
      </w:r>
      <w:r w:rsidR="000514A4">
        <w:rPr>
          <w:bCs/>
          <w:sz w:val="26"/>
          <w:szCs w:val="26"/>
        </w:rPr>
        <w:t>од</w:t>
      </w:r>
      <w:r w:rsidR="000514A4" w:rsidRPr="000514A4">
        <w:rPr>
          <w:bCs/>
          <w:sz w:val="26"/>
          <w:szCs w:val="26"/>
        </w:rPr>
        <w:t xml:space="preserve"> составляет 0,6894).</w:t>
      </w:r>
    </w:p>
    <w:p w:rsidR="008B75D9" w:rsidRDefault="00B872E8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Департамент отмечает, что для ООО «ТДЛ Энерго» постановлением Департамента от</w:t>
      </w:r>
      <w:r w:rsidR="008E343B">
        <w:rPr>
          <w:bCs/>
          <w:sz w:val="26"/>
          <w:szCs w:val="26"/>
        </w:rPr>
        <w:t xml:space="preserve"> 26.11.2020 №</w:t>
      </w:r>
      <w:r w:rsidR="008E343B" w:rsidRPr="008E343B">
        <w:rPr>
          <w:bCs/>
          <w:sz w:val="26"/>
          <w:szCs w:val="26"/>
        </w:rPr>
        <w:t xml:space="preserve"> 62-э/1 </w:t>
      </w:r>
      <w:r w:rsidR="008E343B">
        <w:rPr>
          <w:bCs/>
          <w:sz w:val="26"/>
          <w:szCs w:val="26"/>
        </w:rPr>
        <w:t>«</w:t>
      </w:r>
      <w:r w:rsidR="008E343B" w:rsidRPr="008E343B">
        <w:rPr>
          <w:bCs/>
          <w:sz w:val="26"/>
          <w:szCs w:val="26"/>
        </w:rPr>
        <w:t xml:space="preserve">Об установлении необходимой валовой выручки и долгосрочных параметров регулирования для ООО </w:t>
      </w:r>
      <w:r w:rsidR="008E343B">
        <w:rPr>
          <w:bCs/>
          <w:sz w:val="26"/>
          <w:szCs w:val="26"/>
        </w:rPr>
        <w:t>«</w:t>
      </w:r>
      <w:r w:rsidR="008E343B" w:rsidRPr="008E343B">
        <w:rPr>
          <w:bCs/>
          <w:sz w:val="26"/>
          <w:szCs w:val="26"/>
        </w:rPr>
        <w:t>ТДЛ Энерго</w:t>
      </w:r>
      <w:r w:rsidR="008E343B">
        <w:rPr>
          <w:bCs/>
          <w:sz w:val="26"/>
          <w:szCs w:val="26"/>
        </w:rPr>
        <w:t>»</w:t>
      </w:r>
      <w:r w:rsidR="008E343B" w:rsidRPr="008E343B">
        <w:rPr>
          <w:bCs/>
          <w:sz w:val="26"/>
          <w:szCs w:val="26"/>
        </w:rPr>
        <w:t xml:space="preserve"> на 2021 - 2025 годы, в отношении которого тарифы на услуги по передаче электрической энергии устанавливаются на основе долгос</w:t>
      </w:r>
      <w:r w:rsidR="008E343B">
        <w:rPr>
          <w:bCs/>
          <w:sz w:val="26"/>
          <w:szCs w:val="26"/>
        </w:rPr>
        <w:t>рочных параметров регулирования»</w:t>
      </w:r>
      <w:r w:rsidR="00B31BA4">
        <w:rPr>
          <w:bCs/>
          <w:sz w:val="26"/>
          <w:szCs w:val="26"/>
        </w:rPr>
        <w:t xml:space="preserve"> были установлены долгосрочные параметры регулирования, в том числе </w:t>
      </w:r>
      <w:r w:rsidR="00F43C50">
        <w:rPr>
          <w:bCs/>
          <w:sz w:val="26"/>
          <w:szCs w:val="26"/>
        </w:rPr>
        <w:t xml:space="preserve">- </w:t>
      </w:r>
      <w:r w:rsidR="00B31BA4">
        <w:rPr>
          <w:bCs/>
          <w:sz w:val="26"/>
          <w:szCs w:val="26"/>
        </w:rPr>
        <w:t>базовый уровень подконтрольных расходов на 2021</w:t>
      </w:r>
      <w:proofErr w:type="gramEnd"/>
      <w:r w:rsidR="00B31BA4">
        <w:rPr>
          <w:bCs/>
          <w:sz w:val="26"/>
          <w:szCs w:val="26"/>
        </w:rPr>
        <w:t xml:space="preserve"> </w:t>
      </w:r>
      <w:proofErr w:type="gramStart"/>
      <w:r w:rsidR="00B31BA4">
        <w:rPr>
          <w:bCs/>
          <w:sz w:val="26"/>
          <w:szCs w:val="26"/>
        </w:rPr>
        <w:t>год в размере 2</w:t>
      </w:r>
      <w:r w:rsidR="00546435">
        <w:rPr>
          <w:bCs/>
          <w:sz w:val="26"/>
          <w:szCs w:val="26"/>
        </w:rPr>
        <w:t xml:space="preserve"> </w:t>
      </w:r>
      <w:r w:rsidR="00B31BA4">
        <w:rPr>
          <w:bCs/>
          <w:sz w:val="26"/>
          <w:szCs w:val="26"/>
        </w:rPr>
        <w:t>834,69 тыс. руб</w:t>
      </w:r>
      <w:r w:rsidR="00F43C50">
        <w:rPr>
          <w:bCs/>
          <w:sz w:val="26"/>
          <w:szCs w:val="26"/>
        </w:rPr>
        <w:t>.</w:t>
      </w:r>
      <w:r w:rsidR="008B75D9">
        <w:rPr>
          <w:bCs/>
          <w:sz w:val="26"/>
          <w:szCs w:val="26"/>
        </w:rPr>
        <w:t xml:space="preserve">, который определен с </w:t>
      </w:r>
      <w:r w:rsidR="008B75D9">
        <w:rPr>
          <w:bCs/>
          <w:sz w:val="26"/>
          <w:szCs w:val="26"/>
        </w:rPr>
        <w:lastRenderedPageBreak/>
        <w:t>учетом п. 20 Основ ценообразования в области регулирования цен (тарифов) в электроэнергетики, утвержденных постановлением Правительства Российской Федерации от</w:t>
      </w:r>
      <w:r w:rsidR="008B75D9" w:rsidRPr="008B75D9">
        <w:rPr>
          <w:bCs/>
          <w:sz w:val="26"/>
          <w:szCs w:val="26"/>
        </w:rPr>
        <w:t xml:space="preserve"> 29.12.2011 №</w:t>
      </w:r>
      <w:r w:rsidR="008B75D9">
        <w:rPr>
          <w:bCs/>
          <w:sz w:val="26"/>
          <w:szCs w:val="26"/>
        </w:rPr>
        <w:t xml:space="preserve"> </w:t>
      </w:r>
      <w:r w:rsidR="008B75D9" w:rsidRPr="008B75D9">
        <w:rPr>
          <w:bCs/>
          <w:sz w:val="26"/>
          <w:szCs w:val="26"/>
        </w:rPr>
        <w:t>1178</w:t>
      </w:r>
      <w:r w:rsidR="008B75D9">
        <w:rPr>
          <w:bCs/>
          <w:sz w:val="26"/>
          <w:szCs w:val="26"/>
        </w:rPr>
        <w:t xml:space="preserve">, </w:t>
      </w:r>
      <w:r w:rsidR="008B75D9" w:rsidRPr="008B75D9">
        <w:rPr>
          <w:bCs/>
          <w:sz w:val="26"/>
          <w:szCs w:val="26"/>
        </w:rPr>
        <w:t>в до</w:t>
      </w:r>
      <w:r w:rsidR="008B75D9">
        <w:rPr>
          <w:bCs/>
          <w:sz w:val="26"/>
          <w:szCs w:val="26"/>
        </w:rPr>
        <w:t>ле стороннего отпуска на 2021 год</w:t>
      </w:r>
      <w:r w:rsidR="008B75D9" w:rsidRPr="008B75D9">
        <w:rPr>
          <w:bCs/>
          <w:sz w:val="26"/>
          <w:szCs w:val="26"/>
        </w:rPr>
        <w:t xml:space="preserve"> (исходя из согласованного прогнозного баланса передачи электрической энергии по сетям на 2021 г</w:t>
      </w:r>
      <w:r w:rsidR="008B75D9">
        <w:rPr>
          <w:bCs/>
          <w:sz w:val="26"/>
          <w:szCs w:val="26"/>
        </w:rPr>
        <w:t>од</w:t>
      </w:r>
      <w:r w:rsidR="008B75D9" w:rsidRPr="008B75D9">
        <w:rPr>
          <w:bCs/>
          <w:sz w:val="26"/>
          <w:szCs w:val="26"/>
        </w:rPr>
        <w:t xml:space="preserve"> доля стороннего отпуска составляет 0,59394).</w:t>
      </w:r>
      <w:proofErr w:type="gramEnd"/>
    </w:p>
    <w:p w:rsidR="00DC690C" w:rsidRDefault="00DC690C" w:rsidP="00546435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</w:t>
      </w:r>
      <w:r w:rsidR="00546435">
        <w:rPr>
          <w:bCs/>
          <w:sz w:val="26"/>
          <w:szCs w:val="26"/>
        </w:rPr>
        <w:t xml:space="preserve">п. 12 Основ ценообразования и </w:t>
      </w:r>
      <w:r>
        <w:rPr>
          <w:bCs/>
          <w:sz w:val="26"/>
          <w:szCs w:val="26"/>
        </w:rPr>
        <w:t xml:space="preserve">п. 6 </w:t>
      </w:r>
      <w:r w:rsidR="00BE2600">
        <w:rPr>
          <w:bCs/>
          <w:sz w:val="26"/>
          <w:szCs w:val="26"/>
        </w:rPr>
        <w:t>Методических указаний № 98-э долгосрочные параметры регулирования в течени</w:t>
      </w:r>
      <w:r w:rsidR="008B75D9">
        <w:rPr>
          <w:bCs/>
          <w:sz w:val="26"/>
          <w:szCs w:val="26"/>
        </w:rPr>
        <w:t>е</w:t>
      </w:r>
      <w:r w:rsidR="00BE2600">
        <w:rPr>
          <w:bCs/>
          <w:sz w:val="26"/>
          <w:szCs w:val="26"/>
        </w:rPr>
        <w:t xml:space="preserve"> долгосрочного периода регулирования не </w:t>
      </w:r>
      <w:r w:rsidR="00546435">
        <w:rPr>
          <w:bCs/>
          <w:sz w:val="26"/>
          <w:szCs w:val="26"/>
        </w:rPr>
        <w:t>пересматриваются</w:t>
      </w:r>
      <w:r w:rsidR="00BE2600">
        <w:rPr>
          <w:bCs/>
          <w:sz w:val="26"/>
          <w:szCs w:val="26"/>
        </w:rPr>
        <w:t>.</w:t>
      </w:r>
    </w:p>
    <w:p w:rsidR="007660C9" w:rsidRDefault="008B75D9" w:rsidP="0054643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В соответствии с п. 11 </w:t>
      </w:r>
      <w:r w:rsidRPr="008B75D9">
        <w:rPr>
          <w:bCs/>
          <w:sz w:val="26"/>
          <w:szCs w:val="26"/>
        </w:rPr>
        <w:t>Методических указаний № 98-э</w:t>
      </w:r>
      <w:r w:rsidR="007660C9">
        <w:rPr>
          <w:bCs/>
          <w:sz w:val="26"/>
          <w:szCs w:val="26"/>
        </w:rPr>
        <w:t xml:space="preserve"> </w:t>
      </w:r>
      <w:r w:rsidR="007660C9">
        <w:rPr>
          <w:rFonts w:eastAsiaTheme="minorHAnsi"/>
          <w:sz w:val="26"/>
          <w:szCs w:val="26"/>
          <w:lang w:eastAsia="en-US"/>
        </w:rPr>
        <w:t>необходимая валовая выручка в части содержания электрических сетей на базовый (первый) и i-й год долгосрочного периода регулирования (</w:t>
      </w:r>
      <w:r w:rsidR="007660C9">
        <w:rPr>
          <w:rFonts w:eastAsiaTheme="minorHAnsi"/>
          <w:noProof/>
          <w:position w:val="-11"/>
          <w:sz w:val="26"/>
          <w:szCs w:val="26"/>
        </w:rPr>
        <w:drawing>
          <wp:inline distT="0" distB="0" distL="0" distR="0" wp14:anchorId="287D3C70" wp14:editId="67846695">
            <wp:extent cx="6286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C50">
        <w:rPr>
          <w:rFonts w:eastAsiaTheme="minorHAnsi"/>
          <w:sz w:val="26"/>
          <w:szCs w:val="26"/>
          <w:lang w:eastAsia="en-US"/>
        </w:rPr>
        <w:t xml:space="preserve"> тыс. руб.)</w:t>
      </w:r>
      <w:r w:rsidR="007660C9">
        <w:rPr>
          <w:rFonts w:eastAsiaTheme="minorHAnsi"/>
          <w:sz w:val="26"/>
          <w:szCs w:val="26"/>
          <w:lang w:eastAsia="en-US"/>
        </w:rPr>
        <w:t xml:space="preserve"> определяется по формулам:</w:t>
      </w: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position w:val="-11"/>
          <w:sz w:val="26"/>
          <w:szCs w:val="26"/>
        </w:rPr>
        <w:drawing>
          <wp:inline distT="0" distB="0" distL="0" distR="0" wp14:anchorId="5D60506C" wp14:editId="52FA2775">
            <wp:extent cx="2009775" cy="3143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6"/>
          <w:szCs w:val="26"/>
          <w:lang w:eastAsia="en-US"/>
        </w:rPr>
        <w:t xml:space="preserve"> (1),</w:t>
      </w: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position w:val="-36"/>
          <w:sz w:val="26"/>
          <w:szCs w:val="26"/>
        </w:rPr>
        <w:drawing>
          <wp:inline distT="0" distB="0" distL="0" distR="0" wp14:anchorId="61C8A6BE" wp14:editId="69B1AECC">
            <wp:extent cx="6143625" cy="45662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43" cy="46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где:</w:t>
      </w: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 - год долгосрочного периода регулирования (i &gt; l);</w:t>
      </w:r>
    </w:p>
    <w:p w:rsidR="007660C9" w:rsidRDefault="007660C9" w:rsidP="0054643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</w:t>
      </w:r>
      <w:proofErr w:type="gramStart"/>
      <w:r>
        <w:rPr>
          <w:rFonts w:eastAsiaTheme="minorHAnsi"/>
          <w:sz w:val="26"/>
          <w:szCs w:val="26"/>
          <w:vertAlign w:val="subscript"/>
          <w:lang w:eastAsia="en-US"/>
        </w:rPr>
        <w:t>1</w:t>
      </w:r>
      <w:proofErr w:type="gramEnd"/>
      <w:r>
        <w:rPr>
          <w:rFonts w:eastAsiaTheme="minorHAnsi"/>
          <w:sz w:val="26"/>
          <w:szCs w:val="26"/>
          <w:lang w:eastAsia="en-US"/>
        </w:rPr>
        <w:t>, ПР</w:t>
      </w:r>
      <w:r>
        <w:rPr>
          <w:rFonts w:eastAsiaTheme="minorHAnsi"/>
          <w:sz w:val="26"/>
          <w:szCs w:val="26"/>
          <w:vertAlign w:val="subscript"/>
          <w:lang w:eastAsia="en-US"/>
        </w:rPr>
        <w:t>i-1</w:t>
      </w:r>
      <w:r>
        <w:rPr>
          <w:rFonts w:eastAsiaTheme="minorHAnsi"/>
          <w:sz w:val="26"/>
          <w:szCs w:val="26"/>
          <w:lang w:eastAsia="en-US"/>
        </w:rPr>
        <w:t>, - подконтрольные расходы, учтенные соответственно в базовом и в i-1 году долгосрочного периода регулирования (тыс. руб.).</w:t>
      </w:r>
    </w:p>
    <w:p w:rsidR="007660C9" w:rsidRDefault="007660C9" w:rsidP="007660C9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I</w:t>
      </w:r>
      <w:r>
        <w:rPr>
          <w:rFonts w:eastAsiaTheme="minorHAnsi"/>
          <w:sz w:val="26"/>
          <w:szCs w:val="26"/>
          <w:vertAlign w:val="subscript"/>
          <w:lang w:eastAsia="en-US"/>
        </w:rPr>
        <w:t>i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индекс потребительских цен, определенный на i-й год долгосрочного периода регулирования;</w:t>
      </w:r>
    </w:p>
    <w:p w:rsidR="007660C9" w:rsidRDefault="007660C9" w:rsidP="007660C9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vertAlign w:val="subscript"/>
          <w:lang w:eastAsia="en-US"/>
        </w:rPr>
        <w:t>эл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коэффициент эластичности подконтрольных расходов по количеству активов, необходимых для осуществления регулируемой деятельности, в отношении регулируемых организаций, осуществляющих передачу электрической энергии, равный 0,75;</w:t>
      </w:r>
    </w:p>
    <w:p w:rsidR="007660C9" w:rsidRDefault="007660C9" w:rsidP="007660C9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уе</w:t>
      </w:r>
      <w:proofErr w:type="gramStart"/>
      <w:r>
        <w:rPr>
          <w:rFonts w:eastAsiaTheme="minorHAnsi"/>
          <w:sz w:val="26"/>
          <w:szCs w:val="26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>, уе</w:t>
      </w:r>
      <w:r>
        <w:rPr>
          <w:rFonts w:eastAsiaTheme="minorHAnsi"/>
          <w:sz w:val="26"/>
          <w:szCs w:val="26"/>
          <w:vertAlign w:val="subscript"/>
          <w:lang w:eastAsia="en-US"/>
        </w:rPr>
        <w:t>i-1</w:t>
      </w:r>
      <w:r>
        <w:rPr>
          <w:rFonts w:eastAsiaTheme="minorHAnsi"/>
          <w:sz w:val="26"/>
          <w:szCs w:val="26"/>
          <w:lang w:eastAsia="en-US"/>
        </w:rPr>
        <w:t xml:space="preserve"> - количество условных единиц соответственно в i-том и (i-1)-ом году долгосрочного периода регулирования;</w:t>
      </w:r>
    </w:p>
    <w:p w:rsidR="007660C9" w:rsidRDefault="007660C9" w:rsidP="007660C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7660C9">
        <w:rPr>
          <w:rFonts w:eastAsiaTheme="minorHAnsi"/>
          <w:sz w:val="26"/>
          <w:szCs w:val="26"/>
          <w:lang w:eastAsia="en-US"/>
        </w:rPr>
        <w:t>Х</w:t>
      </w:r>
      <w:proofErr w:type="gramStart"/>
      <w:r w:rsidRPr="007660C9">
        <w:rPr>
          <w:rFonts w:eastAsiaTheme="minorHAnsi"/>
          <w:sz w:val="26"/>
          <w:szCs w:val="26"/>
          <w:vertAlign w:val="subscript"/>
          <w:lang w:eastAsia="en-US"/>
        </w:rPr>
        <w:t>i</w:t>
      </w:r>
      <w:proofErr w:type="spellEnd"/>
      <w:proofErr w:type="gramEnd"/>
      <w:r w:rsidRPr="007660C9">
        <w:rPr>
          <w:rFonts w:eastAsiaTheme="minorHAnsi"/>
          <w:sz w:val="26"/>
          <w:szCs w:val="26"/>
          <w:lang w:eastAsia="en-US"/>
        </w:rPr>
        <w:t xml:space="preserve"> - индекс эффективности подконтрольных расходов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660C9" w:rsidRPr="00AA3F49" w:rsidRDefault="007660C9" w:rsidP="007660C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Таким образом, в соответствии с действующим законодательством </w:t>
      </w:r>
      <w:r w:rsidR="00AA3F49">
        <w:rPr>
          <w:rFonts w:eastAsiaTheme="minorHAnsi"/>
          <w:sz w:val="26"/>
          <w:szCs w:val="26"/>
          <w:lang w:eastAsia="en-US"/>
        </w:rPr>
        <w:t>подконтрольные расходы</w:t>
      </w:r>
      <w:r w:rsidR="00546435">
        <w:rPr>
          <w:rFonts w:eastAsiaTheme="minorHAnsi"/>
          <w:sz w:val="26"/>
          <w:szCs w:val="26"/>
          <w:lang w:eastAsia="en-US"/>
        </w:rPr>
        <w:t xml:space="preserve"> территориальных сетевых организаций </w:t>
      </w:r>
      <w:r w:rsidR="00AA3F49">
        <w:rPr>
          <w:rFonts w:eastAsiaTheme="minorHAnsi"/>
          <w:sz w:val="26"/>
          <w:szCs w:val="26"/>
          <w:lang w:eastAsia="en-US"/>
        </w:rPr>
        <w:t xml:space="preserve">на очередной год долгосрочного периода регулирования устанавливаются на основании подконтрольных расходов, учтенных в базовом или в </w:t>
      </w:r>
      <w:r w:rsidR="00AA3F49">
        <w:rPr>
          <w:rFonts w:eastAsiaTheme="minorHAnsi"/>
          <w:sz w:val="26"/>
          <w:szCs w:val="26"/>
          <w:lang w:val="en-US" w:eastAsia="en-US"/>
        </w:rPr>
        <w:t>i</w:t>
      </w:r>
      <w:r w:rsidR="00AA3F49" w:rsidRPr="00AA3F49">
        <w:rPr>
          <w:rFonts w:eastAsiaTheme="minorHAnsi"/>
          <w:sz w:val="26"/>
          <w:szCs w:val="26"/>
          <w:lang w:eastAsia="en-US"/>
        </w:rPr>
        <w:t>-1</w:t>
      </w:r>
      <w:r w:rsidR="00AA3F49">
        <w:rPr>
          <w:rFonts w:eastAsiaTheme="minorHAnsi"/>
          <w:sz w:val="26"/>
          <w:szCs w:val="26"/>
          <w:lang w:eastAsia="en-US"/>
        </w:rPr>
        <w:t xml:space="preserve"> году долгосрочного периода регулирования</w:t>
      </w:r>
      <w:r w:rsidR="00F43C50">
        <w:rPr>
          <w:rFonts w:eastAsiaTheme="minorHAnsi"/>
          <w:sz w:val="26"/>
          <w:szCs w:val="26"/>
          <w:lang w:eastAsia="en-US"/>
        </w:rPr>
        <w:t xml:space="preserve"> (не подлежащих изменению),</w:t>
      </w:r>
      <w:r w:rsidR="00AA3F49">
        <w:rPr>
          <w:rFonts w:eastAsiaTheme="minorHAnsi"/>
          <w:sz w:val="26"/>
          <w:szCs w:val="26"/>
          <w:lang w:eastAsia="en-US"/>
        </w:rPr>
        <w:t xml:space="preserve"> с учетом</w:t>
      </w:r>
      <w:r w:rsidR="00693F4E">
        <w:rPr>
          <w:rFonts w:eastAsiaTheme="minorHAnsi"/>
          <w:sz w:val="26"/>
          <w:szCs w:val="26"/>
          <w:lang w:eastAsia="en-US"/>
        </w:rPr>
        <w:t xml:space="preserve"> утвержденного индекса эффективности подконтрольных расходов, </w:t>
      </w:r>
      <w:r w:rsidR="00AA3F49">
        <w:rPr>
          <w:rFonts w:eastAsiaTheme="minorHAnsi"/>
          <w:sz w:val="26"/>
          <w:szCs w:val="26"/>
          <w:lang w:eastAsia="en-US"/>
        </w:rPr>
        <w:t>изменения индекса потребительских цен и размера активов</w:t>
      </w:r>
      <w:r w:rsidR="00693F4E">
        <w:rPr>
          <w:rFonts w:eastAsiaTheme="minorHAnsi"/>
          <w:sz w:val="26"/>
          <w:szCs w:val="26"/>
          <w:lang w:eastAsia="en-US"/>
        </w:rPr>
        <w:t xml:space="preserve"> сетевой организации</w:t>
      </w:r>
      <w:proofErr w:type="gramStart"/>
      <w:r w:rsidR="00394351">
        <w:rPr>
          <w:rFonts w:eastAsiaTheme="minorHAnsi"/>
          <w:sz w:val="26"/>
          <w:szCs w:val="26"/>
          <w:lang w:eastAsia="en-US"/>
        </w:rPr>
        <w:t>.</w:t>
      </w:r>
      <w:proofErr w:type="gramEnd"/>
      <w:r w:rsidR="00693F4E">
        <w:rPr>
          <w:rFonts w:eastAsiaTheme="minorHAnsi"/>
          <w:sz w:val="26"/>
          <w:szCs w:val="26"/>
          <w:lang w:eastAsia="en-US"/>
        </w:rPr>
        <w:t xml:space="preserve"> </w:t>
      </w:r>
      <w:r w:rsidR="00394351">
        <w:rPr>
          <w:rFonts w:eastAsiaTheme="minorHAnsi"/>
          <w:sz w:val="26"/>
          <w:szCs w:val="26"/>
          <w:lang w:eastAsia="en-US"/>
        </w:rPr>
        <w:t>П</w:t>
      </w:r>
      <w:r w:rsidR="000514A4">
        <w:rPr>
          <w:rFonts w:eastAsiaTheme="minorHAnsi"/>
          <w:sz w:val="26"/>
          <w:szCs w:val="26"/>
          <w:lang w:eastAsia="en-US"/>
        </w:rPr>
        <w:t xml:space="preserve">рименение </w:t>
      </w:r>
      <w:r w:rsidR="00394351">
        <w:rPr>
          <w:rFonts w:eastAsiaTheme="minorHAnsi"/>
          <w:sz w:val="26"/>
          <w:szCs w:val="26"/>
          <w:lang w:eastAsia="en-US"/>
        </w:rPr>
        <w:t xml:space="preserve">в данном случае </w:t>
      </w:r>
      <w:r w:rsidR="000514A4">
        <w:rPr>
          <w:rFonts w:eastAsiaTheme="minorHAnsi"/>
          <w:sz w:val="26"/>
          <w:szCs w:val="26"/>
          <w:lang w:eastAsia="en-US"/>
        </w:rPr>
        <w:t>изменения</w:t>
      </w:r>
      <w:r w:rsidR="00394351">
        <w:rPr>
          <w:rFonts w:eastAsiaTheme="minorHAnsi"/>
          <w:sz w:val="26"/>
          <w:szCs w:val="26"/>
          <w:lang w:eastAsia="en-US"/>
        </w:rPr>
        <w:t xml:space="preserve"> в течение долгосрочного периода регулирования </w:t>
      </w:r>
      <w:r w:rsidR="000514A4">
        <w:rPr>
          <w:rFonts w:eastAsiaTheme="minorHAnsi"/>
          <w:sz w:val="26"/>
          <w:szCs w:val="26"/>
          <w:lang w:eastAsia="en-US"/>
        </w:rPr>
        <w:t>доли стороннего отпуска</w:t>
      </w:r>
      <w:r w:rsidR="00394351">
        <w:rPr>
          <w:rFonts w:eastAsiaTheme="minorHAnsi"/>
          <w:sz w:val="26"/>
          <w:szCs w:val="26"/>
          <w:lang w:eastAsia="en-US"/>
        </w:rPr>
        <w:t xml:space="preserve"> действующим законодательством не предусмотрено</w:t>
      </w:r>
      <w:r w:rsidR="000514A4">
        <w:rPr>
          <w:rFonts w:eastAsiaTheme="minorHAnsi"/>
          <w:sz w:val="26"/>
          <w:szCs w:val="26"/>
          <w:lang w:eastAsia="en-US"/>
        </w:rPr>
        <w:t>.</w:t>
      </w:r>
    </w:p>
    <w:p w:rsidR="005010B2" w:rsidRPr="00A94DEB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94DEB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A94DEB">
        <w:rPr>
          <w:bCs/>
          <w:sz w:val="26"/>
          <w:szCs w:val="26"/>
        </w:rPr>
        <w:t>ии ООО</w:t>
      </w:r>
      <w:proofErr w:type="gramEnd"/>
      <w:r w:rsidRPr="00A94DEB">
        <w:rPr>
          <w:bCs/>
          <w:sz w:val="26"/>
          <w:szCs w:val="26"/>
        </w:rPr>
        <w:t xml:space="preserve"> «</w:t>
      </w:r>
      <w:r w:rsidR="005639E3" w:rsidRPr="00A94DEB">
        <w:rPr>
          <w:bCs/>
          <w:sz w:val="26"/>
          <w:szCs w:val="26"/>
        </w:rPr>
        <w:t>ТДЛ Энерго</w:t>
      </w:r>
      <w:r w:rsidRPr="00A94DEB">
        <w:rPr>
          <w:bCs/>
          <w:sz w:val="26"/>
          <w:szCs w:val="26"/>
        </w:rPr>
        <w:t>» голосует по данному вопросу «</w:t>
      </w:r>
      <w:r w:rsidR="0069698E" w:rsidRPr="00A94DEB">
        <w:rPr>
          <w:bCs/>
          <w:sz w:val="26"/>
          <w:szCs w:val="26"/>
        </w:rPr>
        <w:t>за</w:t>
      </w:r>
      <w:r w:rsidRPr="00A94DEB">
        <w:rPr>
          <w:bCs/>
          <w:sz w:val="26"/>
          <w:szCs w:val="26"/>
        </w:rPr>
        <w:t>».</w:t>
      </w:r>
    </w:p>
    <w:p w:rsidR="007B5DD0" w:rsidRPr="00A94DEB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</w:rPr>
      </w:pPr>
    </w:p>
    <w:p w:rsidR="00E95F9F" w:rsidRPr="008B720C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790FF1" w:rsidRDefault="008B720C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</w:t>
      </w:r>
      <w:r w:rsidRPr="008B720C">
        <w:rPr>
          <w:sz w:val="26"/>
          <w:szCs w:val="26"/>
        </w:rPr>
        <w:lastRenderedPageBreak/>
        <w:t>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</w:t>
      </w:r>
      <w:r w:rsidR="004A3C0A" w:rsidRPr="008B720C">
        <w:rPr>
          <w:sz w:val="26"/>
          <w:szCs w:val="26"/>
        </w:rPr>
        <w:t>:</w:t>
      </w:r>
    </w:p>
    <w:p w:rsidR="00147B89" w:rsidRPr="008B720C" w:rsidRDefault="00147B89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4A3C0A" w:rsidRPr="008B720C" w:rsidRDefault="00102ED2" w:rsidP="00102ED2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="00F37527" w:rsidRPr="008B720C">
        <w:t xml:space="preserve"> </w:t>
      </w:r>
      <w:proofErr w:type="gramStart"/>
      <w:r w:rsidR="008B720C" w:rsidRPr="008B720C">
        <w:rPr>
          <w:sz w:val="26"/>
          <w:szCs w:val="26"/>
        </w:rPr>
        <w:t>Внести изменения в постановление Департамента энергетики и тарифов Ивановской области от 26.11.2020 № 62-э/1 «Об установлении необходимой валовой выручки и долгосрочных параметров регулирования для ООО «ТДЛ Энерго»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26.11.2020 № 62-э</w:t>
      </w:r>
      <w:proofErr w:type="gramEnd"/>
      <w:r w:rsidR="008B720C" w:rsidRPr="008B720C">
        <w:rPr>
          <w:sz w:val="26"/>
          <w:szCs w:val="26"/>
        </w:rPr>
        <w:t>/1 в новой редакции согласно Таблице</w:t>
      </w:r>
      <w:r w:rsidR="004A3C0A" w:rsidRPr="008B720C">
        <w:rPr>
          <w:sz w:val="26"/>
          <w:szCs w:val="26"/>
        </w:rPr>
        <w:t>:</w:t>
      </w:r>
    </w:p>
    <w:p w:rsidR="004A3C0A" w:rsidRDefault="004A3C0A" w:rsidP="004A3C0A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8B720C" w:rsidRPr="008B720C" w:rsidRDefault="008B720C" w:rsidP="004A3C0A">
      <w:pPr>
        <w:tabs>
          <w:tab w:val="left" w:pos="4020"/>
        </w:tabs>
        <w:ind w:firstLine="540"/>
        <w:jc w:val="right"/>
        <w:rPr>
          <w:sz w:val="26"/>
          <w:szCs w:val="26"/>
        </w:rPr>
      </w:pPr>
    </w:p>
    <w:p w:rsidR="008B720C" w:rsidRPr="008B720C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8B720C">
        <w:rPr>
          <w:sz w:val="24"/>
          <w:szCs w:val="24"/>
        </w:rPr>
        <w:t>НВВ ООО «ТДЛ Энерго» на долгосрочный период регулирования (без учета оплаты потерь)</w:t>
      </w:r>
    </w:p>
    <w:p w:rsidR="008B720C" w:rsidRPr="008B720C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8B720C" w:rsidRPr="008B720C" w:rsidTr="003C01FA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 xml:space="preserve">№ </w:t>
            </w:r>
            <w:proofErr w:type="gramStart"/>
            <w:r w:rsidRPr="008B720C">
              <w:rPr>
                <w:sz w:val="22"/>
                <w:szCs w:val="22"/>
              </w:rPr>
              <w:t>п</w:t>
            </w:r>
            <w:proofErr w:type="gramEnd"/>
            <w:r w:rsidRPr="008B720C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8B720C" w:rsidRPr="008B720C" w:rsidTr="003C01FA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тыс. руб.</w:t>
            </w:r>
          </w:p>
        </w:tc>
      </w:tr>
      <w:tr w:rsidR="008B720C" w:rsidRPr="008B720C" w:rsidTr="003C01FA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ООО «ТДЛ Энерго»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3 275,81</w:t>
            </w:r>
          </w:p>
        </w:tc>
      </w:tr>
      <w:tr w:rsidR="008B720C" w:rsidRPr="008B720C" w:rsidTr="003C01FA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3 567,36</w:t>
            </w:r>
          </w:p>
        </w:tc>
      </w:tr>
      <w:tr w:rsidR="008B720C" w:rsidRPr="008B720C" w:rsidTr="003C01FA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3 486,01</w:t>
            </w:r>
          </w:p>
        </w:tc>
      </w:tr>
      <w:tr w:rsidR="008B720C" w:rsidRPr="008B720C" w:rsidTr="003C01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3 514,46</w:t>
            </w:r>
          </w:p>
        </w:tc>
      </w:tr>
      <w:tr w:rsidR="008B720C" w:rsidRPr="008B720C" w:rsidTr="003C01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0C" w:rsidRPr="008B720C" w:rsidRDefault="008B720C" w:rsidP="008B72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0C" w:rsidRPr="008B720C" w:rsidRDefault="008B720C" w:rsidP="008B720C">
            <w:pPr>
              <w:widowControl/>
              <w:jc w:val="center"/>
              <w:rPr>
                <w:sz w:val="22"/>
                <w:szCs w:val="22"/>
              </w:rPr>
            </w:pPr>
            <w:r w:rsidRPr="008B720C">
              <w:rPr>
                <w:sz w:val="22"/>
                <w:szCs w:val="22"/>
              </w:rPr>
              <w:t>3 543,16</w:t>
            </w:r>
          </w:p>
        </w:tc>
      </w:tr>
    </w:tbl>
    <w:p w:rsidR="008B720C" w:rsidRPr="008B720C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</w:t>
      </w:r>
      <w:r w:rsidR="00102ED2" w:rsidRPr="00F84FCF">
        <w:rPr>
          <w:sz w:val="26"/>
          <w:szCs w:val="26"/>
        </w:rPr>
        <w:t xml:space="preserve"> </w:t>
      </w:r>
      <w:r w:rsidRPr="00F84FCF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790FF1" w:rsidRPr="00A94DEB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 xml:space="preserve">№ </w:t>
            </w:r>
            <w:proofErr w:type="gramStart"/>
            <w:r w:rsidRPr="00A94DEB">
              <w:rPr>
                <w:sz w:val="26"/>
                <w:szCs w:val="26"/>
              </w:rPr>
              <w:t>п</w:t>
            </w:r>
            <w:proofErr w:type="gramEnd"/>
            <w:r w:rsidRPr="00A94DEB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Результаты голосования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2E7787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6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A94DEB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8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 xml:space="preserve">Итого: за – </w:t>
      </w:r>
      <w:r w:rsidR="00F93FAF" w:rsidRPr="00A94DEB">
        <w:rPr>
          <w:sz w:val="26"/>
          <w:szCs w:val="26"/>
        </w:rPr>
        <w:t>8</w:t>
      </w:r>
      <w:r w:rsidRPr="00A94DEB">
        <w:rPr>
          <w:sz w:val="26"/>
          <w:szCs w:val="26"/>
        </w:rPr>
        <w:t>, против – 0, воздержался – 0, отсутствуют – 0.</w:t>
      </w:r>
    </w:p>
    <w:p w:rsidR="00DB156E" w:rsidRPr="00A33801" w:rsidRDefault="00DB156E" w:rsidP="00790FF1">
      <w:pPr>
        <w:tabs>
          <w:tab w:val="left" w:pos="4020"/>
        </w:tabs>
        <w:ind w:firstLine="540"/>
        <w:rPr>
          <w:sz w:val="26"/>
          <w:szCs w:val="26"/>
        </w:rPr>
      </w:pPr>
      <w:bookmarkStart w:id="0" w:name="_GoBack"/>
      <w:bookmarkEnd w:id="0"/>
    </w:p>
    <w:p w:rsidR="00B942FC" w:rsidRDefault="00B942FC" w:rsidP="000949BD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r w:rsidR="000949BD" w:rsidRPr="000949BD">
        <w:rPr>
          <w:b/>
          <w:bCs/>
          <w:sz w:val="26"/>
          <w:szCs w:val="26"/>
        </w:rPr>
        <w:tab/>
        <w:t>О внесении изменений в постановление Департамента энергетики и тарифов Ивановской области от 01.12.2020 № 64-э/1 «Об установлении необходимой валовой выручки и долгосрочных параметров регулирования для ООО «ТСП»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515FCE">
        <w:rPr>
          <w:b/>
          <w:bCs/>
          <w:sz w:val="26"/>
          <w:szCs w:val="26"/>
        </w:rPr>
        <w:t xml:space="preserve"> (Морева, Коннова, </w:t>
      </w:r>
      <w:r w:rsidR="000949BD">
        <w:rPr>
          <w:b/>
          <w:bCs/>
          <w:sz w:val="26"/>
          <w:szCs w:val="26"/>
        </w:rPr>
        <w:t>Куфтырева</w:t>
      </w:r>
      <w:r w:rsidRPr="00515FCE">
        <w:rPr>
          <w:b/>
          <w:bCs/>
          <w:sz w:val="26"/>
          <w:szCs w:val="26"/>
        </w:rPr>
        <w:t>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ООО «Т</w:t>
      </w:r>
      <w:r w:rsidR="000949BD">
        <w:rPr>
          <w:bCs/>
          <w:sz w:val="26"/>
          <w:szCs w:val="26"/>
        </w:rPr>
        <w:t>СП</w:t>
      </w:r>
      <w:r w:rsidRPr="009D60BE">
        <w:rPr>
          <w:bCs/>
          <w:sz w:val="26"/>
          <w:szCs w:val="26"/>
        </w:rPr>
        <w:t>» (долгосрочный период регулирования 2021-2025 гг.).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В соответствии с проведенной экспертизой установлено, что вышеуказанная сетевая организация соответствуют Критериям отнесения владельцев объектов </w:t>
      </w:r>
      <w:r w:rsidRPr="009D60BE">
        <w:rPr>
          <w:sz w:val="26"/>
          <w:szCs w:val="26"/>
        </w:rPr>
        <w:lastRenderedPageBreak/>
        <w:t>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2023 года</w:t>
      </w:r>
      <w:r w:rsidRPr="009D60BE">
        <w:rPr>
          <w:sz w:val="26"/>
          <w:szCs w:val="26"/>
        </w:rPr>
        <w:t>,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B942FC" w:rsidRPr="009D60BE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Pr="009D60BE">
        <w:rPr>
          <w:bCs/>
          <w:sz w:val="26"/>
          <w:szCs w:val="26"/>
        </w:rPr>
        <w:t>ООО</w:t>
      </w:r>
      <w:proofErr w:type="gramEnd"/>
      <w:r w:rsidRPr="009D60BE">
        <w:rPr>
          <w:bCs/>
          <w:sz w:val="26"/>
          <w:szCs w:val="26"/>
        </w:rPr>
        <w:t xml:space="preserve"> «Т</w:t>
      </w:r>
      <w:r w:rsidR="000949BD">
        <w:rPr>
          <w:bCs/>
          <w:sz w:val="26"/>
          <w:szCs w:val="26"/>
        </w:rPr>
        <w:t>СП</w:t>
      </w:r>
      <w:r w:rsidRPr="009D60BE">
        <w:rPr>
          <w:bCs/>
          <w:sz w:val="26"/>
          <w:szCs w:val="26"/>
        </w:rPr>
        <w:t xml:space="preserve">»,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B942FC" w:rsidRPr="009D60BE" w:rsidRDefault="00B942FC" w:rsidP="00B942F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B942FC" w:rsidRPr="005639E3" w:rsidRDefault="00B942FC" w:rsidP="00B942FC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0949BD" w:rsidRPr="000949BD">
        <w:rPr>
          <w:bCs/>
          <w:sz w:val="26"/>
          <w:szCs w:val="26"/>
        </w:rPr>
        <w:t>от 01.12.2020 № 64-э/1 «Об установлении необходимой валовой выручки и долгосрочных параметров регулирования для ООО «ТСП»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5639E3">
        <w:rPr>
          <w:bCs/>
          <w:sz w:val="26"/>
          <w:szCs w:val="26"/>
        </w:rPr>
        <w:t>.</w:t>
      </w:r>
    </w:p>
    <w:p w:rsidR="00B942FC" w:rsidRPr="001512A5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512A5">
        <w:rPr>
          <w:bCs/>
          <w:sz w:val="26"/>
          <w:szCs w:val="26"/>
        </w:rPr>
        <w:t>ООО «Т</w:t>
      </w:r>
      <w:r w:rsidR="000949BD" w:rsidRPr="001512A5">
        <w:rPr>
          <w:bCs/>
          <w:sz w:val="26"/>
          <w:szCs w:val="26"/>
        </w:rPr>
        <w:t>СП</w:t>
      </w:r>
      <w:r w:rsidRPr="001512A5">
        <w:rPr>
          <w:bCs/>
          <w:sz w:val="26"/>
          <w:szCs w:val="26"/>
        </w:rPr>
        <w:t xml:space="preserve">» письмом от </w:t>
      </w:r>
      <w:r w:rsidR="001512A5" w:rsidRPr="001512A5">
        <w:rPr>
          <w:bCs/>
          <w:sz w:val="26"/>
          <w:szCs w:val="26"/>
        </w:rPr>
        <w:t>18</w:t>
      </w:r>
      <w:r w:rsidRPr="001512A5">
        <w:rPr>
          <w:bCs/>
          <w:sz w:val="26"/>
          <w:szCs w:val="26"/>
        </w:rPr>
        <w:t>.</w:t>
      </w:r>
      <w:r w:rsidR="001512A5" w:rsidRPr="001512A5">
        <w:rPr>
          <w:bCs/>
          <w:sz w:val="26"/>
          <w:szCs w:val="26"/>
        </w:rPr>
        <w:t>10</w:t>
      </w:r>
      <w:r w:rsidRPr="001512A5">
        <w:rPr>
          <w:bCs/>
          <w:sz w:val="26"/>
          <w:szCs w:val="26"/>
        </w:rPr>
        <w:t xml:space="preserve">.2021 № </w:t>
      </w:r>
      <w:r w:rsidR="00691745">
        <w:rPr>
          <w:bCs/>
          <w:sz w:val="26"/>
          <w:szCs w:val="26"/>
        </w:rPr>
        <w:t>1</w:t>
      </w:r>
      <w:r w:rsidR="001512A5" w:rsidRPr="001512A5">
        <w:rPr>
          <w:bCs/>
          <w:sz w:val="26"/>
          <w:szCs w:val="26"/>
        </w:rPr>
        <w:t>024</w:t>
      </w:r>
      <w:r w:rsidRPr="001512A5">
        <w:rPr>
          <w:bCs/>
          <w:sz w:val="26"/>
          <w:szCs w:val="26"/>
        </w:rPr>
        <w:t xml:space="preserve"> 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B942FC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512A5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1512A5">
        <w:rPr>
          <w:bCs/>
          <w:sz w:val="26"/>
          <w:szCs w:val="26"/>
        </w:rPr>
        <w:t>ии ООО</w:t>
      </w:r>
      <w:proofErr w:type="gramEnd"/>
      <w:r w:rsidRPr="001512A5">
        <w:rPr>
          <w:bCs/>
          <w:sz w:val="26"/>
          <w:szCs w:val="26"/>
        </w:rPr>
        <w:t xml:space="preserve"> «Т</w:t>
      </w:r>
      <w:r w:rsidR="000949BD" w:rsidRPr="001512A5">
        <w:rPr>
          <w:bCs/>
          <w:sz w:val="26"/>
          <w:szCs w:val="26"/>
        </w:rPr>
        <w:t>СП</w:t>
      </w:r>
      <w:r w:rsidRPr="001512A5">
        <w:rPr>
          <w:bCs/>
          <w:sz w:val="26"/>
          <w:szCs w:val="26"/>
        </w:rPr>
        <w:t xml:space="preserve">» голосует по данному </w:t>
      </w:r>
      <w:r w:rsidRPr="00A94DEB">
        <w:rPr>
          <w:bCs/>
          <w:sz w:val="26"/>
          <w:szCs w:val="26"/>
        </w:rPr>
        <w:t>вопросу «за».</w:t>
      </w:r>
    </w:p>
    <w:p w:rsidR="00DB156E" w:rsidRPr="00A94DEB" w:rsidRDefault="00DB156E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</w:p>
    <w:p w:rsidR="00B942FC" w:rsidRPr="008B720C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B942FC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B942FC" w:rsidRPr="008B720C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Pr="008B720C">
        <w:t xml:space="preserve"> </w:t>
      </w:r>
      <w:proofErr w:type="gramStart"/>
      <w:r w:rsidR="00AC336E" w:rsidRPr="00AC336E">
        <w:rPr>
          <w:sz w:val="26"/>
          <w:szCs w:val="26"/>
        </w:rPr>
        <w:t>Внести изменения в постановление Департамента энергетики и тарифов Ивановской области от 01.12.2020 № 64-э/1 «Об установлении необходимой валовой выручки и долгосрочных параметров регулирования для ООО «ТСП»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01.12.2020 № 64-э/1</w:t>
      </w:r>
      <w:proofErr w:type="gramEnd"/>
      <w:r w:rsidR="00AC336E" w:rsidRPr="00AC336E">
        <w:rPr>
          <w:sz w:val="26"/>
          <w:szCs w:val="26"/>
        </w:rPr>
        <w:t xml:space="preserve"> в новой редакции согласно </w:t>
      </w:r>
      <w:r w:rsidRPr="008B720C">
        <w:rPr>
          <w:sz w:val="26"/>
          <w:szCs w:val="26"/>
        </w:rPr>
        <w:t>Таблице:</w:t>
      </w:r>
    </w:p>
    <w:p w:rsidR="00B942FC" w:rsidRDefault="00B942FC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147B89" w:rsidRPr="00147B89" w:rsidRDefault="00147B89" w:rsidP="00147B8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47B89">
        <w:rPr>
          <w:sz w:val="24"/>
          <w:szCs w:val="24"/>
        </w:rPr>
        <w:lastRenderedPageBreak/>
        <w:t>НВВ ООО «ТСП» на долгосрочный период регулирования (без учета оплаты потерь)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147B89" w:rsidRPr="00147B89" w:rsidTr="001512A5">
        <w:trPr>
          <w:trHeight w:val="61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 xml:space="preserve">№ </w:t>
            </w:r>
            <w:proofErr w:type="gramStart"/>
            <w:r w:rsidRPr="00147B89">
              <w:rPr>
                <w:sz w:val="22"/>
                <w:szCs w:val="22"/>
              </w:rPr>
              <w:t>п</w:t>
            </w:r>
            <w:proofErr w:type="gramEnd"/>
            <w:r w:rsidRPr="00147B89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147B8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тыс. руб.</w:t>
            </w:r>
          </w:p>
        </w:tc>
      </w:tr>
      <w:tr w:rsidR="00147B89" w:rsidRPr="00147B89" w:rsidTr="001512A5">
        <w:trPr>
          <w:trHeight w:val="300"/>
        </w:trPr>
        <w:tc>
          <w:tcPr>
            <w:tcW w:w="520" w:type="dxa"/>
            <w:vMerge w:val="restart"/>
            <w:shd w:val="clear" w:color="FFFFCC" w:fill="FFFFFF"/>
            <w:noWrap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shd w:val="clear" w:color="FFFFCC" w:fill="FFFFFF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ООО «ТСП»</w:t>
            </w: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34 752,90</w:t>
            </w:r>
          </w:p>
        </w:tc>
      </w:tr>
      <w:tr w:rsidR="00147B89" w:rsidRPr="00147B89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37 416,25</w:t>
            </w:r>
          </w:p>
        </w:tc>
      </w:tr>
      <w:tr w:rsidR="00147B89" w:rsidRPr="00147B89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34 477,18</w:t>
            </w:r>
          </w:p>
        </w:tc>
      </w:tr>
      <w:tr w:rsidR="00147B8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34 757,41</w:t>
            </w:r>
          </w:p>
        </w:tc>
      </w:tr>
      <w:tr w:rsidR="00147B8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35 040,10</w:t>
            </w:r>
          </w:p>
        </w:tc>
      </w:tr>
    </w:tbl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 xml:space="preserve">№ </w:t>
            </w:r>
            <w:proofErr w:type="gramStart"/>
            <w:r w:rsidRPr="006C6386">
              <w:rPr>
                <w:sz w:val="26"/>
                <w:szCs w:val="26"/>
              </w:rPr>
              <w:t>п</w:t>
            </w:r>
            <w:proofErr w:type="gramEnd"/>
            <w:r w:rsidRPr="006C6386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Результаты голосования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6C6386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</w:tbl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Итого: за – 8, против – 0, воздержался – 0, отсутствуют – 0.</w:t>
      </w:r>
    </w:p>
    <w:p w:rsidR="00147B89" w:rsidRPr="006C6386" w:rsidRDefault="00147B89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73314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А.В. Соколова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О.А. Курчанинова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М.В. Грехов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BA20E7" w:rsidRDefault="00BA20E7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C8155C" w:rsidRDefault="00C8155C" w:rsidP="00C815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Приложение к протоколу </w:t>
      </w:r>
      <w:r w:rsidRPr="00C8155C">
        <w:rPr>
          <w:sz w:val="24"/>
          <w:szCs w:val="24"/>
        </w:rPr>
        <w:t>заседания Правления Департамента энергетики и тарифов Ивановской области</w:t>
      </w:r>
      <w:r>
        <w:rPr>
          <w:sz w:val="24"/>
          <w:szCs w:val="24"/>
        </w:rPr>
        <w:t xml:space="preserve"> </w:t>
      </w:r>
    </w:p>
    <w:p w:rsidR="00C8155C" w:rsidRDefault="00C8155C" w:rsidP="00C8155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19.10.2021 № 45/1</w:t>
      </w:r>
    </w:p>
    <w:p w:rsidR="00C8155C" w:rsidRDefault="00C8155C" w:rsidP="00C8155C">
      <w:pPr>
        <w:jc w:val="right"/>
        <w:rPr>
          <w:sz w:val="24"/>
          <w:szCs w:val="24"/>
        </w:rPr>
      </w:pPr>
    </w:p>
    <w:p w:rsidR="00A33801" w:rsidRDefault="00C8155C">
      <w:pPr>
        <w:rPr>
          <w:sz w:val="24"/>
          <w:szCs w:val="24"/>
        </w:rPr>
      </w:pPr>
      <w:r w:rsidRPr="00C8155C">
        <w:rPr>
          <w:noProof/>
        </w:rPr>
        <w:drawing>
          <wp:inline distT="0" distB="0" distL="0" distR="0" wp14:anchorId="35D4D709" wp14:editId="414A3947">
            <wp:extent cx="6336030" cy="5517998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51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  <w:sectPr w:rsidR="00A33801" w:rsidSect="00147B89">
          <w:headerReference w:type="even" r:id="rId13"/>
          <w:headerReference w:type="default" r:id="rId14"/>
          <w:pgSz w:w="11906" w:h="16838"/>
          <w:pgMar w:top="1418" w:right="851" w:bottom="567" w:left="1077" w:header="284" w:footer="709" w:gutter="0"/>
          <w:cols w:space="708"/>
          <w:titlePg/>
          <w:docGrid w:linePitch="360"/>
        </w:sectPr>
      </w:pPr>
    </w:p>
    <w:p w:rsidR="006C7FD6" w:rsidRDefault="006C7FD6" w:rsidP="006C7FD6">
      <w:pPr>
        <w:jc w:val="right"/>
      </w:pPr>
    </w:p>
    <w:p w:rsidR="006C7FD6" w:rsidRDefault="006C7FD6" w:rsidP="006C7F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Приложение к протоколу </w:t>
      </w:r>
      <w:r w:rsidRPr="00C8155C">
        <w:rPr>
          <w:sz w:val="24"/>
          <w:szCs w:val="24"/>
        </w:rPr>
        <w:t xml:space="preserve">заседания </w:t>
      </w:r>
    </w:p>
    <w:p w:rsidR="006C7FD6" w:rsidRDefault="006C7FD6" w:rsidP="006C7FD6">
      <w:pPr>
        <w:jc w:val="right"/>
        <w:rPr>
          <w:sz w:val="24"/>
          <w:szCs w:val="24"/>
        </w:rPr>
      </w:pPr>
      <w:r w:rsidRPr="00C8155C">
        <w:rPr>
          <w:sz w:val="24"/>
          <w:szCs w:val="24"/>
        </w:rPr>
        <w:t>Правления Департамента энергетики и тарифов Ивановской области</w:t>
      </w:r>
      <w:r>
        <w:rPr>
          <w:sz w:val="24"/>
          <w:szCs w:val="24"/>
        </w:rPr>
        <w:t xml:space="preserve"> </w:t>
      </w:r>
    </w:p>
    <w:p w:rsidR="006C7FD6" w:rsidRDefault="006C7FD6" w:rsidP="006C7FD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19.10.2021 № 45/1</w:t>
      </w:r>
    </w:p>
    <w:p w:rsidR="00A33801" w:rsidRDefault="00C8155C">
      <w:pPr>
        <w:rPr>
          <w:sz w:val="24"/>
          <w:szCs w:val="24"/>
        </w:rPr>
      </w:pPr>
      <w:r w:rsidRPr="00C8155C">
        <w:rPr>
          <w:noProof/>
        </w:rPr>
        <w:drawing>
          <wp:inline distT="0" distB="0" distL="0" distR="0" wp14:anchorId="23267770" wp14:editId="15C0DBCE">
            <wp:extent cx="9372600" cy="5895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493" cy="58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801" w:rsidSect="006C7FD6">
      <w:pgSz w:w="16838" w:h="11906" w:orient="landscape"/>
      <w:pgMar w:top="1077" w:right="1418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35" w:rsidRDefault="00546435">
      <w:r>
        <w:separator/>
      </w:r>
    </w:p>
  </w:endnote>
  <w:endnote w:type="continuationSeparator" w:id="0">
    <w:p w:rsidR="00546435" w:rsidRDefault="005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35" w:rsidRDefault="00546435">
      <w:r>
        <w:separator/>
      </w:r>
    </w:p>
  </w:footnote>
  <w:footnote w:type="continuationSeparator" w:id="0">
    <w:p w:rsidR="00546435" w:rsidRDefault="0054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35" w:rsidRDefault="0054643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435" w:rsidRDefault="00546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35" w:rsidRDefault="0054643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E03">
      <w:rPr>
        <w:rStyle w:val="a5"/>
        <w:noProof/>
      </w:rPr>
      <w:t>4</w:t>
    </w:r>
    <w:r>
      <w:rPr>
        <w:rStyle w:val="a5"/>
      </w:rPr>
      <w:fldChar w:fldCharType="end"/>
    </w:r>
  </w:p>
  <w:p w:rsidR="00546435" w:rsidRDefault="00546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5887F53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4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277EB"/>
    <w:rsid w:val="000301BD"/>
    <w:rsid w:val="00030E80"/>
    <w:rsid w:val="00034065"/>
    <w:rsid w:val="00035973"/>
    <w:rsid w:val="00042C3E"/>
    <w:rsid w:val="00047724"/>
    <w:rsid w:val="00050055"/>
    <w:rsid w:val="000514A4"/>
    <w:rsid w:val="00052294"/>
    <w:rsid w:val="000556C3"/>
    <w:rsid w:val="00074265"/>
    <w:rsid w:val="00086DEB"/>
    <w:rsid w:val="00091843"/>
    <w:rsid w:val="000949BD"/>
    <w:rsid w:val="0009775D"/>
    <w:rsid w:val="000A4B37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47B89"/>
    <w:rsid w:val="00150B76"/>
    <w:rsid w:val="001512A5"/>
    <w:rsid w:val="00174CA1"/>
    <w:rsid w:val="00174DB7"/>
    <w:rsid w:val="0017733A"/>
    <w:rsid w:val="00181BF3"/>
    <w:rsid w:val="00181D4D"/>
    <w:rsid w:val="00190A38"/>
    <w:rsid w:val="001A1815"/>
    <w:rsid w:val="001A68A8"/>
    <w:rsid w:val="001C3FF6"/>
    <w:rsid w:val="001C5116"/>
    <w:rsid w:val="001D267C"/>
    <w:rsid w:val="001E449B"/>
    <w:rsid w:val="001F100B"/>
    <w:rsid w:val="001F29F1"/>
    <w:rsid w:val="0020423A"/>
    <w:rsid w:val="00217DC7"/>
    <w:rsid w:val="00222418"/>
    <w:rsid w:val="00230A1D"/>
    <w:rsid w:val="00262C82"/>
    <w:rsid w:val="00267E21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7851"/>
    <w:rsid w:val="00334250"/>
    <w:rsid w:val="00335AB5"/>
    <w:rsid w:val="00353E00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D2E03"/>
    <w:rsid w:val="003E5A74"/>
    <w:rsid w:val="003E7C83"/>
    <w:rsid w:val="003F081D"/>
    <w:rsid w:val="003F3FC6"/>
    <w:rsid w:val="0041444D"/>
    <w:rsid w:val="0043607E"/>
    <w:rsid w:val="00456648"/>
    <w:rsid w:val="004649EB"/>
    <w:rsid w:val="00465DE5"/>
    <w:rsid w:val="00466942"/>
    <w:rsid w:val="00473802"/>
    <w:rsid w:val="0047755F"/>
    <w:rsid w:val="0048693C"/>
    <w:rsid w:val="004A3C0A"/>
    <w:rsid w:val="004B0782"/>
    <w:rsid w:val="004B191C"/>
    <w:rsid w:val="004C3F09"/>
    <w:rsid w:val="004C4178"/>
    <w:rsid w:val="004C6E09"/>
    <w:rsid w:val="004D0A10"/>
    <w:rsid w:val="004E2154"/>
    <w:rsid w:val="004E2C77"/>
    <w:rsid w:val="004E35E5"/>
    <w:rsid w:val="005010B2"/>
    <w:rsid w:val="00515FCE"/>
    <w:rsid w:val="00520414"/>
    <w:rsid w:val="0052099A"/>
    <w:rsid w:val="00522274"/>
    <w:rsid w:val="00534B05"/>
    <w:rsid w:val="005353FE"/>
    <w:rsid w:val="00546435"/>
    <w:rsid w:val="00551589"/>
    <w:rsid w:val="0055285B"/>
    <w:rsid w:val="00554200"/>
    <w:rsid w:val="005614F7"/>
    <w:rsid w:val="005639E3"/>
    <w:rsid w:val="00576EDF"/>
    <w:rsid w:val="00593C83"/>
    <w:rsid w:val="005B2A72"/>
    <w:rsid w:val="005B384C"/>
    <w:rsid w:val="005B57C8"/>
    <w:rsid w:val="005C5306"/>
    <w:rsid w:val="005D13EC"/>
    <w:rsid w:val="005D4BBE"/>
    <w:rsid w:val="005F268F"/>
    <w:rsid w:val="00610136"/>
    <w:rsid w:val="006208AA"/>
    <w:rsid w:val="006218E7"/>
    <w:rsid w:val="00626A32"/>
    <w:rsid w:val="00630F85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1745"/>
    <w:rsid w:val="00693F4E"/>
    <w:rsid w:val="00694117"/>
    <w:rsid w:val="0069698E"/>
    <w:rsid w:val="006B6625"/>
    <w:rsid w:val="006C6386"/>
    <w:rsid w:val="006C7FD6"/>
    <w:rsid w:val="006D00A4"/>
    <w:rsid w:val="006E2C97"/>
    <w:rsid w:val="006E56E3"/>
    <w:rsid w:val="006F54B2"/>
    <w:rsid w:val="0070141D"/>
    <w:rsid w:val="007068DC"/>
    <w:rsid w:val="00725F00"/>
    <w:rsid w:val="00737365"/>
    <w:rsid w:val="00750E43"/>
    <w:rsid w:val="0076398B"/>
    <w:rsid w:val="00764D5A"/>
    <w:rsid w:val="007660C9"/>
    <w:rsid w:val="00771B42"/>
    <w:rsid w:val="00772D93"/>
    <w:rsid w:val="00784053"/>
    <w:rsid w:val="00784702"/>
    <w:rsid w:val="00790FF1"/>
    <w:rsid w:val="007921B5"/>
    <w:rsid w:val="007A0214"/>
    <w:rsid w:val="007B5DD0"/>
    <w:rsid w:val="007C2BFE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34454"/>
    <w:rsid w:val="00843EBE"/>
    <w:rsid w:val="00847CC3"/>
    <w:rsid w:val="00884BA4"/>
    <w:rsid w:val="00884C58"/>
    <w:rsid w:val="00885A4A"/>
    <w:rsid w:val="008A5F9F"/>
    <w:rsid w:val="008B4AF5"/>
    <w:rsid w:val="008B720C"/>
    <w:rsid w:val="008B75D9"/>
    <w:rsid w:val="008C042F"/>
    <w:rsid w:val="008D0D47"/>
    <w:rsid w:val="008D1B66"/>
    <w:rsid w:val="008E24DC"/>
    <w:rsid w:val="008E343B"/>
    <w:rsid w:val="008E7EDA"/>
    <w:rsid w:val="008F0C67"/>
    <w:rsid w:val="00902327"/>
    <w:rsid w:val="009162DA"/>
    <w:rsid w:val="0092634E"/>
    <w:rsid w:val="00945A23"/>
    <w:rsid w:val="00947799"/>
    <w:rsid w:val="00950A6E"/>
    <w:rsid w:val="00960CB6"/>
    <w:rsid w:val="009643B0"/>
    <w:rsid w:val="009A06DC"/>
    <w:rsid w:val="009A0A72"/>
    <w:rsid w:val="009A1FB2"/>
    <w:rsid w:val="009C6019"/>
    <w:rsid w:val="009D1404"/>
    <w:rsid w:val="009D3914"/>
    <w:rsid w:val="009D5AB3"/>
    <w:rsid w:val="009D60BE"/>
    <w:rsid w:val="009E75E7"/>
    <w:rsid w:val="009F131D"/>
    <w:rsid w:val="00A01D42"/>
    <w:rsid w:val="00A02F26"/>
    <w:rsid w:val="00A14BD5"/>
    <w:rsid w:val="00A17C95"/>
    <w:rsid w:val="00A26D02"/>
    <w:rsid w:val="00A32482"/>
    <w:rsid w:val="00A33801"/>
    <w:rsid w:val="00A423D8"/>
    <w:rsid w:val="00A525DD"/>
    <w:rsid w:val="00A53A61"/>
    <w:rsid w:val="00A64548"/>
    <w:rsid w:val="00A658B7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C336E"/>
    <w:rsid w:val="00AC6A44"/>
    <w:rsid w:val="00AD318E"/>
    <w:rsid w:val="00AD6195"/>
    <w:rsid w:val="00AE001D"/>
    <w:rsid w:val="00AE1D47"/>
    <w:rsid w:val="00AE5EEB"/>
    <w:rsid w:val="00B00CF1"/>
    <w:rsid w:val="00B1374E"/>
    <w:rsid w:val="00B150D4"/>
    <w:rsid w:val="00B173E4"/>
    <w:rsid w:val="00B21B80"/>
    <w:rsid w:val="00B30208"/>
    <w:rsid w:val="00B31BA4"/>
    <w:rsid w:val="00B73526"/>
    <w:rsid w:val="00B854A8"/>
    <w:rsid w:val="00B86551"/>
    <w:rsid w:val="00B872E8"/>
    <w:rsid w:val="00B911BA"/>
    <w:rsid w:val="00B942FC"/>
    <w:rsid w:val="00B96B60"/>
    <w:rsid w:val="00BA20E7"/>
    <w:rsid w:val="00BA4212"/>
    <w:rsid w:val="00BC172E"/>
    <w:rsid w:val="00BC1905"/>
    <w:rsid w:val="00BD4C16"/>
    <w:rsid w:val="00BE2600"/>
    <w:rsid w:val="00BF6CDF"/>
    <w:rsid w:val="00C007C7"/>
    <w:rsid w:val="00C10AF5"/>
    <w:rsid w:val="00C2349C"/>
    <w:rsid w:val="00C433FF"/>
    <w:rsid w:val="00C45974"/>
    <w:rsid w:val="00C57BF7"/>
    <w:rsid w:val="00C6399E"/>
    <w:rsid w:val="00C645A4"/>
    <w:rsid w:val="00C81296"/>
    <w:rsid w:val="00C8155C"/>
    <w:rsid w:val="00C828F9"/>
    <w:rsid w:val="00C92030"/>
    <w:rsid w:val="00CB07AC"/>
    <w:rsid w:val="00CB2DB7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65A0C"/>
    <w:rsid w:val="00D81313"/>
    <w:rsid w:val="00D86FA6"/>
    <w:rsid w:val="00D871F9"/>
    <w:rsid w:val="00D913B7"/>
    <w:rsid w:val="00DB156E"/>
    <w:rsid w:val="00DB2BAD"/>
    <w:rsid w:val="00DC690C"/>
    <w:rsid w:val="00DC70E0"/>
    <w:rsid w:val="00DC7CDD"/>
    <w:rsid w:val="00DD3D8E"/>
    <w:rsid w:val="00DE310B"/>
    <w:rsid w:val="00DE63F9"/>
    <w:rsid w:val="00DF2186"/>
    <w:rsid w:val="00E330EB"/>
    <w:rsid w:val="00E34193"/>
    <w:rsid w:val="00E51103"/>
    <w:rsid w:val="00E566D5"/>
    <w:rsid w:val="00E86E4E"/>
    <w:rsid w:val="00E95F9F"/>
    <w:rsid w:val="00EA2A52"/>
    <w:rsid w:val="00EA6678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FBC"/>
    <w:rsid w:val="00F37527"/>
    <w:rsid w:val="00F43C50"/>
    <w:rsid w:val="00F57773"/>
    <w:rsid w:val="00F620F1"/>
    <w:rsid w:val="00F64F61"/>
    <w:rsid w:val="00F66CD0"/>
    <w:rsid w:val="00F72658"/>
    <w:rsid w:val="00F84FCF"/>
    <w:rsid w:val="00F92613"/>
    <w:rsid w:val="00F93FAF"/>
    <w:rsid w:val="00FB144C"/>
    <w:rsid w:val="00FB2BA8"/>
    <w:rsid w:val="00FC453A"/>
    <w:rsid w:val="00FE5D55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CC5C-7560-46B3-A148-00D697DD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55</cp:revision>
  <cp:lastPrinted>2020-11-05T06:24:00Z</cp:lastPrinted>
  <dcterms:created xsi:type="dcterms:W3CDTF">2020-11-06T12:27:00Z</dcterms:created>
  <dcterms:modified xsi:type="dcterms:W3CDTF">2021-10-20T11:28:00Z</dcterms:modified>
</cp:coreProperties>
</file>