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2D70BF">
        <w:rPr>
          <w:b/>
          <w:sz w:val="24"/>
          <w:szCs w:val="24"/>
          <w:u w:val="single"/>
        </w:rPr>
        <w:t>51</w:t>
      </w:r>
      <w:r w:rsidR="00C64358" w:rsidRPr="009B4C3C">
        <w:rPr>
          <w:b/>
          <w:sz w:val="24"/>
          <w:szCs w:val="24"/>
          <w:u w:val="single"/>
        </w:rPr>
        <w:t>/</w:t>
      </w:r>
      <w:r w:rsidR="00211B49" w:rsidRPr="009B4C3C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F75BE5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D70BF">
        <w:rPr>
          <w:sz w:val="24"/>
          <w:szCs w:val="24"/>
        </w:rPr>
        <w:t>8</w:t>
      </w:r>
      <w:r w:rsidR="00C45974" w:rsidRPr="009B4C3C">
        <w:rPr>
          <w:sz w:val="24"/>
          <w:szCs w:val="24"/>
        </w:rPr>
        <w:t xml:space="preserve"> </w:t>
      </w:r>
      <w:r w:rsidR="008465E8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6E7BB8" w:rsidRPr="009B4C3C">
        <w:rPr>
          <w:sz w:val="24"/>
          <w:szCs w:val="24"/>
        </w:rPr>
        <w:t>2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Присутствовали:</w:t>
      </w: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Председатель Правления: Морева Е.Н.</w:t>
      </w:r>
    </w:p>
    <w:p w:rsidR="00593C83" w:rsidRPr="002D70BF" w:rsidRDefault="00593C83" w:rsidP="00593C83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 xml:space="preserve">Члены Правления: Бугаева С.Е., </w:t>
      </w:r>
      <w:r w:rsidR="00790FF1" w:rsidRPr="002D70BF">
        <w:rPr>
          <w:sz w:val="24"/>
          <w:szCs w:val="24"/>
        </w:rPr>
        <w:t xml:space="preserve">Гущина Н.Б., </w:t>
      </w:r>
      <w:r w:rsidR="005010B2" w:rsidRPr="002D70BF">
        <w:rPr>
          <w:sz w:val="24"/>
          <w:szCs w:val="24"/>
        </w:rPr>
        <w:t>Турбачкина Е.В.</w:t>
      </w:r>
      <w:r w:rsidRPr="002D70BF">
        <w:rPr>
          <w:sz w:val="24"/>
          <w:szCs w:val="24"/>
        </w:rPr>
        <w:t xml:space="preserve">, </w:t>
      </w:r>
      <w:r w:rsidR="006E7BB8" w:rsidRPr="002D70BF">
        <w:rPr>
          <w:sz w:val="24"/>
          <w:szCs w:val="24"/>
        </w:rPr>
        <w:t>Полозов И.Г.</w:t>
      </w:r>
      <w:r w:rsidRPr="002D70BF">
        <w:rPr>
          <w:sz w:val="24"/>
          <w:szCs w:val="24"/>
        </w:rPr>
        <w:t xml:space="preserve">, </w:t>
      </w:r>
      <w:r w:rsidR="00335AB5" w:rsidRPr="002D70BF">
        <w:rPr>
          <w:sz w:val="24"/>
          <w:szCs w:val="24"/>
        </w:rPr>
        <w:t>Коннова Е.А</w:t>
      </w:r>
      <w:r w:rsidR="009D60BE" w:rsidRPr="002D70BF">
        <w:rPr>
          <w:sz w:val="24"/>
          <w:szCs w:val="24"/>
        </w:rPr>
        <w:t>.</w:t>
      </w:r>
      <w:r w:rsidR="00AB2502" w:rsidRPr="002D70BF">
        <w:rPr>
          <w:sz w:val="24"/>
          <w:szCs w:val="24"/>
        </w:rPr>
        <w:t>, Агапова О</w:t>
      </w:r>
      <w:r w:rsidR="00F93FAF" w:rsidRPr="002D70BF">
        <w:rPr>
          <w:sz w:val="24"/>
          <w:szCs w:val="24"/>
        </w:rPr>
        <w:t>.</w:t>
      </w:r>
      <w:r w:rsidR="00AB2502" w:rsidRPr="002D70BF">
        <w:rPr>
          <w:sz w:val="24"/>
          <w:szCs w:val="24"/>
        </w:rPr>
        <w:t>П</w:t>
      </w:r>
      <w:r w:rsidRPr="002D70BF">
        <w:rPr>
          <w:sz w:val="24"/>
          <w:szCs w:val="24"/>
        </w:rPr>
        <w:t>.</w:t>
      </w:r>
    </w:p>
    <w:p w:rsidR="005B384C" w:rsidRPr="002D70BF" w:rsidRDefault="005B384C" w:rsidP="005B384C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>От Департамента энергетики и тарифов Ивановской области:</w:t>
      </w:r>
      <w:r w:rsidR="00211B49" w:rsidRPr="002D70BF">
        <w:rPr>
          <w:sz w:val="24"/>
          <w:szCs w:val="24"/>
        </w:rPr>
        <w:t xml:space="preserve"> </w:t>
      </w:r>
      <w:r w:rsidR="005D28A6" w:rsidRPr="002D70BF">
        <w:rPr>
          <w:sz w:val="24"/>
          <w:szCs w:val="24"/>
        </w:rPr>
        <w:t>Сергеев М.А., Петрова Е.В.</w:t>
      </w:r>
    </w:p>
    <w:p w:rsidR="006E7BB8" w:rsidRPr="002D70BF" w:rsidRDefault="006E7BB8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От УФАС России по Ивановской области: Виднова З.Б. (на праве совещательного голоса, участие в голосовании не принимает).</w:t>
      </w:r>
    </w:p>
    <w:p w:rsidR="005B384C" w:rsidRPr="002D70BF" w:rsidRDefault="005B384C" w:rsidP="005B384C">
      <w:pPr>
        <w:pStyle w:val="21"/>
        <w:widowControl/>
        <w:ind w:firstLine="0"/>
        <w:rPr>
          <w:szCs w:val="24"/>
        </w:rPr>
      </w:pPr>
      <w:r w:rsidRPr="002D70BF">
        <w:rPr>
          <w:szCs w:val="24"/>
        </w:rPr>
        <w:t>От Ассоциации «НП Совет рынка»: Кулешов А.И.</w:t>
      </w:r>
    </w:p>
    <w:p w:rsidR="003F73E1" w:rsidRPr="0051485B" w:rsidRDefault="003F73E1" w:rsidP="003F73E1">
      <w:pPr>
        <w:widowControl/>
        <w:jc w:val="both"/>
        <w:rPr>
          <w:bCs/>
          <w:sz w:val="24"/>
          <w:szCs w:val="24"/>
        </w:rPr>
      </w:pPr>
      <w:r w:rsidRPr="0051485B">
        <w:rPr>
          <w:sz w:val="24"/>
          <w:szCs w:val="24"/>
        </w:rPr>
        <w:t xml:space="preserve">От </w:t>
      </w:r>
      <w:r w:rsidR="002D70BF" w:rsidRPr="0051485B">
        <w:rPr>
          <w:sz w:val="24"/>
          <w:szCs w:val="24"/>
        </w:rPr>
        <w:t>ОО</w:t>
      </w:r>
      <w:r w:rsidRPr="0051485B">
        <w:rPr>
          <w:bCs/>
          <w:sz w:val="24"/>
          <w:szCs w:val="24"/>
        </w:rPr>
        <w:t>О «</w:t>
      </w:r>
      <w:r w:rsidR="002D70BF" w:rsidRPr="0051485B">
        <w:rPr>
          <w:bCs/>
          <w:sz w:val="24"/>
          <w:szCs w:val="24"/>
        </w:rPr>
        <w:t>ЭлСеть</w:t>
      </w:r>
      <w:r w:rsidRPr="0051485B">
        <w:rPr>
          <w:bCs/>
          <w:sz w:val="24"/>
          <w:szCs w:val="24"/>
        </w:rPr>
        <w:t>»:</w:t>
      </w:r>
      <w:r w:rsidR="00675453" w:rsidRPr="0051485B">
        <w:rPr>
          <w:bCs/>
          <w:sz w:val="24"/>
          <w:szCs w:val="24"/>
        </w:rPr>
        <w:t xml:space="preserve"> </w:t>
      </w:r>
      <w:r w:rsidR="0051485B" w:rsidRPr="0051485B">
        <w:rPr>
          <w:bCs/>
          <w:sz w:val="24"/>
          <w:szCs w:val="24"/>
        </w:rPr>
        <w:t>Смирнов В.А. (по доверенности).</w:t>
      </w:r>
    </w:p>
    <w:p w:rsidR="005B384C" w:rsidRPr="002D70BF" w:rsidRDefault="005B384C" w:rsidP="005B384C">
      <w:pPr>
        <w:jc w:val="both"/>
        <w:rPr>
          <w:sz w:val="24"/>
          <w:szCs w:val="24"/>
        </w:rPr>
      </w:pPr>
      <w:r w:rsidRPr="002D70BF">
        <w:rPr>
          <w:sz w:val="24"/>
          <w:szCs w:val="24"/>
        </w:rPr>
        <w:t>Ответственный секретарь Правления:</w:t>
      </w:r>
      <w:r w:rsidR="00C828F9" w:rsidRPr="002D70BF">
        <w:rPr>
          <w:sz w:val="24"/>
          <w:szCs w:val="24"/>
        </w:rPr>
        <w:t xml:space="preserve"> </w:t>
      </w:r>
      <w:r w:rsidR="00C82BB3" w:rsidRPr="002D70BF">
        <w:rPr>
          <w:sz w:val="24"/>
          <w:szCs w:val="24"/>
        </w:rPr>
        <w:t>Аскярова М.В</w:t>
      </w:r>
      <w:r w:rsidR="00211B49" w:rsidRPr="002D70BF">
        <w:rPr>
          <w:sz w:val="24"/>
          <w:szCs w:val="24"/>
        </w:rPr>
        <w:t>.</w:t>
      </w:r>
    </w:p>
    <w:p w:rsidR="005B384C" w:rsidRPr="00E61B1D" w:rsidRDefault="005B384C" w:rsidP="005B384C">
      <w:pPr>
        <w:jc w:val="both"/>
        <w:rPr>
          <w:sz w:val="24"/>
          <w:szCs w:val="24"/>
        </w:rPr>
      </w:pPr>
    </w:p>
    <w:p w:rsidR="005B384C" w:rsidRPr="002D70BF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2D70BF">
        <w:rPr>
          <w:b/>
          <w:sz w:val="24"/>
          <w:szCs w:val="24"/>
        </w:rPr>
        <w:t>П</w:t>
      </w:r>
      <w:proofErr w:type="gramEnd"/>
      <w:r w:rsidRPr="002D70BF">
        <w:rPr>
          <w:b/>
          <w:sz w:val="24"/>
          <w:szCs w:val="24"/>
        </w:rPr>
        <w:t xml:space="preserve"> О В Е С Т К А:</w:t>
      </w:r>
    </w:p>
    <w:p w:rsidR="005B384C" w:rsidRPr="002D70BF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B53384" w:rsidRPr="005848AF" w:rsidRDefault="002D70BF" w:rsidP="00BB4C0C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5848AF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22.11.2019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</w:t>
      </w:r>
      <w:r w:rsidR="00B40D05">
        <w:rPr>
          <w:b/>
          <w:bCs/>
          <w:sz w:val="24"/>
          <w:szCs w:val="24"/>
        </w:rPr>
        <w:t xml:space="preserve">очных параметров регулирования» </w:t>
      </w:r>
      <w:r w:rsidRPr="005848AF">
        <w:rPr>
          <w:b/>
          <w:bCs/>
          <w:sz w:val="24"/>
          <w:szCs w:val="24"/>
        </w:rPr>
        <w:t>(долгосрочный период 2020-2024 гг</w:t>
      </w:r>
      <w:r w:rsidR="0051485B">
        <w:rPr>
          <w:b/>
          <w:bCs/>
          <w:sz w:val="24"/>
          <w:szCs w:val="24"/>
        </w:rPr>
        <w:t>.</w:t>
      </w:r>
      <w:r w:rsidRPr="005848AF">
        <w:rPr>
          <w:b/>
          <w:bCs/>
          <w:sz w:val="24"/>
          <w:szCs w:val="24"/>
        </w:rPr>
        <w:t>).</w:t>
      </w:r>
    </w:p>
    <w:p w:rsidR="00335AB5" w:rsidRPr="005848AF" w:rsidRDefault="002D70BF" w:rsidP="00BB4C0C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5848AF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</w:t>
      </w:r>
      <w:r w:rsidR="005848AF" w:rsidRPr="005848AF">
        <w:rPr>
          <w:b/>
          <w:bCs/>
          <w:sz w:val="24"/>
          <w:szCs w:val="24"/>
        </w:rPr>
        <w:t>.</w:t>
      </w:r>
    </w:p>
    <w:p w:rsidR="005848AF" w:rsidRPr="00207370" w:rsidRDefault="002D70BF" w:rsidP="00BB4C0C">
      <w:pPr>
        <w:pStyle w:val="aa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</w:tabs>
        <w:ind w:left="0" w:firstLine="567"/>
        <w:jc w:val="both"/>
        <w:rPr>
          <w:b/>
          <w:bCs/>
          <w:sz w:val="24"/>
          <w:szCs w:val="24"/>
        </w:rPr>
      </w:pPr>
      <w:r w:rsidRPr="00207370">
        <w:rPr>
          <w:b/>
          <w:bCs/>
          <w:sz w:val="24"/>
          <w:szCs w:val="24"/>
        </w:rPr>
        <w:t>Об установлении необходимой валовой выручки и долгосрочных параметров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5848AF" w:rsidRPr="00207370">
        <w:rPr>
          <w:b/>
          <w:bCs/>
          <w:sz w:val="24"/>
          <w:szCs w:val="24"/>
        </w:rPr>
        <w:t>.</w:t>
      </w:r>
    </w:p>
    <w:p w:rsidR="00B53384" w:rsidRPr="00207370" w:rsidRDefault="0051485B" w:rsidP="0051485B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207370">
        <w:rPr>
          <w:b/>
          <w:bCs/>
          <w:sz w:val="24"/>
          <w:szCs w:val="24"/>
          <w:lang w:val="en-US"/>
        </w:rPr>
        <w:t>I</w:t>
      </w:r>
      <w:r w:rsidRPr="00207370">
        <w:rPr>
          <w:b/>
          <w:bCs/>
          <w:sz w:val="24"/>
          <w:szCs w:val="24"/>
        </w:rPr>
        <w:t xml:space="preserve">. </w:t>
      </w:r>
      <w:r w:rsidR="006E77F1" w:rsidRPr="00207370">
        <w:rPr>
          <w:b/>
          <w:bCs/>
          <w:sz w:val="24"/>
          <w:szCs w:val="24"/>
        </w:rPr>
        <w:t>СЛУШАЛИ:</w:t>
      </w:r>
      <w:r w:rsidR="00B53384" w:rsidRPr="00207370">
        <w:rPr>
          <w:b/>
          <w:bCs/>
          <w:sz w:val="24"/>
          <w:szCs w:val="24"/>
        </w:rPr>
        <w:tab/>
      </w:r>
      <w:r w:rsidR="005848AF" w:rsidRPr="002073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22.11.2019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 (долгосрочный период 2020-2024 гг</w:t>
      </w:r>
      <w:r w:rsidRPr="00207370">
        <w:rPr>
          <w:b/>
          <w:bCs/>
          <w:sz w:val="24"/>
          <w:szCs w:val="24"/>
        </w:rPr>
        <w:t>.</w:t>
      </w:r>
      <w:r w:rsidR="005848AF" w:rsidRPr="00207370">
        <w:rPr>
          <w:b/>
          <w:bCs/>
          <w:sz w:val="24"/>
          <w:szCs w:val="24"/>
        </w:rPr>
        <w:t xml:space="preserve">) </w:t>
      </w:r>
      <w:r w:rsidR="006E77F1" w:rsidRPr="00207370">
        <w:rPr>
          <w:b/>
          <w:bCs/>
          <w:sz w:val="24"/>
          <w:szCs w:val="24"/>
        </w:rPr>
        <w:t>(Морева, Коннова, Петрова).</w:t>
      </w:r>
    </w:p>
    <w:p w:rsidR="005848AF" w:rsidRPr="00207370" w:rsidRDefault="005848AF" w:rsidP="005848AF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 xml:space="preserve">Рассмотрено дело в части корректировки </w:t>
      </w:r>
      <w:r w:rsidRPr="00207370">
        <w:rPr>
          <w:sz w:val="24"/>
          <w:szCs w:val="24"/>
        </w:rPr>
        <w:t xml:space="preserve">НВВ на содержание электрических сетей на 2023 год, </w:t>
      </w:r>
      <w:r w:rsidRPr="00207370">
        <w:rPr>
          <w:bCs/>
          <w:sz w:val="24"/>
          <w:szCs w:val="24"/>
        </w:rPr>
        <w:t>принимаемой в расчет единых (котловых) и индивидуальных тарифов на услуги по передаче электрической энергии (без учета оплаты потерь), для ООО «Профессионал» (долгосрочный период регулирования 202</w:t>
      </w:r>
      <w:r w:rsidR="0004576E" w:rsidRPr="00207370">
        <w:rPr>
          <w:bCs/>
          <w:sz w:val="24"/>
          <w:szCs w:val="24"/>
        </w:rPr>
        <w:t>0-2024</w:t>
      </w:r>
      <w:r w:rsidRPr="00207370">
        <w:rPr>
          <w:bCs/>
          <w:sz w:val="24"/>
          <w:szCs w:val="24"/>
        </w:rPr>
        <w:t xml:space="preserve"> гг.).</w:t>
      </w:r>
    </w:p>
    <w:p w:rsidR="005848AF" w:rsidRPr="00207370" w:rsidRDefault="005848AF" w:rsidP="005848AF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207370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5848AF" w:rsidRPr="00207370" w:rsidRDefault="005848AF" w:rsidP="005848AF">
      <w:pPr>
        <w:ind w:firstLine="567"/>
        <w:jc w:val="both"/>
        <w:rPr>
          <w:sz w:val="24"/>
          <w:szCs w:val="24"/>
        </w:rPr>
      </w:pPr>
      <w:r w:rsidRPr="00207370">
        <w:rPr>
          <w:bCs/>
          <w:sz w:val="24"/>
          <w:szCs w:val="24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207370">
        <w:rPr>
          <w:sz w:val="24"/>
          <w:szCs w:val="24"/>
        </w:rPr>
        <w:t xml:space="preserve"> соответствии </w:t>
      </w:r>
      <w:proofErr w:type="gramStart"/>
      <w:r w:rsidRPr="00207370">
        <w:rPr>
          <w:sz w:val="24"/>
          <w:szCs w:val="24"/>
        </w:rPr>
        <w:t>с</w:t>
      </w:r>
      <w:proofErr w:type="gramEnd"/>
      <w:r w:rsidRPr="00207370">
        <w:rPr>
          <w:sz w:val="24"/>
          <w:szCs w:val="24"/>
        </w:rPr>
        <w:t>:</w:t>
      </w:r>
    </w:p>
    <w:p w:rsidR="005848AF" w:rsidRPr="00207370" w:rsidRDefault="005848AF" w:rsidP="005848AF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207370">
        <w:rPr>
          <w:bCs/>
          <w:sz w:val="24"/>
          <w:szCs w:val="24"/>
        </w:rPr>
        <w:lastRenderedPageBreak/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2025 года</w:t>
      </w:r>
      <w:r w:rsidRPr="00207370">
        <w:rPr>
          <w:sz w:val="24"/>
          <w:szCs w:val="24"/>
        </w:rPr>
        <w:t>,</w:t>
      </w:r>
    </w:p>
    <w:p w:rsidR="005848AF" w:rsidRPr="00207370" w:rsidRDefault="005848AF" w:rsidP="005848AF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4"/>
          <w:szCs w:val="24"/>
        </w:rPr>
      </w:pPr>
      <w:r w:rsidRPr="00207370">
        <w:rPr>
          <w:sz w:val="24"/>
          <w:szCs w:val="24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 (далее – Основы ценообразования),</w:t>
      </w:r>
    </w:p>
    <w:p w:rsidR="005848AF" w:rsidRPr="00207370" w:rsidRDefault="005848AF" w:rsidP="005848AF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07370">
        <w:rPr>
          <w:sz w:val="24"/>
          <w:szCs w:val="24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5848AF" w:rsidRPr="00207370" w:rsidRDefault="005848AF" w:rsidP="005848AF">
      <w:pPr>
        <w:ind w:firstLine="567"/>
        <w:jc w:val="both"/>
        <w:rPr>
          <w:sz w:val="24"/>
          <w:szCs w:val="24"/>
        </w:rPr>
      </w:pPr>
      <w:r w:rsidRPr="00207370">
        <w:rPr>
          <w:sz w:val="24"/>
          <w:szCs w:val="24"/>
        </w:rPr>
        <w:t>Основные показатели деятельност</w:t>
      </w:r>
      <w:proofErr w:type="gramStart"/>
      <w:r w:rsidRPr="00207370">
        <w:rPr>
          <w:sz w:val="24"/>
          <w:szCs w:val="24"/>
        </w:rPr>
        <w:t xml:space="preserve">и </w:t>
      </w:r>
      <w:r w:rsidRPr="00207370">
        <w:rPr>
          <w:bCs/>
          <w:sz w:val="24"/>
          <w:szCs w:val="24"/>
        </w:rPr>
        <w:t>О</w:t>
      </w:r>
      <w:r w:rsidR="0004576E" w:rsidRPr="00207370">
        <w:rPr>
          <w:bCs/>
          <w:sz w:val="24"/>
          <w:szCs w:val="24"/>
        </w:rPr>
        <w:t>О</w:t>
      </w:r>
      <w:r w:rsidRPr="00207370">
        <w:rPr>
          <w:bCs/>
          <w:sz w:val="24"/>
          <w:szCs w:val="24"/>
        </w:rPr>
        <w:t>О</w:t>
      </w:r>
      <w:proofErr w:type="gramEnd"/>
      <w:r w:rsidRPr="00207370">
        <w:rPr>
          <w:bCs/>
          <w:sz w:val="24"/>
          <w:szCs w:val="24"/>
        </w:rPr>
        <w:t xml:space="preserve"> «</w:t>
      </w:r>
      <w:r w:rsidR="0004576E" w:rsidRPr="00207370">
        <w:rPr>
          <w:bCs/>
          <w:sz w:val="24"/>
          <w:szCs w:val="24"/>
        </w:rPr>
        <w:t>Профессионал</w:t>
      </w:r>
      <w:r w:rsidRPr="00207370">
        <w:rPr>
          <w:bCs/>
          <w:sz w:val="24"/>
          <w:szCs w:val="24"/>
        </w:rPr>
        <w:t xml:space="preserve">», </w:t>
      </w:r>
      <w:r w:rsidRPr="00207370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2023 год, а также принимаемые при установлении НВВ, приведены в приложениях к протоколу.</w:t>
      </w:r>
    </w:p>
    <w:p w:rsidR="005848AF" w:rsidRPr="00207370" w:rsidRDefault="005848AF" w:rsidP="005848AF">
      <w:pPr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5848AF" w:rsidRPr="00207370" w:rsidRDefault="005848AF" w:rsidP="005848AF">
      <w:pPr>
        <w:ind w:firstLine="567"/>
        <w:jc w:val="both"/>
        <w:rPr>
          <w:bCs/>
          <w:sz w:val="24"/>
          <w:szCs w:val="24"/>
          <w:highlight w:val="yellow"/>
        </w:rPr>
      </w:pPr>
      <w:r w:rsidRPr="00207370">
        <w:rPr>
          <w:bCs/>
          <w:sz w:val="24"/>
          <w:szCs w:val="24"/>
        </w:rPr>
        <w:t xml:space="preserve">Необходимо внести соответствующие изменения в постановление Департамента энергетики и тарифов Ивановской области от </w:t>
      </w:r>
      <w:r w:rsidR="00B40D05" w:rsidRPr="00207370">
        <w:rPr>
          <w:bCs/>
          <w:sz w:val="24"/>
          <w:szCs w:val="24"/>
        </w:rPr>
        <w:t>22.11.2019</w:t>
      </w:r>
      <w:r w:rsidRPr="00207370">
        <w:rPr>
          <w:bCs/>
          <w:sz w:val="24"/>
          <w:szCs w:val="24"/>
        </w:rPr>
        <w:t xml:space="preserve"> № </w:t>
      </w:r>
      <w:r w:rsidR="00B40D05" w:rsidRPr="00207370">
        <w:rPr>
          <w:bCs/>
          <w:sz w:val="24"/>
          <w:szCs w:val="24"/>
        </w:rPr>
        <w:t>50</w:t>
      </w:r>
      <w:r w:rsidRPr="00207370">
        <w:rPr>
          <w:bCs/>
          <w:sz w:val="24"/>
          <w:szCs w:val="24"/>
        </w:rPr>
        <w:t>-э/</w:t>
      </w:r>
      <w:r w:rsidR="00B40D05" w:rsidRPr="00207370">
        <w:rPr>
          <w:bCs/>
          <w:sz w:val="24"/>
          <w:szCs w:val="24"/>
        </w:rPr>
        <w:t>1</w:t>
      </w:r>
      <w:r w:rsidRPr="00207370">
        <w:rPr>
          <w:bCs/>
          <w:sz w:val="24"/>
          <w:szCs w:val="24"/>
        </w:rPr>
        <w:t xml:space="preserve"> «</w:t>
      </w:r>
      <w:r w:rsidR="00B40D05" w:rsidRPr="00207370">
        <w:rPr>
          <w:bCs/>
          <w:sz w:val="24"/>
          <w:szCs w:val="24"/>
        </w:rPr>
        <w:t>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регулирования».</w:t>
      </w:r>
    </w:p>
    <w:p w:rsidR="005848AF" w:rsidRPr="00207370" w:rsidRDefault="005848AF" w:rsidP="005848AF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О</w:t>
      </w:r>
      <w:r w:rsidR="0004576E" w:rsidRPr="00207370">
        <w:rPr>
          <w:bCs/>
          <w:sz w:val="24"/>
          <w:szCs w:val="24"/>
        </w:rPr>
        <w:t>О</w:t>
      </w:r>
      <w:r w:rsidRPr="00207370">
        <w:rPr>
          <w:bCs/>
          <w:sz w:val="24"/>
          <w:szCs w:val="24"/>
        </w:rPr>
        <w:t>О «</w:t>
      </w:r>
      <w:r w:rsidR="0004576E" w:rsidRPr="00207370">
        <w:rPr>
          <w:bCs/>
          <w:sz w:val="24"/>
          <w:szCs w:val="24"/>
        </w:rPr>
        <w:t>Профессионал»</w:t>
      </w:r>
      <w:r w:rsidRPr="00207370">
        <w:rPr>
          <w:bCs/>
          <w:sz w:val="24"/>
          <w:szCs w:val="24"/>
        </w:rPr>
        <w:t xml:space="preserve"> письмом от 1</w:t>
      </w:r>
      <w:r w:rsidR="0004576E" w:rsidRPr="00207370">
        <w:rPr>
          <w:bCs/>
          <w:sz w:val="24"/>
          <w:szCs w:val="24"/>
        </w:rPr>
        <w:t>7</w:t>
      </w:r>
      <w:r w:rsidRPr="00207370">
        <w:rPr>
          <w:bCs/>
          <w:sz w:val="24"/>
          <w:szCs w:val="24"/>
        </w:rPr>
        <w:t>.1</w:t>
      </w:r>
      <w:r w:rsidR="0004576E" w:rsidRPr="00207370">
        <w:rPr>
          <w:bCs/>
          <w:sz w:val="24"/>
          <w:szCs w:val="24"/>
        </w:rPr>
        <w:t>1</w:t>
      </w:r>
      <w:r w:rsidRPr="00207370">
        <w:rPr>
          <w:bCs/>
          <w:sz w:val="24"/>
          <w:szCs w:val="24"/>
        </w:rPr>
        <w:t xml:space="preserve">.2022 № </w:t>
      </w:r>
      <w:r w:rsidR="0004576E" w:rsidRPr="00207370">
        <w:rPr>
          <w:bCs/>
          <w:sz w:val="24"/>
          <w:szCs w:val="24"/>
        </w:rPr>
        <w:t>5022-ДВ/1</w:t>
      </w:r>
      <w:r w:rsidRPr="00207370">
        <w:rPr>
          <w:bCs/>
          <w:sz w:val="24"/>
          <w:szCs w:val="24"/>
        </w:rPr>
        <w:t xml:space="preserve"> (прилагается к настоящему протоколу) согласовывает предлагаемую к утверждению корректировку НВВ, участвующую в расчете тарифов на услуги по передаче электрической энергии (мощности) на 2023 год.</w:t>
      </w:r>
    </w:p>
    <w:p w:rsidR="00B40D05" w:rsidRPr="00207370" w:rsidRDefault="00B40D05" w:rsidP="005848AF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Ассоциация «НП Совет рынка» в отношении ООО «Профессионал» голосует по данному вопросу «против», так как:</w:t>
      </w:r>
    </w:p>
    <w:p w:rsidR="00B40D05" w:rsidRPr="00207370" w:rsidRDefault="00B40D05" w:rsidP="00BB4C0C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207370">
        <w:rPr>
          <w:rFonts w:eastAsia="Calibri"/>
          <w:bCs/>
          <w:color w:val="000000"/>
          <w:sz w:val="24"/>
          <w:szCs w:val="24"/>
          <w:lang w:eastAsia="en-GB"/>
        </w:rPr>
        <w:t>в экспертном заключении отсутствуют: анализ источников приобретения</w:t>
      </w:r>
      <w:r w:rsidRPr="00207370">
        <w:rPr>
          <w:rFonts w:eastAsia="Calibri"/>
          <w:bCs/>
          <w:sz w:val="24"/>
          <w:szCs w:val="24"/>
          <w:lang w:eastAsia="en-GB"/>
        </w:rPr>
        <w:t xml:space="preserve"> основных средств; </w:t>
      </w:r>
      <w:r w:rsidRPr="00207370">
        <w:rPr>
          <w:rFonts w:eastAsia="Calibri"/>
          <w:sz w:val="24"/>
          <w:szCs w:val="24"/>
          <w:lang w:eastAsia="en-GB"/>
        </w:rPr>
        <w:t>информация о причинах изменения количества принятых УЕ на 2023 г. по отношению к 2022 г.;</w:t>
      </w:r>
      <w:r w:rsidRPr="00207370">
        <w:rPr>
          <w:rFonts w:eastAsia="Calibri"/>
          <w:bCs/>
          <w:sz w:val="24"/>
          <w:szCs w:val="24"/>
          <w:lang w:eastAsia="en-GB"/>
        </w:rPr>
        <w:t xml:space="preserve"> информация о том, что собственник объектов электросетевого хозяйства не является единственным потребителем услуг по передаче электрической энергии, оказываемых с использованием приобретенных основных средств</w:t>
      </w:r>
      <w:r w:rsidRPr="00207370">
        <w:rPr>
          <w:rFonts w:eastAsia="Calibri"/>
          <w:sz w:val="24"/>
          <w:szCs w:val="24"/>
          <w:lang w:eastAsia="en-GB"/>
        </w:rPr>
        <w:t>;</w:t>
      </w:r>
    </w:p>
    <w:p w:rsidR="00B40D05" w:rsidRPr="00207370" w:rsidRDefault="00B40D05" w:rsidP="00BB4C0C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bCs/>
          <w:sz w:val="24"/>
          <w:szCs w:val="24"/>
          <w:lang w:eastAsia="en-GB"/>
        </w:rPr>
      </w:pPr>
      <w:r w:rsidRPr="00207370">
        <w:rPr>
          <w:sz w:val="24"/>
          <w:szCs w:val="24"/>
        </w:rPr>
        <w:t xml:space="preserve">при расчете корректировки регулирующим органом используется ИПЦ на год </w:t>
      </w:r>
      <w:r w:rsidRPr="00207370">
        <w:rPr>
          <w:sz w:val="24"/>
          <w:szCs w:val="24"/>
          <w:lang w:val="en-US"/>
        </w:rPr>
        <w:t>i</w:t>
      </w:r>
      <w:r w:rsidRPr="00207370">
        <w:rPr>
          <w:sz w:val="24"/>
          <w:szCs w:val="24"/>
        </w:rPr>
        <w:t>-1 (на 2022 г.) в размере 13,9 %, а не на уровне ИПЦ определенного при утверждении тарифов на 2022 г. в размере 4,3</w:t>
      </w:r>
      <w:r w:rsidR="0051485B" w:rsidRPr="00207370">
        <w:rPr>
          <w:sz w:val="24"/>
          <w:szCs w:val="24"/>
        </w:rPr>
        <w:t xml:space="preserve"> %, как предусматривают МУ 98-э.</w:t>
      </w:r>
    </w:p>
    <w:p w:rsidR="00660713" w:rsidRPr="00207370" w:rsidRDefault="00660713" w:rsidP="00660713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Департамент отмечает следующее.</w:t>
      </w:r>
    </w:p>
    <w:p w:rsidR="00660713" w:rsidRPr="00207370" w:rsidRDefault="00660713" w:rsidP="00660713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При проведении экспертизы Департамент руководствовался актуальными на момент принятия решения индексами потребительских цен из прогноза социально-экономического развития Российской Федерации на 2023 год и плановый период 2024 и 2025 годов, разработанного Минэкономразвития России по состоянию от 28.09.2022, что, по мнению Департамента, не противоречит действующему законодательству, а также соответствует позиции ФАС России, изложенной в Решении от 4 мая 2022 г. №СП/44166/22.</w:t>
      </w:r>
    </w:p>
    <w:p w:rsidR="00BE3FB9" w:rsidRPr="00207370" w:rsidRDefault="00336EE7" w:rsidP="001A19A9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В экспертном заключении имеется информация о том, что ООО «Профессионал»</w:t>
      </w:r>
      <w:r w:rsidR="001779BA" w:rsidRPr="00207370">
        <w:rPr>
          <w:bCs/>
          <w:sz w:val="24"/>
          <w:szCs w:val="24"/>
        </w:rPr>
        <w:t xml:space="preserve"> (собственник объектов электросетевого хозяйства)</w:t>
      </w:r>
      <w:r w:rsidRPr="00207370">
        <w:rPr>
          <w:bCs/>
          <w:sz w:val="24"/>
          <w:szCs w:val="24"/>
        </w:rPr>
        <w:t xml:space="preserve"> осуществляет передачу электрической энергии как сторонним потребителям (субабонентам), так и для собственного потребления.</w:t>
      </w:r>
    </w:p>
    <w:p w:rsidR="00C0789E" w:rsidRPr="00207370" w:rsidRDefault="00C0789E" w:rsidP="001A19A9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Департамент также отмечает, что в материалы тарифного дела не представлены документы, определяющие источник финансирования расходов на покупку объектов электросетевого хозяйства</w:t>
      </w:r>
      <w:r w:rsidR="00EE1F80" w:rsidRPr="00207370">
        <w:rPr>
          <w:bCs/>
          <w:sz w:val="24"/>
          <w:szCs w:val="24"/>
        </w:rPr>
        <w:t>, в тарифных источниках данные средства не учитывались</w:t>
      </w:r>
      <w:r w:rsidRPr="00207370">
        <w:rPr>
          <w:bCs/>
          <w:sz w:val="24"/>
          <w:szCs w:val="24"/>
        </w:rPr>
        <w:t>.</w:t>
      </w:r>
    </w:p>
    <w:p w:rsidR="001A19A9" w:rsidRPr="00207370" w:rsidRDefault="004D31F2" w:rsidP="001A19A9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07370">
        <w:rPr>
          <w:bCs/>
          <w:sz w:val="24"/>
          <w:szCs w:val="24"/>
        </w:rPr>
        <w:t>В части замечаний об отсутствии в экспертном заключении ряда сведений, предусмотренных пунктом 23 Правил, Департамент отмечает, что в экспертном заключении соответствующая информация дополнена.</w:t>
      </w:r>
    </w:p>
    <w:p w:rsidR="00731DB4" w:rsidRPr="00334CE1" w:rsidRDefault="00731DB4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81EDC" w:rsidRPr="00207370" w:rsidRDefault="00381ED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07370">
        <w:rPr>
          <w:b/>
          <w:sz w:val="24"/>
          <w:szCs w:val="24"/>
        </w:rPr>
        <w:t>РЕШИЛИ:</w:t>
      </w:r>
    </w:p>
    <w:p w:rsidR="00381EDC" w:rsidRPr="00207370" w:rsidRDefault="00D6590F" w:rsidP="00381EDC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7370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</w:t>
      </w:r>
      <w:r w:rsidR="00642B49">
        <w:rPr>
          <w:sz w:val="24"/>
          <w:szCs w:val="24"/>
        </w:rPr>
        <w:t xml:space="preserve">ийской Федерации от 29.12.2011 </w:t>
      </w:r>
      <w:r w:rsidRPr="00207370">
        <w:rPr>
          <w:sz w:val="24"/>
          <w:szCs w:val="24"/>
        </w:rPr>
        <w:t xml:space="preserve">№ 1178 «О ценообразовании в области регулируемых цен (тарифов) в электроэнергетике», постановлением Правительства </w:t>
      </w:r>
      <w:r w:rsidRPr="00207370">
        <w:rPr>
          <w:sz w:val="24"/>
          <w:szCs w:val="24"/>
        </w:rPr>
        <w:lastRenderedPageBreak/>
        <w:t>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 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</w:t>
      </w:r>
      <w:r w:rsidR="00381EDC" w:rsidRPr="00207370">
        <w:rPr>
          <w:sz w:val="24"/>
          <w:szCs w:val="24"/>
        </w:rPr>
        <w:t>:</w:t>
      </w:r>
    </w:p>
    <w:p w:rsidR="00A45E93" w:rsidRPr="00207370" w:rsidRDefault="00A45E93" w:rsidP="00BB4C0C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07370">
        <w:rPr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</w:t>
      </w:r>
      <w:r w:rsidRPr="00207370">
        <w:rPr>
          <w:bCs/>
          <w:sz w:val="24"/>
          <w:szCs w:val="24"/>
        </w:rPr>
        <w:t>22.11.2019 № 50-э/1 «Об установлении необходимой валовой выручки и долгосрочных параметров регулирования для сетевых организаций Ивановской области на 2020-2024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Pr="00207370">
        <w:rPr>
          <w:sz w:val="24"/>
          <w:szCs w:val="24"/>
        </w:rPr>
        <w:t>, изложив приложение 2 к постановлению Департамента энергетики и тарифов Ивановской области от 22.11.2019 № 50-э/1 в новой редакции согласно Таблице:</w:t>
      </w:r>
    </w:p>
    <w:p w:rsidR="00731DB4" w:rsidRPr="00207370" w:rsidRDefault="00731DB4" w:rsidP="001A19A9">
      <w:pPr>
        <w:tabs>
          <w:tab w:val="left" w:pos="4020"/>
        </w:tabs>
        <w:ind w:firstLine="540"/>
        <w:jc w:val="right"/>
        <w:rPr>
          <w:sz w:val="24"/>
          <w:szCs w:val="24"/>
        </w:rPr>
      </w:pPr>
    </w:p>
    <w:p w:rsidR="001A19A9" w:rsidRPr="00207370" w:rsidRDefault="001A19A9" w:rsidP="001A19A9">
      <w:pPr>
        <w:tabs>
          <w:tab w:val="left" w:pos="4020"/>
        </w:tabs>
        <w:ind w:firstLine="540"/>
        <w:jc w:val="right"/>
        <w:rPr>
          <w:sz w:val="24"/>
          <w:szCs w:val="24"/>
          <w:highlight w:val="yellow"/>
        </w:rPr>
      </w:pPr>
      <w:r w:rsidRPr="00207370">
        <w:rPr>
          <w:sz w:val="24"/>
          <w:szCs w:val="24"/>
        </w:rPr>
        <w:t>Таблица</w:t>
      </w: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207370">
        <w:rPr>
          <w:sz w:val="24"/>
          <w:szCs w:val="24"/>
        </w:rPr>
        <w:t>НЕОБХОДИМАЯ ВАЛОВАЯ ВЫРУЧКА</w:t>
      </w: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207370">
        <w:rPr>
          <w:sz w:val="24"/>
          <w:szCs w:val="24"/>
        </w:rPr>
        <w:t>ДЛЯ СЕТЕВЫХ ОРГАНИЗАЦИЙ ИВАНОВСКОЙ ОБЛАСТИ</w:t>
      </w: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207370">
        <w:rPr>
          <w:sz w:val="24"/>
          <w:szCs w:val="24"/>
        </w:rPr>
        <w:t>НА ДОЛГОСРОЧНЫЙ ПЕРИОД РЕГУЛИРОВАНИЯ 2020 - 2024 ГОДЫ</w:t>
      </w: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207370">
        <w:rPr>
          <w:sz w:val="24"/>
          <w:szCs w:val="24"/>
        </w:rPr>
        <w:t>(БЕЗ УЧЕТА ОПЛАТЫ ПОТЕРЬ)</w:t>
      </w:r>
    </w:p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40"/>
        <w:gridCol w:w="4680"/>
        <w:gridCol w:w="1100"/>
        <w:gridCol w:w="3618"/>
      </w:tblGrid>
      <w:tr w:rsidR="001A19A9" w:rsidRPr="00207370" w:rsidTr="004C5509">
        <w:trPr>
          <w:trHeight w:val="61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 xml:space="preserve">№ </w:t>
            </w:r>
            <w:proofErr w:type="gramStart"/>
            <w:r w:rsidRPr="00207370">
              <w:rPr>
                <w:sz w:val="24"/>
                <w:szCs w:val="24"/>
              </w:rPr>
              <w:t>п</w:t>
            </w:r>
            <w:proofErr w:type="gramEnd"/>
            <w:r w:rsidRPr="00207370">
              <w:rPr>
                <w:sz w:val="24"/>
                <w:szCs w:val="24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Год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НВВ сетевых организаций без учета оплаты потерь</w:t>
            </w:r>
          </w:p>
        </w:tc>
      </w:tr>
      <w:tr w:rsidR="001A19A9" w:rsidRPr="00207370" w:rsidTr="004C5509">
        <w:trPr>
          <w:trHeight w:val="3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тыс. руб.</w:t>
            </w:r>
          </w:p>
        </w:tc>
      </w:tr>
      <w:tr w:rsidR="001A19A9" w:rsidRPr="00207370" w:rsidTr="004C5509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ООО «Профессионал»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2020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2 060,97</w:t>
            </w:r>
          </w:p>
        </w:tc>
      </w:tr>
      <w:tr w:rsidR="001A19A9" w:rsidRPr="00207370" w:rsidTr="004C550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2021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1 745,78</w:t>
            </w:r>
          </w:p>
        </w:tc>
      </w:tr>
      <w:tr w:rsidR="001A19A9" w:rsidRPr="00207370" w:rsidTr="004C5509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2022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1 139,50</w:t>
            </w:r>
          </w:p>
        </w:tc>
      </w:tr>
      <w:tr w:rsidR="001A19A9" w:rsidRPr="00207370" w:rsidTr="004C5509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2023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1 424,00</w:t>
            </w:r>
          </w:p>
        </w:tc>
      </w:tr>
      <w:tr w:rsidR="001A19A9" w:rsidRPr="00207370" w:rsidTr="004C5509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9" w:rsidRPr="00207370" w:rsidRDefault="001A19A9" w:rsidP="001A19A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9A9" w:rsidRPr="00207370" w:rsidRDefault="001A19A9" w:rsidP="001A19A9">
            <w:pPr>
              <w:widowControl/>
              <w:jc w:val="center"/>
              <w:rPr>
                <w:sz w:val="24"/>
                <w:szCs w:val="24"/>
              </w:rPr>
            </w:pPr>
            <w:r w:rsidRPr="00207370">
              <w:rPr>
                <w:sz w:val="24"/>
                <w:szCs w:val="24"/>
              </w:rPr>
              <w:t>1 226,27</w:t>
            </w:r>
          </w:p>
        </w:tc>
      </w:tr>
    </w:tbl>
    <w:p w:rsidR="001A19A9" w:rsidRPr="00207370" w:rsidRDefault="001A19A9" w:rsidP="001A19A9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A19A9" w:rsidRPr="00642B49" w:rsidRDefault="001A19A9" w:rsidP="001A19A9">
      <w:pPr>
        <w:tabs>
          <w:tab w:val="left" w:pos="4020"/>
        </w:tabs>
        <w:ind w:firstLine="540"/>
        <w:jc w:val="both"/>
        <w:rPr>
          <w:sz w:val="24"/>
          <w:szCs w:val="24"/>
        </w:rPr>
      </w:pPr>
      <w:r w:rsidRPr="00642B49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:rsidR="00731DB4" w:rsidRPr="00642B49" w:rsidRDefault="00731DB4" w:rsidP="001A19A9">
      <w:pPr>
        <w:tabs>
          <w:tab w:val="left" w:pos="4020"/>
        </w:tabs>
        <w:ind w:firstLine="540"/>
        <w:rPr>
          <w:sz w:val="24"/>
          <w:szCs w:val="24"/>
        </w:rPr>
      </w:pPr>
    </w:p>
    <w:p w:rsidR="001A19A9" w:rsidRPr="00642B49" w:rsidRDefault="001A19A9" w:rsidP="001A19A9">
      <w:pPr>
        <w:tabs>
          <w:tab w:val="left" w:pos="4020"/>
        </w:tabs>
        <w:ind w:firstLine="540"/>
        <w:rPr>
          <w:sz w:val="24"/>
          <w:szCs w:val="24"/>
        </w:rPr>
      </w:pPr>
      <w:r w:rsidRPr="00642B49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 xml:space="preserve">№ </w:t>
            </w:r>
            <w:proofErr w:type="gramStart"/>
            <w:r w:rsidRPr="00642B49">
              <w:rPr>
                <w:sz w:val="24"/>
                <w:szCs w:val="24"/>
              </w:rPr>
              <w:t>п</w:t>
            </w:r>
            <w:proofErr w:type="gramEnd"/>
            <w:r w:rsidRPr="00642B49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Результаты голосования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за</w:t>
            </w:r>
          </w:p>
        </w:tc>
      </w:tr>
      <w:tr w:rsidR="001A19A9" w:rsidRPr="00642B49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9" w:rsidRPr="00642B49" w:rsidRDefault="001A19A9" w:rsidP="001A19A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642B49">
              <w:rPr>
                <w:sz w:val="24"/>
                <w:szCs w:val="24"/>
              </w:rPr>
              <w:t>против</w:t>
            </w:r>
          </w:p>
        </w:tc>
      </w:tr>
    </w:tbl>
    <w:p w:rsidR="001A19A9" w:rsidRPr="00642B49" w:rsidRDefault="001A19A9" w:rsidP="001A19A9">
      <w:pPr>
        <w:tabs>
          <w:tab w:val="left" w:pos="4020"/>
        </w:tabs>
        <w:ind w:firstLine="540"/>
        <w:rPr>
          <w:sz w:val="24"/>
          <w:szCs w:val="24"/>
        </w:rPr>
      </w:pPr>
      <w:r w:rsidRPr="00642B49">
        <w:rPr>
          <w:sz w:val="24"/>
          <w:szCs w:val="24"/>
        </w:rPr>
        <w:t>Итого: за – 7, против – 1, воздержался – 0, отсутствуют – 0.</w:t>
      </w:r>
    </w:p>
    <w:p w:rsidR="003D339B" w:rsidRPr="00642B49" w:rsidRDefault="003D339B" w:rsidP="00381EDC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sz w:val="24"/>
          <w:szCs w:val="24"/>
          <w:highlight w:val="yellow"/>
        </w:rPr>
      </w:pPr>
    </w:p>
    <w:p w:rsidR="003D339B" w:rsidRDefault="003D339B" w:rsidP="003D339B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4"/>
          <w:szCs w:val="24"/>
          <w:highlight w:val="yellow"/>
          <w:lang w:val="en-US"/>
        </w:rPr>
      </w:pPr>
    </w:p>
    <w:p w:rsidR="00642B49" w:rsidRPr="00642B49" w:rsidRDefault="00642B49" w:rsidP="003D339B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4"/>
          <w:szCs w:val="24"/>
          <w:highlight w:val="yellow"/>
          <w:lang w:val="en-US"/>
        </w:rPr>
      </w:pPr>
    </w:p>
    <w:p w:rsidR="0069698E" w:rsidRPr="004C5509" w:rsidRDefault="00E61B1D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II</w:t>
      </w:r>
      <w:r w:rsidRPr="00E61B1D">
        <w:rPr>
          <w:b/>
          <w:bCs/>
          <w:sz w:val="24"/>
          <w:szCs w:val="24"/>
        </w:rPr>
        <w:t xml:space="preserve">. </w:t>
      </w:r>
      <w:r w:rsidR="004C3F09" w:rsidRPr="004C5509">
        <w:rPr>
          <w:b/>
          <w:bCs/>
          <w:sz w:val="24"/>
          <w:szCs w:val="24"/>
        </w:rPr>
        <w:t xml:space="preserve">СЛУШАЛИ: </w:t>
      </w:r>
      <w:r w:rsidR="00A23C58" w:rsidRPr="004C5509">
        <w:rPr>
          <w:b/>
          <w:bCs/>
          <w:sz w:val="24"/>
          <w:szCs w:val="24"/>
        </w:rPr>
        <w:tab/>
      </w:r>
      <w:r w:rsidR="001A19A9" w:rsidRPr="004C5509">
        <w:rPr>
          <w:b/>
          <w:bCs/>
          <w:sz w:val="24"/>
          <w:szCs w:val="24"/>
        </w:rPr>
        <w:t>О тарифах на электрическую энергию для населения и приравненных к нему категорий потребителей по Ивановской области</w:t>
      </w:r>
      <w:r w:rsidR="00642B49" w:rsidRPr="00642B49">
        <w:rPr>
          <w:b/>
          <w:bCs/>
          <w:sz w:val="24"/>
          <w:szCs w:val="24"/>
        </w:rPr>
        <w:t xml:space="preserve"> (</w:t>
      </w:r>
      <w:r w:rsidR="00642B49">
        <w:rPr>
          <w:b/>
          <w:bCs/>
          <w:sz w:val="24"/>
          <w:szCs w:val="24"/>
        </w:rPr>
        <w:t>Морева, Коннова)</w:t>
      </w:r>
      <w:r w:rsidR="0069698E" w:rsidRPr="004C5509">
        <w:rPr>
          <w:b/>
          <w:bCs/>
          <w:sz w:val="24"/>
          <w:szCs w:val="24"/>
        </w:rPr>
        <w:t>.</w:t>
      </w:r>
    </w:p>
    <w:p w:rsidR="00334CE1" w:rsidRPr="00334CE1" w:rsidRDefault="00334CE1" w:rsidP="00334CE1">
      <w:pPr>
        <w:ind w:firstLine="567"/>
        <w:jc w:val="both"/>
        <w:rPr>
          <w:sz w:val="24"/>
          <w:szCs w:val="24"/>
        </w:rPr>
      </w:pPr>
      <w:r w:rsidRPr="00334CE1">
        <w:rPr>
          <w:sz w:val="24"/>
          <w:szCs w:val="24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приказом ФАС России от 11.10.2022 № 733/22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2023 год»,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 412/22,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формой решения органа исполнительной власти субъекта Российской Федерации в области государственного регулирования тарифов, утвержденными приказом ФАС России от 10.03.2022 № 196/22, Департамент произвел расчет тарифов на электрическую энергию для населения и приравненных к нему категорий потребителей по Ивановской области </w:t>
      </w:r>
      <w:r>
        <w:rPr>
          <w:sz w:val="24"/>
          <w:szCs w:val="24"/>
        </w:rPr>
        <w:t xml:space="preserve">с 1 декабря 2022 года и </w:t>
      </w:r>
      <w:r w:rsidRPr="00334CE1">
        <w:rPr>
          <w:sz w:val="24"/>
          <w:szCs w:val="24"/>
        </w:rPr>
        <w:t>на 2023 год.</w:t>
      </w:r>
    </w:p>
    <w:p w:rsidR="00334CE1" w:rsidRPr="00334CE1" w:rsidRDefault="00334CE1" w:rsidP="00334CE1">
      <w:pPr>
        <w:ind w:firstLine="567"/>
        <w:jc w:val="both"/>
        <w:rPr>
          <w:sz w:val="24"/>
          <w:szCs w:val="24"/>
        </w:rPr>
      </w:pPr>
      <w:r w:rsidRPr="00334CE1">
        <w:rPr>
          <w:sz w:val="24"/>
          <w:szCs w:val="24"/>
        </w:rPr>
        <w:t>В настоящее время с учетом региональных особенностей, социальных и экономических факторов, сложившихся в Ивановской области, соответствующее решение об установлении социальной нормы потребления электрической энергии (мощности) в Ивановской области не принято. Тарифы с 1 декабря 2022 года и на 2023 год рассчитаны без учета дифференциации по объемам потребления электрической энергии (мощности).</w:t>
      </w:r>
    </w:p>
    <w:p w:rsidR="00334CE1" w:rsidRPr="00334CE1" w:rsidRDefault="00334CE1" w:rsidP="00334CE1">
      <w:pPr>
        <w:ind w:firstLine="567"/>
        <w:jc w:val="both"/>
        <w:rPr>
          <w:sz w:val="24"/>
          <w:szCs w:val="24"/>
        </w:rPr>
      </w:pPr>
      <w:r w:rsidRPr="00334CE1">
        <w:rPr>
          <w:sz w:val="24"/>
          <w:szCs w:val="24"/>
        </w:rPr>
        <w:t xml:space="preserve">Учитывая заданное на федеральном уровне на 2023 год ограничение роста одноставочных тарифов на электроэнергию для населения, а также сложившийся ряд проблем в тарифном регулировании электросетевого комплекса, без пересмотра Правительством </w:t>
      </w:r>
      <w:proofErr w:type="gramStart"/>
      <w:r w:rsidRPr="00334CE1">
        <w:rPr>
          <w:sz w:val="24"/>
          <w:szCs w:val="24"/>
        </w:rPr>
        <w:t>РФ</w:t>
      </w:r>
      <w:proofErr w:type="gramEnd"/>
      <w:r w:rsidRPr="00334CE1">
        <w:rPr>
          <w:sz w:val="24"/>
          <w:szCs w:val="24"/>
        </w:rPr>
        <w:t xml:space="preserve"> в сторону увеличения установленной для Ивановской области предельной величины перекрестного субсидирования населения возможность введения с 1 декабря 2022 года и на 2023 год каких-либо понижающих коэффициентов к тарифам на электроэнергию для приравненных к населению категорий потребителей (за исключением уже введенных на 2020 год понижающих коэффициентов для СНТ), по мнению Департамента, отсутствует.</w:t>
      </w:r>
    </w:p>
    <w:p w:rsidR="00642B49" w:rsidRPr="00642B49" w:rsidRDefault="00334CE1" w:rsidP="00334CE1">
      <w:pPr>
        <w:ind w:firstLine="567"/>
        <w:jc w:val="both"/>
        <w:rPr>
          <w:sz w:val="24"/>
          <w:szCs w:val="24"/>
          <w:highlight w:val="yellow"/>
        </w:rPr>
      </w:pPr>
      <w:r w:rsidRPr="00334CE1">
        <w:rPr>
          <w:sz w:val="24"/>
          <w:szCs w:val="24"/>
        </w:rPr>
        <w:t xml:space="preserve">Также, с </w:t>
      </w:r>
      <w:proofErr w:type="gramStart"/>
      <w:r w:rsidRPr="00334CE1">
        <w:rPr>
          <w:sz w:val="24"/>
          <w:szCs w:val="24"/>
        </w:rPr>
        <w:t>учетом</w:t>
      </w:r>
      <w:proofErr w:type="gramEnd"/>
      <w:r w:rsidRPr="00334CE1">
        <w:rPr>
          <w:sz w:val="24"/>
          <w:szCs w:val="24"/>
        </w:rPr>
        <w:t xml:space="preserve"> установленных на федеральном уровне ограничений по индексу изменения размера вносимой гражданами платы за коммунальные услуги на 2023 год, прирост тарифов на электрическую энергию для населения и приравненных к нему категорий потребителей в ночной зоне составит до 11% с 1 декабря 2022 года. При этом размер вышеуказанных тарифов сохранился в установленном Методическими указаниями диапазоне 0,6 - 0,8 от одноставочных тарифов.</w:t>
      </w:r>
    </w:p>
    <w:p w:rsidR="004C5509" w:rsidRPr="00CE1105" w:rsidRDefault="004C5509" w:rsidP="004C550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E1105">
        <w:rPr>
          <w:sz w:val="24"/>
          <w:szCs w:val="24"/>
        </w:rPr>
        <w:t xml:space="preserve">Тарифы, дифференцированные по зонам суток, устанавливаются в соответствии с пунктом 70 Основ ценообразования в области регулирования цен (тарифов) в электроэнергетике (далее – Основы ценообразования), утвержденных постановлением Правительства Российской Федерации от 29.12.2011 № 1178, </w:t>
      </w:r>
      <w:r w:rsidR="00CE1105" w:rsidRPr="00CE1105">
        <w:rPr>
          <w:sz w:val="24"/>
          <w:szCs w:val="24"/>
        </w:rPr>
        <w:t>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 412/22</w:t>
      </w:r>
      <w:r w:rsidRPr="00CE1105">
        <w:rPr>
          <w:sz w:val="24"/>
          <w:szCs w:val="24"/>
        </w:rPr>
        <w:t>, и могут иметь величину, отличную от установленных предельных уровней тарифов, как в большую, так и в меньшую сторону.</w:t>
      </w:r>
    </w:p>
    <w:p w:rsidR="004C5509" w:rsidRPr="00485DEF" w:rsidRDefault="004C5509" w:rsidP="004C550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485DEF">
        <w:rPr>
          <w:sz w:val="24"/>
          <w:szCs w:val="24"/>
        </w:rPr>
        <w:t xml:space="preserve">Примененные при расчете цен (тарифов) на электрическую энергию (мощность) </w:t>
      </w:r>
      <w:r w:rsidR="00485DEF" w:rsidRPr="00485DEF">
        <w:rPr>
          <w:sz w:val="24"/>
          <w:szCs w:val="24"/>
        </w:rPr>
        <w:t xml:space="preserve">с 1 декабря 2022 года и на 2023 год </w:t>
      </w:r>
      <w:r w:rsidRPr="00485DEF">
        <w:rPr>
          <w:sz w:val="24"/>
          <w:szCs w:val="24"/>
        </w:rPr>
        <w:t>понижающие коэффициенты приведены в Таблице 1:</w:t>
      </w:r>
    </w:p>
    <w:p w:rsidR="004C5509" w:rsidRPr="00485DEF" w:rsidRDefault="004C5509" w:rsidP="004C5509">
      <w:pPr>
        <w:tabs>
          <w:tab w:val="left" w:pos="851"/>
        </w:tabs>
        <w:ind w:firstLine="567"/>
        <w:jc w:val="right"/>
        <w:rPr>
          <w:sz w:val="24"/>
          <w:szCs w:val="24"/>
        </w:rPr>
      </w:pPr>
      <w:r w:rsidRPr="00485DEF">
        <w:rPr>
          <w:sz w:val="24"/>
          <w:szCs w:val="24"/>
        </w:rPr>
        <w:t>Таблица 1</w:t>
      </w:r>
    </w:p>
    <w:p w:rsidR="004C5509" w:rsidRPr="00485DEF" w:rsidRDefault="004C5509" w:rsidP="004C5509">
      <w:pPr>
        <w:tabs>
          <w:tab w:val="left" w:pos="4020"/>
        </w:tabs>
        <w:ind w:firstLine="540"/>
        <w:rPr>
          <w:b/>
          <w:sz w:val="24"/>
          <w:szCs w:val="24"/>
        </w:rPr>
      </w:pPr>
    </w:p>
    <w:p w:rsidR="004C5509" w:rsidRPr="00485DEF" w:rsidRDefault="004C5509" w:rsidP="004C5509">
      <w:pPr>
        <w:tabs>
          <w:tab w:val="left" w:pos="4020"/>
        </w:tabs>
        <w:ind w:firstLine="540"/>
        <w:rPr>
          <w:b/>
          <w:sz w:val="24"/>
          <w:szCs w:val="24"/>
        </w:rPr>
      </w:pPr>
    </w:p>
    <w:p w:rsidR="004C5509" w:rsidRPr="004C5509" w:rsidRDefault="00B264FE" w:rsidP="004C5509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</w:pPr>
      <w:r w:rsidRPr="00B264FE">
        <w:lastRenderedPageBreak/>
        <w:drawing>
          <wp:inline distT="0" distB="0" distL="0" distR="0" wp14:anchorId="1FB3C3AC" wp14:editId="4E665322">
            <wp:extent cx="5874589" cy="91871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26" cy="91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4C5509" w:rsidRDefault="004C5509" w:rsidP="004C5509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</w:pPr>
    </w:p>
    <w:p w:rsidR="004C5509" w:rsidRPr="004C5509" w:rsidRDefault="00D33667" w:rsidP="004C5509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</w:pPr>
      <w:r w:rsidRPr="00D33667">
        <w:lastRenderedPageBreak/>
        <w:drawing>
          <wp:inline distT="0" distB="0" distL="0" distR="0" wp14:anchorId="1A1655A3" wp14:editId="65E005CF">
            <wp:extent cx="6185140" cy="9152627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82" cy="91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4C5509" w:rsidRDefault="004C5509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4C5509" w:rsidRPr="00270012" w:rsidRDefault="004C5509" w:rsidP="004C5509">
      <w:pPr>
        <w:ind w:firstLine="567"/>
        <w:jc w:val="both"/>
        <w:rPr>
          <w:sz w:val="24"/>
          <w:szCs w:val="24"/>
        </w:rPr>
      </w:pPr>
      <w:r w:rsidRPr="00270012">
        <w:rPr>
          <w:sz w:val="24"/>
          <w:szCs w:val="24"/>
        </w:rPr>
        <w:lastRenderedPageBreak/>
        <w:t xml:space="preserve">На основании вышеизложенного, Департамент предлагает установить тарифы на электрическую энергию для населения и приравненных к нему категорий потребителей </w:t>
      </w:r>
      <w:r w:rsidR="00270012" w:rsidRPr="00270012">
        <w:rPr>
          <w:sz w:val="24"/>
          <w:szCs w:val="24"/>
        </w:rPr>
        <w:t xml:space="preserve">с 1 декабря 2022 года и на 2023 год </w:t>
      </w:r>
      <w:r w:rsidRPr="00270012">
        <w:rPr>
          <w:sz w:val="24"/>
          <w:szCs w:val="24"/>
        </w:rPr>
        <w:t>с ростом к действующим по состоянию на 30.</w:t>
      </w:r>
      <w:r w:rsidR="00270012" w:rsidRPr="00270012">
        <w:rPr>
          <w:sz w:val="24"/>
          <w:szCs w:val="24"/>
        </w:rPr>
        <w:t>11</w:t>
      </w:r>
      <w:r w:rsidRPr="00270012">
        <w:rPr>
          <w:sz w:val="24"/>
          <w:szCs w:val="24"/>
        </w:rPr>
        <w:t>.2022 г. согласно Таблице 2:</w:t>
      </w:r>
    </w:p>
    <w:p w:rsidR="004C5509" w:rsidRPr="00270012" w:rsidRDefault="00C24A70" w:rsidP="004C5509">
      <w:pPr>
        <w:tabs>
          <w:tab w:val="left" w:pos="4020"/>
        </w:tabs>
        <w:rPr>
          <w:b/>
          <w:noProof/>
          <w:sz w:val="24"/>
          <w:szCs w:val="24"/>
          <w:highlight w:val="yellow"/>
        </w:rPr>
      </w:pPr>
      <w:r w:rsidRPr="00C24A70">
        <w:drawing>
          <wp:inline distT="0" distB="0" distL="0" distR="0" wp14:anchorId="2F3F4F6D" wp14:editId="2AD6D15B">
            <wp:extent cx="6512943" cy="880757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301" cy="882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CD38D7" w:rsidRDefault="004C5509" w:rsidP="004C550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D38D7">
        <w:rPr>
          <w:sz w:val="24"/>
          <w:szCs w:val="24"/>
        </w:rPr>
        <w:lastRenderedPageBreak/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приравненных к нему категорий потребителей по Ивановской области, указаны в Таблице 3:</w:t>
      </w:r>
    </w:p>
    <w:p w:rsidR="004C5509" w:rsidRPr="004C5509" w:rsidRDefault="00EA18AE" w:rsidP="004C5509">
      <w:pPr>
        <w:tabs>
          <w:tab w:val="left" w:pos="851"/>
        </w:tabs>
        <w:ind w:firstLine="567"/>
        <w:jc w:val="both"/>
        <w:rPr>
          <w:sz w:val="24"/>
          <w:szCs w:val="24"/>
          <w:highlight w:val="yellow"/>
        </w:rPr>
      </w:pPr>
      <w:r w:rsidRPr="00EA18AE">
        <w:drawing>
          <wp:inline distT="0" distB="0" distL="0" distR="0" wp14:anchorId="696F0A31" wp14:editId="63E6E805">
            <wp:extent cx="6012612" cy="8849632"/>
            <wp:effectExtent l="0" t="0" r="762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92" cy="885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4C5509" w:rsidRDefault="00484052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484052">
        <w:lastRenderedPageBreak/>
        <w:drawing>
          <wp:inline distT="0" distB="0" distL="0" distR="0" wp14:anchorId="2D85960E" wp14:editId="78DA6F93">
            <wp:extent cx="6443932" cy="958394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679" cy="959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4C5509" w:rsidRDefault="00484052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484052">
        <w:lastRenderedPageBreak/>
        <w:drawing>
          <wp:inline distT="0" distB="0" distL="0" distR="0" wp14:anchorId="39CFDBE7" wp14:editId="7634099A">
            <wp:extent cx="6469811" cy="2173857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78" cy="217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88664F" w:rsidRDefault="004C5509" w:rsidP="004C5509">
      <w:pPr>
        <w:tabs>
          <w:tab w:val="left" w:pos="4020"/>
        </w:tabs>
        <w:ind w:firstLine="540"/>
        <w:rPr>
          <w:b/>
          <w:sz w:val="24"/>
          <w:szCs w:val="24"/>
        </w:rPr>
      </w:pPr>
    </w:p>
    <w:p w:rsidR="0088664F" w:rsidRPr="0088664F" w:rsidRDefault="004C5509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8664F">
        <w:rPr>
          <w:sz w:val="24"/>
          <w:szCs w:val="24"/>
        </w:rPr>
        <w:t>Ассоциация «НП Совет рынка» голосует по данному вопросу «</w:t>
      </w:r>
      <w:r w:rsidR="0088664F">
        <w:rPr>
          <w:sz w:val="24"/>
          <w:szCs w:val="24"/>
        </w:rPr>
        <w:t>воздержался</w:t>
      </w:r>
      <w:r w:rsidRPr="0088664F">
        <w:rPr>
          <w:sz w:val="24"/>
          <w:szCs w:val="24"/>
        </w:rPr>
        <w:t>»</w:t>
      </w:r>
      <w:r w:rsidR="0088664F">
        <w:rPr>
          <w:sz w:val="24"/>
          <w:szCs w:val="24"/>
        </w:rPr>
        <w:t>,</w:t>
      </w:r>
      <w:r w:rsidR="0088664F" w:rsidRPr="0088664F">
        <w:t xml:space="preserve"> </w:t>
      </w:r>
      <w:r w:rsidR="0088664F" w:rsidRPr="0088664F">
        <w:rPr>
          <w:sz w:val="24"/>
          <w:szCs w:val="24"/>
        </w:rPr>
        <w:t>так как:</w:t>
      </w:r>
    </w:p>
    <w:p w:rsidR="0088664F" w:rsidRPr="0088664F" w:rsidRDefault="0088664F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8664F">
        <w:rPr>
          <w:sz w:val="24"/>
          <w:szCs w:val="24"/>
        </w:rPr>
        <w:t></w:t>
      </w:r>
      <w:r w:rsidRPr="0088664F">
        <w:rPr>
          <w:sz w:val="24"/>
          <w:szCs w:val="24"/>
        </w:rPr>
        <w:tab/>
        <w:t>по состоянию на 15:00 по мск</w:t>
      </w:r>
      <w:r w:rsidR="001C7D3C">
        <w:rPr>
          <w:sz w:val="24"/>
          <w:szCs w:val="24"/>
        </w:rPr>
        <w:t>.</w:t>
      </w:r>
      <w:r w:rsidRPr="0088664F">
        <w:rPr>
          <w:sz w:val="24"/>
          <w:szCs w:val="24"/>
        </w:rPr>
        <w:t xml:space="preserve"> 16.11.2022 отсутствует официально опубликованный приказ ФАС России об установлении предельных уровней тарифов для населения;</w:t>
      </w:r>
    </w:p>
    <w:p w:rsidR="004C5509" w:rsidRDefault="0088664F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8664F">
        <w:rPr>
          <w:sz w:val="24"/>
          <w:szCs w:val="24"/>
        </w:rPr>
        <w:t></w:t>
      </w:r>
      <w:r w:rsidRPr="0088664F">
        <w:rPr>
          <w:sz w:val="24"/>
          <w:szCs w:val="24"/>
        </w:rPr>
        <w:tab/>
        <w:t>в экспертном заключение не отражены данные о принятых объемах полезного отпуска электроэнергии в разрезе групп потребителей по зонам суток.</w:t>
      </w:r>
    </w:p>
    <w:p w:rsidR="0088664F" w:rsidRDefault="0088664F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по данным замечаниям считает необходимым отметить следующее.</w:t>
      </w:r>
    </w:p>
    <w:p w:rsidR="0088664F" w:rsidRDefault="001C7D3C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C7D3C">
        <w:rPr>
          <w:sz w:val="24"/>
          <w:szCs w:val="24"/>
        </w:rPr>
        <w:t>редельны</w:t>
      </w:r>
      <w:r>
        <w:rPr>
          <w:sz w:val="24"/>
          <w:szCs w:val="24"/>
        </w:rPr>
        <w:t>е</w:t>
      </w:r>
      <w:r w:rsidRPr="001C7D3C">
        <w:rPr>
          <w:sz w:val="24"/>
          <w:szCs w:val="24"/>
        </w:rPr>
        <w:t xml:space="preserve"> уровн</w:t>
      </w:r>
      <w:r>
        <w:rPr>
          <w:sz w:val="24"/>
          <w:szCs w:val="24"/>
        </w:rPr>
        <w:t>и</w:t>
      </w:r>
      <w:r w:rsidRPr="001C7D3C">
        <w:rPr>
          <w:sz w:val="24"/>
          <w:szCs w:val="24"/>
        </w:rPr>
        <w:t xml:space="preserve"> тарифов для населения </w:t>
      </w:r>
      <w:r>
        <w:rPr>
          <w:sz w:val="24"/>
          <w:szCs w:val="24"/>
        </w:rPr>
        <w:t xml:space="preserve">по Ивановской области утверждены </w:t>
      </w:r>
      <w:r w:rsidRPr="001C7D3C">
        <w:rPr>
          <w:sz w:val="24"/>
          <w:szCs w:val="24"/>
        </w:rPr>
        <w:t>приказом ФАС России от 11.10.2022 № 733/22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2023 год»</w:t>
      </w:r>
      <w:r>
        <w:rPr>
          <w:sz w:val="24"/>
          <w:szCs w:val="24"/>
        </w:rPr>
        <w:t>.</w:t>
      </w:r>
    </w:p>
    <w:p w:rsidR="001C7D3C" w:rsidRDefault="001C7D3C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положений постановления </w:t>
      </w:r>
      <w:r w:rsidRPr="001C7D3C">
        <w:rPr>
          <w:sz w:val="24"/>
          <w:szCs w:val="24"/>
        </w:rPr>
        <w:t>Правительства Российской Федерации от 14.11.2022 № 2053</w:t>
      </w:r>
      <w:r>
        <w:rPr>
          <w:sz w:val="24"/>
          <w:szCs w:val="24"/>
        </w:rPr>
        <w:t xml:space="preserve"> данные предельные тарифы распространяют свое действие с 1 декабря 2022 года.</w:t>
      </w:r>
    </w:p>
    <w:p w:rsidR="00315042" w:rsidRDefault="001C7D3C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D3C">
        <w:rPr>
          <w:sz w:val="24"/>
          <w:szCs w:val="24"/>
        </w:rPr>
        <w:t>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№ 412/22</w:t>
      </w:r>
      <w:r>
        <w:rPr>
          <w:sz w:val="24"/>
          <w:szCs w:val="24"/>
        </w:rPr>
        <w:t xml:space="preserve">, дифференцированные по зонам суток тарифы для населения и приравненных к нему категорий потребителей рассчитываются исходя из планового соотношения объемов полезного отпуска электроэнергии по зонам суток </w:t>
      </w:r>
      <w:r w:rsidR="00315042">
        <w:rPr>
          <w:sz w:val="24"/>
          <w:szCs w:val="24"/>
        </w:rPr>
        <w:t xml:space="preserve">в отношении населения, проживающего в городских населенных пунктах. Вышеуказанные объемы отражены в соответствующих расчетах, направленных в адрес </w:t>
      </w:r>
      <w:r w:rsidR="00315042" w:rsidRPr="00315042">
        <w:rPr>
          <w:sz w:val="24"/>
          <w:szCs w:val="24"/>
        </w:rPr>
        <w:t>Ассоциация «НП Совет рынка»</w:t>
      </w:r>
      <w:r w:rsidR="00315042">
        <w:rPr>
          <w:sz w:val="24"/>
          <w:szCs w:val="24"/>
        </w:rPr>
        <w:t>.</w:t>
      </w:r>
    </w:p>
    <w:p w:rsidR="001C7D3C" w:rsidRPr="0088664F" w:rsidRDefault="001C7D3C" w:rsidP="0088664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C5509" w:rsidRPr="0088664F" w:rsidRDefault="004C5509" w:rsidP="004C5509">
      <w:pPr>
        <w:ind w:firstLine="567"/>
        <w:jc w:val="both"/>
        <w:rPr>
          <w:b/>
          <w:bCs/>
          <w:sz w:val="24"/>
          <w:szCs w:val="24"/>
        </w:rPr>
      </w:pPr>
      <w:r w:rsidRPr="0088664F">
        <w:rPr>
          <w:b/>
          <w:bCs/>
          <w:sz w:val="24"/>
          <w:szCs w:val="24"/>
        </w:rPr>
        <w:t>РЕШИЛИ:</w:t>
      </w:r>
    </w:p>
    <w:p w:rsidR="004C5509" w:rsidRPr="001802E5" w:rsidRDefault="001802E5" w:rsidP="004C5509">
      <w:pPr>
        <w:ind w:firstLine="567"/>
        <w:jc w:val="both"/>
        <w:rPr>
          <w:bCs/>
          <w:sz w:val="24"/>
          <w:szCs w:val="24"/>
        </w:rPr>
      </w:pPr>
      <w:proofErr w:type="gramStart"/>
      <w:r w:rsidRPr="001802E5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приказом</w:t>
      </w:r>
      <w:proofErr w:type="gramEnd"/>
      <w:r w:rsidRPr="001802E5">
        <w:rPr>
          <w:bCs/>
          <w:sz w:val="24"/>
          <w:szCs w:val="24"/>
        </w:rPr>
        <w:t xml:space="preserve"> </w:t>
      </w:r>
      <w:proofErr w:type="gramStart"/>
      <w:r w:rsidRPr="001802E5">
        <w:rPr>
          <w:bCs/>
          <w:sz w:val="24"/>
          <w:szCs w:val="24"/>
        </w:rPr>
        <w:t>ФАС России от 11.10.2022 № 733/22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2023 год»,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</w:t>
      </w:r>
      <w:proofErr w:type="gramEnd"/>
      <w:r w:rsidRPr="001802E5">
        <w:rPr>
          <w:bCs/>
          <w:sz w:val="24"/>
          <w:szCs w:val="24"/>
        </w:rPr>
        <w:t xml:space="preserve"> </w:t>
      </w:r>
      <w:proofErr w:type="gramStart"/>
      <w:r w:rsidRPr="001802E5">
        <w:rPr>
          <w:bCs/>
          <w:sz w:val="24"/>
          <w:szCs w:val="24"/>
        </w:rPr>
        <w:t>к нему категориям потребителей, утвержденными приказом ФАС России от 27.05.2022 № 412/22, Регламентом установления цен (тарифов) и (или) их предельных уровней, предусматривающим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формой решения органа исполнительной власти субъекта Российской Федерации в области государственного регулирования тарифов, утвержденными приказом ФАС России</w:t>
      </w:r>
      <w:proofErr w:type="gramEnd"/>
      <w:r w:rsidRPr="001802E5">
        <w:rPr>
          <w:bCs/>
          <w:sz w:val="24"/>
          <w:szCs w:val="24"/>
        </w:rPr>
        <w:t xml:space="preserve"> от 10.03.2022 № 196/22</w:t>
      </w:r>
      <w:r w:rsidR="004C5509" w:rsidRPr="001802E5">
        <w:rPr>
          <w:bCs/>
          <w:sz w:val="24"/>
          <w:szCs w:val="24"/>
        </w:rPr>
        <w:t>:</w:t>
      </w:r>
    </w:p>
    <w:p w:rsidR="004C5509" w:rsidRPr="007F5E2A" w:rsidRDefault="007F5E2A" w:rsidP="007F5E2A">
      <w:pPr>
        <w:ind w:firstLine="567"/>
        <w:contextualSpacing/>
        <w:jc w:val="both"/>
        <w:rPr>
          <w:bCs/>
          <w:sz w:val="24"/>
          <w:szCs w:val="24"/>
        </w:rPr>
      </w:pPr>
      <w:r w:rsidRPr="007F5E2A">
        <w:rPr>
          <w:bCs/>
          <w:sz w:val="24"/>
          <w:szCs w:val="24"/>
        </w:rPr>
        <w:t xml:space="preserve">1. Установить с 01.12.2022 по 31.12.2023 тарифы на электрическую энергию, отпускаемую </w:t>
      </w:r>
      <w:r w:rsidRPr="007F5E2A">
        <w:rPr>
          <w:bCs/>
          <w:sz w:val="24"/>
          <w:szCs w:val="24"/>
        </w:rPr>
        <w:lastRenderedPageBreak/>
        <w:t xml:space="preserve">гарантирующими поставщиками, энергосбытовыми и энергоснабжающими организациями населению и приравненным к нему категориям потребителей, по Ивановской области согласно </w:t>
      </w:r>
      <w:r w:rsidR="004C5509" w:rsidRPr="007F5E2A">
        <w:rPr>
          <w:bCs/>
          <w:sz w:val="24"/>
          <w:szCs w:val="24"/>
        </w:rPr>
        <w:t>Таблице.</w:t>
      </w:r>
    </w:p>
    <w:p w:rsidR="004C5509" w:rsidRPr="00B174A4" w:rsidRDefault="004C5509" w:rsidP="004C5509">
      <w:pPr>
        <w:contextualSpacing/>
        <w:jc w:val="right"/>
        <w:rPr>
          <w:bCs/>
          <w:sz w:val="24"/>
          <w:szCs w:val="24"/>
        </w:rPr>
      </w:pPr>
      <w:r w:rsidRPr="00B174A4">
        <w:rPr>
          <w:bCs/>
          <w:sz w:val="24"/>
          <w:szCs w:val="24"/>
        </w:rPr>
        <w:t>Таблица</w:t>
      </w:r>
    </w:p>
    <w:p w:rsidR="004C5509" w:rsidRPr="00B174A4" w:rsidRDefault="004C5509" w:rsidP="004C5509">
      <w:pPr>
        <w:contextualSpacing/>
        <w:jc w:val="right"/>
        <w:rPr>
          <w:bCs/>
          <w:sz w:val="24"/>
          <w:szCs w:val="24"/>
        </w:rPr>
      </w:pPr>
    </w:p>
    <w:p w:rsidR="00A110DC" w:rsidRPr="00A110DC" w:rsidRDefault="00A110DC" w:rsidP="00A110DC">
      <w:pPr>
        <w:jc w:val="center"/>
        <w:rPr>
          <w:bCs/>
          <w:sz w:val="24"/>
          <w:szCs w:val="24"/>
        </w:rPr>
      </w:pPr>
      <w:r w:rsidRPr="00A110DC">
        <w:rPr>
          <w:bCs/>
          <w:sz w:val="24"/>
          <w:szCs w:val="24"/>
        </w:rPr>
        <w:t>Цены (тарифы)</w:t>
      </w:r>
    </w:p>
    <w:p w:rsidR="00A110DC" w:rsidRPr="00A110DC" w:rsidRDefault="00A110DC" w:rsidP="00A110DC">
      <w:pPr>
        <w:jc w:val="center"/>
        <w:rPr>
          <w:bCs/>
          <w:sz w:val="24"/>
          <w:szCs w:val="24"/>
        </w:rPr>
      </w:pPr>
      <w:r w:rsidRPr="00A110DC">
        <w:rPr>
          <w:bCs/>
          <w:sz w:val="24"/>
          <w:szCs w:val="24"/>
        </w:rPr>
        <w:t xml:space="preserve">на электрическую энергию для населения и </w:t>
      </w:r>
      <w:proofErr w:type="gramStart"/>
      <w:r w:rsidRPr="00A110DC">
        <w:rPr>
          <w:bCs/>
          <w:sz w:val="24"/>
          <w:szCs w:val="24"/>
        </w:rPr>
        <w:t>приравненных</w:t>
      </w:r>
      <w:proofErr w:type="gramEnd"/>
      <w:r w:rsidRPr="00A110DC">
        <w:rPr>
          <w:bCs/>
          <w:sz w:val="24"/>
          <w:szCs w:val="24"/>
        </w:rPr>
        <w:t xml:space="preserve"> к нему</w:t>
      </w:r>
    </w:p>
    <w:p w:rsidR="004C5509" w:rsidRPr="00A110DC" w:rsidRDefault="00A110DC" w:rsidP="00A110DC">
      <w:pPr>
        <w:jc w:val="center"/>
        <w:rPr>
          <w:bCs/>
          <w:sz w:val="24"/>
          <w:szCs w:val="24"/>
        </w:rPr>
      </w:pPr>
      <w:r w:rsidRPr="00A110DC">
        <w:rPr>
          <w:bCs/>
          <w:sz w:val="24"/>
          <w:szCs w:val="24"/>
        </w:rPr>
        <w:t>категорий потребителей по субъекту Российской Федерации</w:t>
      </w:r>
    </w:p>
    <w:p w:rsidR="004C5509" w:rsidRPr="004C5509" w:rsidRDefault="004C5509" w:rsidP="00A110DC">
      <w:pPr>
        <w:tabs>
          <w:tab w:val="left" w:pos="709"/>
        </w:tabs>
        <w:ind w:firstLine="540"/>
        <w:jc w:val="center"/>
        <w:rPr>
          <w:b/>
          <w:sz w:val="24"/>
          <w:szCs w:val="24"/>
          <w:highlight w:val="yellow"/>
        </w:rPr>
      </w:pPr>
    </w:p>
    <w:p w:rsidR="004C5509" w:rsidRPr="004C5509" w:rsidRDefault="00A110DC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A110DC">
        <w:drawing>
          <wp:inline distT="0" distB="0" distL="0" distR="0" wp14:anchorId="060D993D" wp14:editId="52BC739A">
            <wp:extent cx="6400800" cy="7548113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04" cy="755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4C5509" w:rsidRDefault="004C5509" w:rsidP="004C5509">
      <w:pPr>
        <w:tabs>
          <w:tab w:val="left" w:pos="4020"/>
        </w:tabs>
        <w:ind w:firstLine="540"/>
        <w:rPr>
          <w:b/>
          <w:sz w:val="24"/>
          <w:szCs w:val="24"/>
          <w:highlight w:val="yellow"/>
        </w:rPr>
      </w:pPr>
    </w:p>
    <w:p w:rsidR="004C5509" w:rsidRPr="004C5509" w:rsidRDefault="00A110DC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A110DC">
        <w:lastRenderedPageBreak/>
        <w:drawing>
          <wp:inline distT="0" distB="0" distL="0" distR="0" wp14:anchorId="6A79E843" wp14:editId="61D03A6A">
            <wp:extent cx="6435305" cy="9196343"/>
            <wp:effectExtent l="0" t="0" r="381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56" cy="920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09" w:rsidRPr="00A110DC" w:rsidRDefault="004C5509" w:rsidP="004C5509">
      <w:pPr>
        <w:tabs>
          <w:tab w:val="left" w:pos="4020"/>
        </w:tabs>
        <w:rPr>
          <w:b/>
          <w:sz w:val="24"/>
          <w:szCs w:val="24"/>
          <w:highlight w:val="yellow"/>
        </w:rPr>
      </w:pPr>
    </w:p>
    <w:p w:rsidR="004C5509" w:rsidRPr="004C5509" w:rsidRDefault="0079664E" w:rsidP="0079664E">
      <w:pPr>
        <w:tabs>
          <w:tab w:val="left" w:pos="4020"/>
        </w:tabs>
        <w:rPr>
          <w:b/>
          <w:sz w:val="24"/>
          <w:szCs w:val="24"/>
          <w:highlight w:val="yellow"/>
        </w:rPr>
      </w:pPr>
      <w:r w:rsidRPr="0079664E">
        <w:lastRenderedPageBreak/>
        <w:drawing>
          <wp:inline distT="0" distB="0" distL="0" distR="0" wp14:anchorId="09403202" wp14:editId="7ECB3F1B">
            <wp:extent cx="6418053" cy="9169879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373" cy="917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4E" w:rsidRDefault="0079664E" w:rsidP="007F5E2A">
      <w:pPr>
        <w:widowControl/>
        <w:ind w:firstLine="567"/>
        <w:jc w:val="both"/>
        <w:rPr>
          <w:bCs/>
          <w:sz w:val="24"/>
          <w:szCs w:val="24"/>
        </w:rPr>
      </w:pPr>
    </w:p>
    <w:p w:rsidR="0079664E" w:rsidRDefault="0079664E" w:rsidP="0079664E">
      <w:pPr>
        <w:widowControl/>
        <w:jc w:val="both"/>
        <w:rPr>
          <w:bCs/>
          <w:sz w:val="24"/>
          <w:szCs w:val="24"/>
        </w:rPr>
      </w:pPr>
      <w:r w:rsidRPr="0079664E">
        <w:lastRenderedPageBreak/>
        <w:drawing>
          <wp:inline distT="0" distB="0" distL="0" distR="0" wp14:anchorId="0C1A1EC1" wp14:editId="611A880F">
            <wp:extent cx="6606540" cy="3731793"/>
            <wp:effectExtent l="0" t="0" r="381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373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4E" w:rsidRDefault="0079664E" w:rsidP="007F5E2A">
      <w:pPr>
        <w:widowControl/>
        <w:ind w:firstLine="567"/>
        <w:jc w:val="both"/>
        <w:rPr>
          <w:bCs/>
          <w:sz w:val="24"/>
          <w:szCs w:val="24"/>
        </w:rPr>
      </w:pPr>
    </w:p>
    <w:p w:rsidR="007F5E2A" w:rsidRPr="007F5E2A" w:rsidRDefault="007F5E2A" w:rsidP="007F5E2A">
      <w:pPr>
        <w:widowControl/>
        <w:ind w:firstLine="567"/>
        <w:jc w:val="both"/>
        <w:rPr>
          <w:bCs/>
          <w:sz w:val="24"/>
          <w:szCs w:val="24"/>
        </w:rPr>
      </w:pPr>
      <w:r w:rsidRPr="007F5E2A">
        <w:rPr>
          <w:bCs/>
          <w:sz w:val="24"/>
          <w:szCs w:val="24"/>
        </w:rPr>
        <w:t xml:space="preserve">2. С </w:t>
      </w:r>
      <w:proofErr w:type="gramStart"/>
      <w:r w:rsidRPr="007F5E2A">
        <w:rPr>
          <w:bCs/>
          <w:sz w:val="24"/>
          <w:szCs w:val="24"/>
        </w:rPr>
        <w:t>введением</w:t>
      </w:r>
      <w:proofErr w:type="gramEnd"/>
      <w:r w:rsidRPr="007F5E2A">
        <w:rPr>
          <w:bCs/>
          <w:sz w:val="24"/>
          <w:szCs w:val="24"/>
        </w:rPr>
        <w:t xml:space="preserve"> в действие установленных в п. 1 настоящего постановления тарифов утрачивает силу постановление Департамента энергетики и тарифов Ивановской области от 17.12.2021 № 57-э/2 «О тарифах на электрическую энергию для населения и приравненных к нему категорий потребителей по Ивановской области на 2022 год».</w:t>
      </w:r>
    </w:p>
    <w:p w:rsidR="004C5509" w:rsidRDefault="007F5E2A" w:rsidP="007F5E2A">
      <w:pPr>
        <w:widowControl/>
        <w:ind w:firstLine="567"/>
        <w:jc w:val="both"/>
        <w:rPr>
          <w:bCs/>
          <w:sz w:val="24"/>
          <w:szCs w:val="24"/>
        </w:rPr>
      </w:pPr>
      <w:r w:rsidRPr="007F5E2A">
        <w:rPr>
          <w:bCs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F5E2A" w:rsidRPr="0088664F" w:rsidRDefault="007F5E2A" w:rsidP="007F5E2A">
      <w:pPr>
        <w:widowControl/>
        <w:ind w:firstLine="567"/>
        <w:jc w:val="both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4C5509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09" w:rsidRPr="0088664F" w:rsidRDefault="004C5509" w:rsidP="004C550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 xml:space="preserve">№ </w:t>
            </w:r>
            <w:proofErr w:type="gramStart"/>
            <w:r w:rsidRPr="0088664F">
              <w:rPr>
                <w:sz w:val="24"/>
                <w:szCs w:val="24"/>
              </w:rPr>
              <w:t>п</w:t>
            </w:r>
            <w:proofErr w:type="gramEnd"/>
            <w:r w:rsidRPr="0088664F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09" w:rsidRPr="0088664F" w:rsidRDefault="004C5509" w:rsidP="004C550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09" w:rsidRPr="0088664F" w:rsidRDefault="004C5509" w:rsidP="004C550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Результаты голосования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за</w:t>
            </w:r>
          </w:p>
        </w:tc>
      </w:tr>
      <w:tr w:rsidR="0088664F" w:rsidRPr="0088664F" w:rsidTr="004C55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88664F">
            <w:pPr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4F" w:rsidRPr="0088664F" w:rsidRDefault="0088664F" w:rsidP="004C5509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88664F">
              <w:rPr>
                <w:sz w:val="24"/>
                <w:szCs w:val="24"/>
              </w:rPr>
              <w:t>воздержался</w:t>
            </w:r>
          </w:p>
        </w:tc>
      </w:tr>
    </w:tbl>
    <w:p w:rsidR="00601A52" w:rsidRDefault="00601A52" w:rsidP="004C5509">
      <w:pPr>
        <w:widowControl/>
        <w:ind w:firstLine="567"/>
        <w:jc w:val="both"/>
        <w:rPr>
          <w:sz w:val="24"/>
          <w:szCs w:val="24"/>
        </w:rPr>
      </w:pPr>
    </w:p>
    <w:p w:rsidR="004C5509" w:rsidRPr="0088664F" w:rsidRDefault="004C5509" w:rsidP="004C5509">
      <w:pPr>
        <w:widowControl/>
        <w:ind w:firstLine="567"/>
        <w:jc w:val="both"/>
        <w:rPr>
          <w:sz w:val="24"/>
          <w:szCs w:val="24"/>
        </w:rPr>
      </w:pPr>
      <w:r w:rsidRPr="0088664F">
        <w:rPr>
          <w:sz w:val="24"/>
          <w:szCs w:val="24"/>
        </w:rPr>
        <w:t xml:space="preserve">Итого: за – </w:t>
      </w:r>
      <w:r w:rsidR="0088664F" w:rsidRPr="0088664F">
        <w:rPr>
          <w:sz w:val="24"/>
          <w:szCs w:val="24"/>
        </w:rPr>
        <w:t>7</w:t>
      </w:r>
      <w:r w:rsidRPr="0088664F">
        <w:rPr>
          <w:sz w:val="24"/>
          <w:szCs w:val="24"/>
        </w:rPr>
        <w:t xml:space="preserve">, против – 0, воздержался – </w:t>
      </w:r>
      <w:r w:rsidR="0088664F" w:rsidRPr="0088664F">
        <w:rPr>
          <w:sz w:val="24"/>
          <w:szCs w:val="24"/>
        </w:rPr>
        <w:t>1</w:t>
      </w:r>
      <w:r w:rsidRPr="0088664F">
        <w:rPr>
          <w:sz w:val="24"/>
          <w:szCs w:val="24"/>
        </w:rPr>
        <w:t>, отсутствуют – 0</w:t>
      </w:r>
      <w:r w:rsidR="00601A52">
        <w:rPr>
          <w:sz w:val="24"/>
          <w:szCs w:val="24"/>
        </w:rPr>
        <w:t>.</w:t>
      </w:r>
    </w:p>
    <w:p w:rsidR="00706480" w:rsidRPr="0088664F" w:rsidRDefault="00706480" w:rsidP="00F75BE5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  <w:highlight w:val="yellow"/>
        </w:rPr>
      </w:pPr>
    </w:p>
    <w:p w:rsidR="00B942FC" w:rsidRPr="005D0EE3" w:rsidRDefault="001E1A4C" w:rsidP="00CD0039">
      <w:pPr>
        <w:tabs>
          <w:tab w:val="left" w:pos="709"/>
          <w:tab w:val="left" w:pos="851"/>
        </w:tabs>
        <w:ind w:firstLine="567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. </w:t>
      </w:r>
      <w:r w:rsidR="005D0EE3" w:rsidRPr="000A32E3">
        <w:rPr>
          <w:b/>
          <w:bCs/>
          <w:sz w:val="24"/>
          <w:szCs w:val="24"/>
        </w:rPr>
        <w:t>СЛУШАЛИ:</w:t>
      </w:r>
      <w:r w:rsidR="005D0EE3" w:rsidRPr="000A32E3">
        <w:rPr>
          <w:b/>
          <w:bCs/>
          <w:sz w:val="24"/>
          <w:szCs w:val="24"/>
        </w:rPr>
        <w:tab/>
        <w:t xml:space="preserve">Об установлении необходимой валовой выручки и долгосрочных параметров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 </w:t>
      </w:r>
      <w:r w:rsidR="00B942FC" w:rsidRPr="000A32E3">
        <w:rPr>
          <w:b/>
          <w:bCs/>
          <w:sz w:val="24"/>
          <w:szCs w:val="24"/>
        </w:rPr>
        <w:t>(Морева, Коннова</w:t>
      </w:r>
      <w:r w:rsidR="00035D7B" w:rsidRPr="000A32E3">
        <w:rPr>
          <w:b/>
          <w:bCs/>
          <w:sz w:val="24"/>
          <w:szCs w:val="24"/>
        </w:rPr>
        <w:t>,</w:t>
      </w:r>
      <w:r w:rsidR="0077531F" w:rsidRPr="000A32E3">
        <w:rPr>
          <w:b/>
          <w:bCs/>
          <w:sz w:val="24"/>
          <w:szCs w:val="24"/>
        </w:rPr>
        <w:t xml:space="preserve"> </w:t>
      </w:r>
      <w:r w:rsidR="005D0EE3" w:rsidRPr="000A32E3">
        <w:rPr>
          <w:b/>
          <w:bCs/>
          <w:sz w:val="24"/>
          <w:szCs w:val="24"/>
        </w:rPr>
        <w:t>Сергеев</w:t>
      </w:r>
      <w:r w:rsidR="0077531F" w:rsidRPr="000A32E3">
        <w:rPr>
          <w:b/>
          <w:bCs/>
          <w:sz w:val="24"/>
          <w:szCs w:val="24"/>
        </w:rPr>
        <w:t>)</w:t>
      </w:r>
      <w:r w:rsidR="00B942FC" w:rsidRPr="000A32E3">
        <w:rPr>
          <w:b/>
          <w:bCs/>
          <w:sz w:val="24"/>
          <w:szCs w:val="24"/>
        </w:rPr>
        <w:t>.</w:t>
      </w:r>
    </w:p>
    <w:p w:rsidR="00327BFB" w:rsidRDefault="00327BFB" w:rsidP="005D0EE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5D0EE3" w:rsidRPr="00D635D7" w:rsidRDefault="005D0EE3" w:rsidP="005D0EE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5D7">
        <w:rPr>
          <w:bCs/>
          <w:sz w:val="24"/>
          <w:szCs w:val="24"/>
        </w:rPr>
        <w:t xml:space="preserve">Рассмотрено дело в части установления необходимой валовой выручки (далее – НВВ) и долгосрочных параметров регулирования для </w:t>
      </w:r>
      <w:r w:rsidR="00D635D7" w:rsidRPr="00D635D7">
        <w:rPr>
          <w:bCs/>
          <w:sz w:val="24"/>
          <w:szCs w:val="24"/>
        </w:rPr>
        <w:t>ООО «ЭлСеть»</w:t>
      </w:r>
      <w:r w:rsidRPr="00D635D7">
        <w:rPr>
          <w:bCs/>
          <w:sz w:val="24"/>
          <w:szCs w:val="24"/>
        </w:rPr>
        <w:t xml:space="preserve"> на 2023-2027 годы, в отношении которого тарифы на услуги по передаче электрической энергии устанавливаются на основе долгосрочных параметров регулирования.</w:t>
      </w:r>
    </w:p>
    <w:p w:rsidR="005D0EE3" w:rsidRPr="00D635D7" w:rsidRDefault="005D0EE3" w:rsidP="005D0EE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635D7">
        <w:rPr>
          <w:sz w:val="24"/>
          <w:szCs w:val="24"/>
        </w:rPr>
        <w:t>В соответствии с проведенной экспертизой установлено,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5D0EE3" w:rsidRPr="00D635D7" w:rsidRDefault="005D0EE3" w:rsidP="005D0EE3">
      <w:pPr>
        <w:ind w:firstLine="567"/>
        <w:jc w:val="both"/>
        <w:rPr>
          <w:sz w:val="24"/>
          <w:szCs w:val="24"/>
        </w:rPr>
      </w:pPr>
      <w:r w:rsidRPr="00D635D7">
        <w:rPr>
          <w:bCs/>
          <w:sz w:val="24"/>
          <w:szCs w:val="24"/>
        </w:rPr>
        <w:lastRenderedPageBreak/>
        <w:t>Департамент отмечает, что расчеты произведены специалистами Департамента в</w:t>
      </w:r>
      <w:r w:rsidRPr="00D635D7">
        <w:rPr>
          <w:sz w:val="24"/>
          <w:szCs w:val="24"/>
        </w:rPr>
        <w:t xml:space="preserve"> соответствии </w:t>
      </w:r>
      <w:proofErr w:type="gramStart"/>
      <w:r w:rsidRPr="00D635D7">
        <w:rPr>
          <w:sz w:val="24"/>
          <w:szCs w:val="24"/>
        </w:rPr>
        <w:t>с</w:t>
      </w:r>
      <w:proofErr w:type="gramEnd"/>
      <w:r w:rsidRPr="00D635D7">
        <w:rPr>
          <w:sz w:val="24"/>
          <w:szCs w:val="24"/>
        </w:rPr>
        <w:t>:</w:t>
      </w:r>
    </w:p>
    <w:p w:rsidR="005D0EE3" w:rsidRPr="00D635D7" w:rsidRDefault="005D0EE3" w:rsidP="005D0EE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D635D7">
        <w:rPr>
          <w:bCs/>
          <w:sz w:val="24"/>
          <w:szCs w:val="24"/>
        </w:rPr>
        <w:t>- 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2023 год и плановый период 2024 и2025 годы,</w:t>
      </w:r>
    </w:p>
    <w:p w:rsidR="005D0EE3" w:rsidRPr="00D635D7" w:rsidRDefault="005D0EE3" w:rsidP="005D0EE3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4"/>
          <w:szCs w:val="24"/>
        </w:rPr>
      </w:pPr>
      <w:r w:rsidRPr="00D635D7">
        <w:rPr>
          <w:bCs/>
          <w:sz w:val="24"/>
          <w:szCs w:val="24"/>
        </w:rPr>
        <w:t>- положениями постановления Правительства Российской Федерации от 29.12.2011 № 1178 «О</w:t>
      </w:r>
      <w:r w:rsidRPr="00D635D7">
        <w:rPr>
          <w:sz w:val="24"/>
          <w:szCs w:val="24"/>
        </w:rPr>
        <w:t xml:space="preserve"> ценообразовании в области регулируемых цен (тарифов) в электроэнергетике»,</w:t>
      </w:r>
    </w:p>
    <w:p w:rsidR="005D0EE3" w:rsidRPr="00D635D7" w:rsidRDefault="005D0EE3" w:rsidP="005D0EE3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35D7">
        <w:rPr>
          <w:sz w:val="24"/>
          <w:szCs w:val="24"/>
        </w:rPr>
        <w:t>- 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(далее – Методические указания № 98-э).</w:t>
      </w:r>
    </w:p>
    <w:p w:rsidR="005D0EE3" w:rsidRPr="00D635D7" w:rsidRDefault="005D0EE3" w:rsidP="005D0EE3">
      <w:pPr>
        <w:ind w:firstLine="567"/>
        <w:jc w:val="both"/>
        <w:rPr>
          <w:sz w:val="24"/>
          <w:szCs w:val="24"/>
        </w:rPr>
      </w:pPr>
      <w:r w:rsidRPr="00D635D7">
        <w:rPr>
          <w:sz w:val="24"/>
          <w:szCs w:val="24"/>
        </w:rPr>
        <w:t>Основные показатели деятельност</w:t>
      </w:r>
      <w:proofErr w:type="gramStart"/>
      <w:r w:rsidRPr="00D635D7">
        <w:rPr>
          <w:sz w:val="24"/>
          <w:szCs w:val="24"/>
        </w:rPr>
        <w:t xml:space="preserve">и </w:t>
      </w:r>
      <w:r w:rsidR="00D635D7" w:rsidRPr="00D635D7">
        <w:rPr>
          <w:sz w:val="24"/>
          <w:szCs w:val="24"/>
        </w:rPr>
        <w:t>ООО</w:t>
      </w:r>
      <w:proofErr w:type="gramEnd"/>
      <w:r w:rsidR="00D635D7" w:rsidRPr="00D635D7">
        <w:rPr>
          <w:sz w:val="24"/>
          <w:szCs w:val="24"/>
        </w:rPr>
        <w:t xml:space="preserve"> «ЭлСеть»</w:t>
      </w:r>
      <w:r w:rsidRPr="00D635D7">
        <w:rPr>
          <w:bCs/>
          <w:sz w:val="24"/>
          <w:szCs w:val="24"/>
        </w:rPr>
        <w:t xml:space="preserve">, </w:t>
      </w:r>
      <w:r w:rsidRPr="00D635D7">
        <w:rPr>
          <w:sz w:val="24"/>
          <w:szCs w:val="24"/>
        </w:rPr>
        <w:t>принимаемые в расчет единых (котловых) и индивидуальных тарифов на услуги по передаче электрической энергии на 2023 год, а также долгосрочные параметры регулирования на 2023-2027 годы, приведены в приложениях к протоколу.</w:t>
      </w:r>
    </w:p>
    <w:p w:rsidR="005D0EE3" w:rsidRPr="00D635D7" w:rsidRDefault="005D0EE3" w:rsidP="005D0EE3">
      <w:pPr>
        <w:ind w:firstLine="567"/>
        <w:jc w:val="both"/>
        <w:rPr>
          <w:bCs/>
          <w:sz w:val="24"/>
          <w:szCs w:val="24"/>
        </w:rPr>
      </w:pPr>
      <w:r w:rsidRPr="00D635D7">
        <w:rPr>
          <w:bCs/>
          <w:sz w:val="24"/>
          <w:szCs w:val="24"/>
        </w:rPr>
        <w:t>По результатам экспертизы подготовлены расчетные материалы и соответствующее экспертное заключение.</w:t>
      </w:r>
    </w:p>
    <w:p w:rsidR="006C1F91" w:rsidRDefault="006C1F91" w:rsidP="005D0EE3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6C1F91">
        <w:rPr>
          <w:bCs/>
          <w:sz w:val="24"/>
          <w:szCs w:val="24"/>
        </w:rPr>
        <w:t xml:space="preserve">ООО «ЭлСеть» </w:t>
      </w:r>
      <w:r>
        <w:rPr>
          <w:bCs/>
          <w:sz w:val="24"/>
          <w:szCs w:val="24"/>
        </w:rPr>
        <w:t>письмом от 18.11.2022 № 101-022 (прилагается к настоящему протоколу) направило к заседанию Департамента мотивированные разногласия по рассматриваемому вопросу и полагает заявленные организацией к установлению величину НВВ и долгосрочные параметры на 2023-2027гг. экономически обоснованными.</w:t>
      </w:r>
    </w:p>
    <w:p w:rsidR="00BB4C0C" w:rsidRPr="00BB4C0C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 xml:space="preserve">ООО «ЭлСеть» просит включить в расчет необходимой валовой </w:t>
      </w:r>
      <w:proofErr w:type="gramStart"/>
      <w:r w:rsidRPr="00BB4C0C">
        <w:rPr>
          <w:bCs/>
          <w:sz w:val="24"/>
          <w:szCs w:val="24"/>
        </w:rPr>
        <w:t>выручки</w:t>
      </w:r>
      <w:proofErr w:type="gramEnd"/>
      <w:r w:rsidRPr="00BB4C0C">
        <w:rPr>
          <w:bCs/>
          <w:sz w:val="24"/>
          <w:szCs w:val="24"/>
        </w:rPr>
        <w:t xml:space="preserve"> содержащиеся в тарифной заявке и необоснованно исключенные затраты по статье «Ремонтные работы, выполняемые подрядным способом». В данную статью</w:t>
      </w:r>
      <w:r>
        <w:rPr>
          <w:bCs/>
          <w:sz w:val="24"/>
          <w:szCs w:val="24"/>
        </w:rPr>
        <w:t xml:space="preserve"> </w:t>
      </w:r>
      <w:r w:rsidRPr="00BB4C0C">
        <w:rPr>
          <w:bCs/>
          <w:sz w:val="24"/>
          <w:szCs w:val="24"/>
        </w:rPr>
        <w:t>входит:</w:t>
      </w:r>
    </w:p>
    <w:p w:rsidR="00BB4C0C" w:rsidRPr="00BB4C0C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>1. Капитальный ремонт кабельных линий (замена кабелей)</w:t>
      </w:r>
      <w:r>
        <w:rPr>
          <w:bCs/>
          <w:sz w:val="24"/>
          <w:szCs w:val="24"/>
        </w:rPr>
        <w:t>.</w:t>
      </w:r>
    </w:p>
    <w:p w:rsidR="00BB4C0C" w:rsidRPr="00BB4C0C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пп.</w:t>
      </w:r>
      <w:r w:rsidRPr="00BB4C0C">
        <w:rPr>
          <w:bCs/>
          <w:sz w:val="24"/>
          <w:szCs w:val="24"/>
        </w:rPr>
        <w:t xml:space="preserve"> 14.1 Градостроительного кодекса Российской Федерации от 29.32.2004 № 190-ФЗ реконструкция линейных объектов -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объектов.</w:t>
      </w:r>
    </w:p>
    <w:p w:rsidR="00BB4C0C" w:rsidRPr="00BB4C0C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пп.</w:t>
      </w:r>
      <w:r w:rsidRPr="00BB4C0C">
        <w:rPr>
          <w:bCs/>
          <w:sz w:val="24"/>
          <w:szCs w:val="24"/>
        </w:rPr>
        <w:t xml:space="preserve"> 14.3 Градостроительного кодекса Российской Федерации от 29.12.2004 № 190-ФЗ капитальный ремонт линейных объектов - изменение параметров линейных</w:t>
      </w:r>
      <w:r>
        <w:rPr>
          <w:bCs/>
          <w:sz w:val="24"/>
          <w:szCs w:val="24"/>
        </w:rPr>
        <w:t xml:space="preserve"> </w:t>
      </w:r>
      <w:r w:rsidRPr="00BB4C0C">
        <w:rPr>
          <w:bCs/>
          <w:sz w:val="24"/>
          <w:szCs w:val="24"/>
        </w:rPr>
        <w:t>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BB4C0C" w:rsidRPr="00BB4C0C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>Капитальный ремонт КЛ-0,4-10 кВ, представленных в таблице № 1, не требует изменение границ полос отвода и (или) охранных зон таких объектов, не влечет за</w:t>
      </w:r>
      <w:r>
        <w:rPr>
          <w:bCs/>
          <w:sz w:val="24"/>
          <w:szCs w:val="24"/>
        </w:rPr>
        <w:t xml:space="preserve"> </w:t>
      </w:r>
      <w:r w:rsidRPr="00BB4C0C">
        <w:rPr>
          <w:bCs/>
          <w:sz w:val="24"/>
          <w:szCs w:val="24"/>
        </w:rPr>
        <w:t>собой изменение класса, категории и (или) первоначально установленных показателей функционирования таких объектов, то есть не меняется класс напряжения, сечение, длина кабельных линий. Исходя из определения капитального ремонта линейных объектов Градостроительного кодекса РФ</w:t>
      </w:r>
      <w:r>
        <w:rPr>
          <w:bCs/>
          <w:sz w:val="24"/>
          <w:szCs w:val="24"/>
        </w:rPr>
        <w:t>,</w:t>
      </w:r>
      <w:r w:rsidRPr="00BB4C0C">
        <w:rPr>
          <w:bCs/>
          <w:sz w:val="24"/>
          <w:szCs w:val="24"/>
        </w:rPr>
        <w:t xml:space="preserve"> ООО «ЭлСеть» отнесло работы по замене КЛ к капитальному ремонту.</w:t>
      </w:r>
    </w:p>
    <w:p w:rsidR="006C1F91" w:rsidRDefault="00BB4C0C" w:rsidP="00BB4C0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BB4C0C">
        <w:rPr>
          <w:bCs/>
          <w:sz w:val="24"/>
          <w:szCs w:val="24"/>
        </w:rPr>
        <w:t>Следует отметить, что в объем капитального ремонта КЛ на 2023 г. включена замена дефектных участков кабельных линий, требующих срочного ремонта, исходя из их технического состояния. Согласно п. 410 Правил организации технического обслуживания и ремонта объектов электроэнергетики, утвержденных приказом Минэнерго России от 25.10.2017 № 1013 (далее — Правила)</w:t>
      </w:r>
      <w:r>
        <w:rPr>
          <w:bCs/>
          <w:sz w:val="24"/>
          <w:szCs w:val="24"/>
        </w:rPr>
        <w:t>,</w:t>
      </w:r>
      <w:r w:rsidRPr="00BB4C0C">
        <w:rPr>
          <w:bCs/>
          <w:sz w:val="24"/>
          <w:szCs w:val="24"/>
        </w:rPr>
        <w:t xml:space="preserve"> капитальный ремонт ЛЭП может осуществляться по их техническому состоянию.</w:t>
      </w: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</w:t>
      </w:r>
    </w:p>
    <w:tbl>
      <w:tblPr>
        <w:tblW w:w="108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378"/>
        <w:gridCol w:w="974"/>
        <w:gridCol w:w="1354"/>
        <w:gridCol w:w="1109"/>
        <w:gridCol w:w="893"/>
        <w:gridCol w:w="936"/>
        <w:gridCol w:w="1018"/>
        <w:gridCol w:w="984"/>
        <w:gridCol w:w="730"/>
        <w:gridCol w:w="1042"/>
      </w:tblGrid>
      <w:tr w:rsidR="00BB4C0C" w:rsidRPr="00BB4C0C" w:rsidTr="000064C1">
        <w:trPr>
          <w:trHeight w:hRule="exact" w:val="1406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-1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№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п</w:t>
            </w:r>
            <w:proofErr w:type="gramEnd"/>
            <w:r w:rsidRPr="00BB4C0C">
              <w:rPr>
                <w:color w:val="000000"/>
                <w:sz w:val="14"/>
                <w:szCs w:val="14"/>
                <w:lang w:bidi="ru-RU"/>
              </w:rPr>
              <w:t>/п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Наименование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объектов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Длина КЛ</w:t>
            </w:r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.</w:t>
            </w:r>
            <w:proofErr w:type="gramEnd"/>
            <w:r w:rsidRPr="00BB4C0C"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к</w:t>
            </w:r>
            <w:proofErr w:type="gramEnd"/>
            <w:r w:rsidRPr="00BB4C0C">
              <w:rPr>
                <w:color w:val="000000"/>
                <w:sz w:val="14"/>
                <w:szCs w:val="14"/>
                <w:lang w:bidi="ru-RU"/>
              </w:rPr>
              <w:t>м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Длина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 xml:space="preserve">ремонтируемого участка, </w:t>
            </w:r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км</w:t>
            </w:r>
            <w:proofErr w:type="gramEnd"/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Количество муфт на ремонтируемом участке, шт.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Удельное количество муфт на I км, шт.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Количество муфт по нормативу на 1 км (п. 2.3.70 ПУЭ), шт.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Дата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установки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муфт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0064C1" w:rsidP="00BB4C0C">
            <w:pPr>
              <w:spacing w:line="178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14"/>
                <w:szCs w:val="14"/>
                <w:lang w:bidi="ru-RU"/>
              </w:rPr>
              <w:t>Г</w:t>
            </w:r>
            <w:r w:rsidR="00BB4C0C" w:rsidRPr="00BB4C0C">
              <w:rPr>
                <w:color w:val="000000"/>
                <w:sz w:val="14"/>
                <w:szCs w:val="14"/>
                <w:lang w:bidi="ru-RU"/>
              </w:rPr>
              <w:t>од ввода в эксплуатацию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0064C1">
            <w:pPr>
              <w:spacing w:line="178" w:lineRule="exact"/>
              <w:ind w:left="117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Срок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службы,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л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ет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(ГОСТ 18410-73 и ГОСТ 16442-80)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Количество лег в</w:t>
            </w:r>
            <w:r>
              <w:rPr>
                <w:color w:val="000000"/>
                <w:sz w:val="14"/>
                <w:szCs w:val="14"/>
                <w:lang w:bidi="ru-RU"/>
              </w:rPr>
              <w:t xml:space="preserve"> 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эксплуатации</w:t>
            </w:r>
          </w:p>
        </w:tc>
      </w:tr>
      <w:tr w:rsidR="00BB4C0C" w:rsidRPr="00BB4C0C" w:rsidTr="000064C1">
        <w:trPr>
          <w:trHeight w:hRule="exact" w:val="1104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Капиталь</w:t>
            </w:r>
            <w:r>
              <w:rPr>
                <w:color w:val="000000"/>
                <w:sz w:val="14"/>
                <w:szCs w:val="14"/>
                <w:lang w:bidi="ru-RU"/>
              </w:rPr>
              <w:t>ный ремонт КЛ-10 кВ ТП-302 - ТГ</w:t>
            </w:r>
            <w:r w:rsidRPr="00BB4C0C">
              <w:rPr>
                <w:color w:val="000000"/>
                <w:sz w:val="14"/>
                <w:szCs w:val="14"/>
                <w:lang w:bidi="ru-RU"/>
              </w:rPr>
              <w:t>- 307 г. Кинешма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0.469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0,219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7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5</w:t>
            </w: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numPr>
                <w:ilvl w:val="0"/>
                <w:numId w:val="7"/>
              </w:numPr>
              <w:tabs>
                <w:tab w:val="left" w:pos="754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- 1 шт.</w:t>
            </w:r>
          </w:p>
          <w:p w:rsidR="00BB4C0C" w:rsidRPr="00BB4C0C" w:rsidRDefault="00BB4C0C" w:rsidP="00BB4C0C">
            <w:pPr>
              <w:numPr>
                <w:ilvl w:val="0"/>
                <w:numId w:val="8"/>
              </w:numPr>
              <w:tabs>
                <w:tab w:val="left" w:pos="758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-2 шт.</w:t>
            </w:r>
          </w:p>
          <w:p w:rsidR="00BB4C0C" w:rsidRPr="00BB4C0C" w:rsidRDefault="00BB4C0C" w:rsidP="00BB4C0C">
            <w:pPr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25.08.2020-4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шт.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1982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39</w:t>
            </w:r>
          </w:p>
        </w:tc>
      </w:tr>
      <w:tr w:rsidR="00BB4C0C" w:rsidRPr="00BB4C0C" w:rsidTr="000064C1">
        <w:trPr>
          <w:trHeight w:hRule="exact" w:val="1488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Капитальный ремонт КЛ-10 кВ ф. 121 ПС Автозаводская - ТП-302 г. Кинешма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1,128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0,178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8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5</w:t>
            </w: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numPr>
                <w:ilvl w:val="0"/>
                <w:numId w:val="9"/>
              </w:numPr>
              <w:tabs>
                <w:tab w:val="left" w:pos="883"/>
              </w:tabs>
              <w:spacing w:after="60" w:line="140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  <w:p w:rsidR="00BB4C0C" w:rsidRPr="00BB4C0C" w:rsidRDefault="00BB4C0C" w:rsidP="00BB4C0C">
            <w:pPr>
              <w:spacing w:before="60"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Ш'Г.</w:t>
            </w:r>
          </w:p>
          <w:p w:rsidR="00BB4C0C" w:rsidRPr="00BB4C0C" w:rsidRDefault="00BB4C0C" w:rsidP="00BB4C0C">
            <w:pPr>
              <w:numPr>
                <w:ilvl w:val="0"/>
                <w:numId w:val="10"/>
              </w:numPr>
              <w:tabs>
                <w:tab w:val="left" w:pos="883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 xml:space="preserve">2 </w:t>
            </w: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24.05.2017-2</w:t>
            </w:r>
          </w:p>
          <w:p w:rsidR="00BB4C0C" w:rsidRPr="00BB4C0C" w:rsidRDefault="00BB4C0C" w:rsidP="00BB4C0C">
            <w:pPr>
              <w:spacing w:line="18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spacing w:line="18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06.08.2019-2</w:t>
            </w:r>
          </w:p>
          <w:p w:rsidR="00BB4C0C" w:rsidRPr="00BB4C0C" w:rsidRDefault="00BB4C0C" w:rsidP="00BB4C0C">
            <w:pPr>
              <w:spacing w:line="18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1981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40</w:t>
            </w:r>
          </w:p>
        </w:tc>
      </w:tr>
      <w:tr w:rsidR="00BB4C0C" w:rsidRPr="00BB4C0C" w:rsidTr="000064C1">
        <w:trPr>
          <w:trHeight w:hRule="exact" w:val="1862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7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Капитальный ремонт КЛ-6 кВ ПС «Томна» - 'П1-148 г. Кинешма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1,297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0,649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8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5</w:t>
            </w: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numPr>
                <w:ilvl w:val="0"/>
                <w:numId w:val="11"/>
              </w:numPr>
              <w:tabs>
                <w:tab w:val="left" w:pos="864"/>
              </w:tabs>
              <w:spacing w:after="60" w:line="140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  <w:p w:rsidR="00BB4C0C" w:rsidRPr="00BB4C0C" w:rsidRDefault="00BB4C0C" w:rsidP="00BB4C0C">
            <w:pPr>
              <w:spacing w:before="60" w:line="187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numPr>
                <w:ilvl w:val="0"/>
                <w:numId w:val="12"/>
              </w:numPr>
              <w:tabs>
                <w:tab w:val="left" w:pos="883"/>
              </w:tabs>
              <w:spacing w:line="187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 xml:space="preserve">2 </w:t>
            </w: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numPr>
                <w:ilvl w:val="0"/>
                <w:numId w:val="13"/>
              </w:numPr>
              <w:tabs>
                <w:tab w:val="left" w:pos="859"/>
              </w:tabs>
              <w:spacing w:line="187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numPr>
                <w:ilvl w:val="0"/>
                <w:numId w:val="14"/>
              </w:numPr>
              <w:tabs>
                <w:tab w:val="left" w:pos="878"/>
              </w:tabs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  <w:p w:rsidR="00BB4C0C" w:rsidRPr="00BB4C0C" w:rsidRDefault="00BB4C0C" w:rsidP="00BB4C0C">
            <w:pPr>
              <w:numPr>
                <w:ilvl w:val="0"/>
                <w:numId w:val="15"/>
              </w:numPr>
              <w:tabs>
                <w:tab w:val="left" w:pos="878"/>
              </w:tabs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rFonts w:ascii="Tahoma" w:eastAsia="Tahoma" w:hAnsi="Tahoma" w:cs="Tahoma"/>
                <w:color w:val="000000"/>
                <w:sz w:val="11"/>
                <w:szCs w:val="11"/>
                <w:lang w:bidi="ru-RU"/>
              </w:rPr>
              <w:t>ШТ.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1972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49</w:t>
            </w:r>
          </w:p>
        </w:tc>
      </w:tr>
      <w:tr w:rsidR="00BB4C0C" w:rsidRPr="00BB4C0C" w:rsidTr="000064C1">
        <w:trPr>
          <w:trHeight w:hRule="exact" w:val="1483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Капитальный ремонт КЛ-6 кВ 'ГП-181 -ТП- 156 г. Кинешма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0,950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0,475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8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8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numPr>
                <w:ilvl w:val="0"/>
                <w:numId w:val="16"/>
              </w:numPr>
              <w:tabs>
                <w:tab w:val="left" w:pos="883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 шт.</w:t>
            </w:r>
          </w:p>
          <w:p w:rsidR="00BB4C0C" w:rsidRPr="00BB4C0C" w:rsidRDefault="00BB4C0C" w:rsidP="00BB4C0C">
            <w:pPr>
              <w:numPr>
                <w:ilvl w:val="0"/>
                <w:numId w:val="17"/>
              </w:numPr>
              <w:tabs>
                <w:tab w:val="left" w:pos="864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 шт.</w:t>
            </w:r>
          </w:p>
          <w:p w:rsidR="00BB4C0C" w:rsidRPr="00BB4C0C" w:rsidRDefault="00BB4C0C" w:rsidP="00BB4C0C">
            <w:pPr>
              <w:numPr>
                <w:ilvl w:val="0"/>
                <w:numId w:val="18"/>
              </w:numPr>
              <w:tabs>
                <w:tab w:val="left" w:pos="883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 xml:space="preserve">2 </w:t>
            </w:r>
            <w:proofErr w:type="spellStart"/>
            <w:r w:rsidRPr="00BB4C0C">
              <w:rPr>
                <w:color w:val="000000"/>
                <w:sz w:val="14"/>
                <w:szCs w:val="14"/>
                <w:lang w:bidi="ru-RU"/>
              </w:rPr>
              <w:t>шг</w:t>
            </w:r>
            <w:proofErr w:type="spellEnd"/>
            <w:r w:rsidRPr="00BB4C0C">
              <w:rPr>
                <w:color w:val="000000"/>
                <w:sz w:val="14"/>
                <w:szCs w:val="14"/>
                <w:lang w:bidi="ru-RU"/>
              </w:rPr>
              <w:t>.</w:t>
            </w:r>
          </w:p>
          <w:p w:rsidR="00BB4C0C" w:rsidRPr="00BB4C0C" w:rsidRDefault="00BB4C0C" w:rsidP="00BB4C0C">
            <w:pPr>
              <w:numPr>
                <w:ilvl w:val="0"/>
                <w:numId w:val="19"/>
              </w:numPr>
              <w:tabs>
                <w:tab w:val="left" w:pos="883"/>
              </w:tabs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 шт,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1985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36</w:t>
            </w:r>
          </w:p>
        </w:tc>
      </w:tr>
      <w:tr w:rsidR="00BB4C0C" w:rsidRPr="00BB4C0C" w:rsidTr="000064C1">
        <w:trPr>
          <w:trHeight w:hRule="exact" w:val="1118"/>
        </w:trPr>
        <w:tc>
          <w:tcPr>
            <w:tcW w:w="4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ind w:left="220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5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82" w:lineRule="exac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Капитальный ремонт КЛ-0,4 кВ ф. 18 ТП-310 г. Кинешма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0,390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0,195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5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25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До 2000 - 1 шт.</w:t>
            </w:r>
          </w:p>
          <w:p w:rsidR="00BB4C0C" w:rsidRPr="00BB4C0C" w:rsidRDefault="00BB4C0C" w:rsidP="00BB4C0C">
            <w:pPr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12.10.2008-2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шт.,</w:t>
            </w:r>
          </w:p>
          <w:p w:rsidR="00BB4C0C" w:rsidRPr="00BB4C0C" w:rsidRDefault="00BB4C0C" w:rsidP="00BB4C0C">
            <w:pPr>
              <w:spacing w:line="182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08.08.2010-2</w:t>
            </w:r>
          </w:p>
          <w:p w:rsidR="00BB4C0C" w:rsidRPr="00BB4C0C" w:rsidRDefault="00BB4C0C" w:rsidP="00BB4C0C">
            <w:pPr>
              <w:spacing w:line="182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шт.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и/</w:t>
            </w:r>
            <w:proofErr w:type="spellStart"/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св</w:t>
            </w:r>
            <w:proofErr w:type="spellEnd"/>
            <w:proofErr w:type="gramEnd"/>
          </w:p>
        </w:tc>
        <w:tc>
          <w:tcPr>
            <w:tcW w:w="730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4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color w:val="000000"/>
                <w:sz w:val="14"/>
                <w:szCs w:val="14"/>
                <w:lang w:bidi="ru-RU"/>
              </w:rPr>
              <w:t>н/</w:t>
            </w:r>
            <w:proofErr w:type="spellStart"/>
            <w:proofErr w:type="gramStart"/>
            <w:r w:rsidRPr="00BB4C0C">
              <w:rPr>
                <w:color w:val="000000"/>
                <w:sz w:val="14"/>
                <w:szCs w:val="14"/>
                <w:lang w:bidi="ru-RU"/>
              </w:rPr>
              <w:t>св</w:t>
            </w:r>
            <w:proofErr w:type="spellEnd"/>
            <w:proofErr w:type="gramEnd"/>
          </w:p>
        </w:tc>
      </w:tr>
      <w:tr w:rsidR="00BB4C0C" w:rsidRPr="00BB4C0C" w:rsidTr="000064C1">
        <w:trPr>
          <w:trHeight w:hRule="exact" w:val="336"/>
        </w:trPr>
        <w:tc>
          <w:tcPr>
            <w:tcW w:w="442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0" w:lineRule="exact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b/>
                <w:bCs/>
                <w:color w:val="000000"/>
                <w:sz w:val="17"/>
                <w:szCs w:val="17"/>
                <w:lang w:bidi="ru-RU"/>
              </w:rPr>
              <w:t>Итого: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b/>
                <w:bCs/>
                <w:color w:val="000000"/>
                <w:sz w:val="17"/>
                <w:szCs w:val="17"/>
                <w:lang w:bidi="ru-RU"/>
              </w:rPr>
              <w:t>4,234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BB4C0C" w:rsidRPr="00BB4C0C" w:rsidRDefault="00BB4C0C" w:rsidP="00BB4C0C">
            <w:pPr>
              <w:spacing w:line="17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B4C0C">
              <w:rPr>
                <w:b/>
                <w:bCs/>
                <w:color w:val="000000"/>
                <w:sz w:val="17"/>
                <w:szCs w:val="17"/>
                <w:lang w:bidi="ru-RU"/>
              </w:rPr>
              <w:t>1,716</w:t>
            </w:r>
          </w:p>
        </w:tc>
        <w:tc>
          <w:tcPr>
            <w:tcW w:w="1109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93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36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18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84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30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shd w:val="clear" w:color="auto" w:fill="FFFFFF"/>
          </w:tcPr>
          <w:p w:rsidR="00BB4C0C" w:rsidRPr="00BB4C0C" w:rsidRDefault="00BB4C0C" w:rsidP="00BB4C0C">
            <w:pP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6C1F91" w:rsidRDefault="006C1F91" w:rsidP="005D0EE3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52622C" w:rsidRPr="0052622C" w:rsidRDefault="0052622C" w:rsidP="0052622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2622C">
        <w:rPr>
          <w:bCs/>
          <w:sz w:val="24"/>
          <w:szCs w:val="24"/>
        </w:rPr>
        <w:t xml:space="preserve">Необходимость капитального ремонта КЛ изложена в п.п. 1.З., 1.4. пояснительной записки </w:t>
      </w:r>
      <w:r>
        <w:rPr>
          <w:bCs/>
          <w:sz w:val="24"/>
          <w:szCs w:val="24"/>
        </w:rPr>
        <w:t>материалов тарифного дела на 2023-2027 г</w:t>
      </w:r>
      <w:r w:rsidRPr="0052622C">
        <w:rPr>
          <w:bCs/>
          <w:sz w:val="24"/>
          <w:szCs w:val="24"/>
        </w:rPr>
        <w:t xml:space="preserve">г. ООО «ЭлСеть». Обоснованием необходимости проведения капитального ремонта КЛ-6-10 кВ являются паспорта КЛ (приложения </w:t>
      </w:r>
      <w:r>
        <w:rPr>
          <w:bCs/>
          <w:sz w:val="24"/>
          <w:szCs w:val="24"/>
        </w:rPr>
        <w:t xml:space="preserve">№№ </w:t>
      </w:r>
      <w:r w:rsidRPr="0052622C">
        <w:rPr>
          <w:bCs/>
          <w:sz w:val="24"/>
          <w:szCs w:val="24"/>
        </w:rPr>
        <w:t>193-257 к пояснительной записке) и протоколы испытаний на КЛ (приложения №№ 128-192).</w:t>
      </w:r>
    </w:p>
    <w:p w:rsidR="0052622C" w:rsidRPr="0052622C" w:rsidRDefault="0052622C" w:rsidP="0052622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2622C">
        <w:rPr>
          <w:bCs/>
          <w:sz w:val="24"/>
          <w:szCs w:val="24"/>
        </w:rPr>
        <w:t>2. Капитальный ремонт воздушных линий (замена провода)</w:t>
      </w:r>
      <w:r>
        <w:rPr>
          <w:bCs/>
          <w:sz w:val="24"/>
          <w:szCs w:val="24"/>
        </w:rPr>
        <w:t>.</w:t>
      </w:r>
    </w:p>
    <w:p w:rsidR="0052622C" w:rsidRPr="0052622C" w:rsidRDefault="0052622C" w:rsidP="0052622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2622C">
        <w:rPr>
          <w:bCs/>
          <w:sz w:val="24"/>
          <w:szCs w:val="24"/>
        </w:rPr>
        <w:t xml:space="preserve">Согласно п. 408 Правил в приложении № 83 представлен перечень работ типового капитального ремонта воздушных линий электропередач 0,4 кВ, в котором замена проводов на провода большего сечения или большей механической прочности на участках длиной не более 30% протяженности </w:t>
      </w:r>
      <w:proofErr w:type="gramStart"/>
      <w:r w:rsidRPr="0052622C">
        <w:rPr>
          <w:bCs/>
          <w:sz w:val="24"/>
          <w:szCs w:val="24"/>
        </w:rPr>
        <w:t>ВЛ</w:t>
      </w:r>
      <w:proofErr w:type="gramEnd"/>
      <w:r w:rsidRPr="0052622C">
        <w:rPr>
          <w:bCs/>
          <w:sz w:val="24"/>
          <w:szCs w:val="24"/>
        </w:rPr>
        <w:t xml:space="preserve"> относится к капитальному ремонту.</w:t>
      </w:r>
    </w:p>
    <w:p w:rsidR="0052622C" w:rsidRDefault="0052622C" w:rsidP="0052622C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52622C">
        <w:rPr>
          <w:bCs/>
          <w:sz w:val="24"/>
          <w:szCs w:val="24"/>
        </w:rPr>
        <w:t xml:space="preserve">Необходимость капитального ремонта </w:t>
      </w:r>
      <w:proofErr w:type="gramStart"/>
      <w:r w:rsidRPr="0052622C">
        <w:rPr>
          <w:bCs/>
          <w:sz w:val="24"/>
          <w:szCs w:val="24"/>
        </w:rPr>
        <w:t>ВЛ</w:t>
      </w:r>
      <w:proofErr w:type="gramEnd"/>
      <w:r w:rsidRPr="0052622C">
        <w:rPr>
          <w:bCs/>
          <w:sz w:val="24"/>
          <w:szCs w:val="24"/>
        </w:rPr>
        <w:t xml:space="preserve"> изложена в п. 1.1. пояснительной записки на 2023 г. ООО «ЭлСеть». Обоснованием необходимости проведения капитального ремонта ВЛ-0,4 кВ являются дефектные ведомости (приложения №№ 116-127 к пояснительной записке).</w:t>
      </w: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Таблица 2</w:t>
      </w:r>
    </w:p>
    <w:p w:rsidR="0052622C" w:rsidRDefault="0052622C" w:rsidP="0052622C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957"/>
        <w:gridCol w:w="1066"/>
        <w:gridCol w:w="1627"/>
        <w:gridCol w:w="1531"/>
        <w:gridCol w:w="1320"/>
      </w:tblGrid>
      <w:tr w:rsidR="0052622C" w:rsidRPr="0052622C" w:rsidTr="00601A52">
        <w:trPr>
          <w:trHeight w:hRule="exact" w:val="101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after="60" w:line="200" w:lineRule="exact"/>
              <w:ind w:left="24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№</w:t>
            </w:r>
            <w:r w:rsidR="00601A52">
              <w:rPr>
                <w:color w:val="000000"/>
                <w:lang w:bidi="ru-RU"/>
              </w:rPr>
              <w:t xml:space="preserve"> </w:t>
            </w:r>
            <w:proofErr w:type="gramStart"/>
            <w:r w:rsidRPr="0052622C">
              <w:rPr>
                <w:color w:val="000000"/>
                <w:lang w:bidi="ru-RU"/>
              </w:rPr>
              <w:t>п</w:t>
            </w:r>
            <w:proofErr w:type="gramEnd"/>
            <w:r w:rsidRPr="0052622C">
              <w:rPr>
                <w:color w:val="000000"/>
                <w:lang w:bidi="ru-RU"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Наименование объектов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line="230" w:lineRule="exact"/>
              <w:ind w:left="28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 xml:space="preserve">Длина </w:t>
            </w:r>
            <w:proofErr w:type="gramStart"/>
            <w:r w:rsidRPr="0052622C">
              <w:rPr>
                <w:color w:val="000000"/>
                <w:lang w:bidi="ru-RU"/>
              </w:rPr>
              <w:t>ВЛ</w:t>
            </w:r>
            <w:proofErr w:type="gramEnd"/>
            <w:r w:rsidRPr="0052622C">
              <w:rPr>
                <w:color w:val="000000"/>
                <w:lang w:bidi="ru-RU"/>
              </w:rPr>
              <w:t>, км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line="23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Длина</w:t>
            </w:r>
            <w:r w:rsidR="00601A52">
              <w:rPr>
                <w:color w:val="000000"/>
                <w:lang w:bidi="ru-RU"/>
              </w:rPr>
              <w:t xml:space="preserve"> </w:t>
            </w:r>
            <w:r w:rsidRPr="0052622C">
              <w:rPr>
                <w:color w:val="000000"/>
                <w:lang w:bidi="ru-RU"/>
              </w:rPr>
              <w:t xml:space="preserve">ремонтируемого участка, </w:t>
            </w:r>
            <w:proofErr w:type="gramStart"/>
            <w:r w:rsidRPr="0052622C">
              <w:rPr>
                <w:color w:val="000000"/>
                <w:lang w:bidi="ru-RU"/>
              </w:rPr>
              <w:t>км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line="23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 xml:space="preserve">% от общей протяженности </w:t>
            </w:r>
            <w:proofErr w:type="gramStart"/>
            <w:r w:rsidRPr="0052622C">
              <w:rPr>
                <w:color w:val="000000"/>
                <w:lang w:bidi="ru-RU"/>
              </w:rPr>
              <w:t>ВЛ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601A52">
            <w:pPr>
              <w:spacing w:line="235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Количество скруток, шт.</w:t>
            </w:r>
          </w:p>
        </w:tc>
      </w:tr>
      <w:tr w:rsidR="0052622C" w:rsidRPr="0052622C" w:rsidTr="0052622C">
        <w:trPr>
          <w:trHeight w:val="1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22C" w:rsidRPr="0052622C" w:rsidRDefault="0052622C" w:rsidP="0052622C">
            <w:pPr>
              <w:spacing w:line="230" w:lineRule="exact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Капитальный ремонт ВЛ-0,4 кВ ф. 3 КТП-317 г. Кинешма (ВЛИ-0,4 кВ от КТП-317,</w:t>
            </w:r>
            <w:r>
              <w:t xml:space="preserve"> </w:t>
            </w:r>
            <w:r w:rsidRPr="0052622C">
              <w:rPr>
                <w:color w:val="000000"/>
                <w:lang w:bidi="ru-RU"/>
              </w:rPr>
              <w:t>построенной в центре нагрузки при переводе части нагрузки с ТП-97 иТП-301 г. Кинешма)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ind w:left="280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0,923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0,235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25,4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color w:val="000000"/>
                <w:sz w:val="24"/>
                <w:szCs w:val="24"/>
                <w:lang w:bidi="ru-RU"/>
              </w:rPr>
            </w:pPr>
            <w:r w:rsidRPr="0052622C">
              <w:rPr>
                <w:color w:val="000000"/>
                <w:lang w:bidi="ru-RU"/>
              </w:rPr>
              <w:t>30</w:t>
            </w:r>
          </w:p>
        </w:tc>
      </w:tr>
      <w:tr w:rsidR="0052622C" w:rsidTr="0052622C">
        <w:trPr>
          <w:trHeight w:hRule="exact" w:val="7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jc w:val="center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22C" w:rsidRPr="0052622C" w:rsidRDefault="0052622C" w:rsidP="0052622C">
            <w:pPr>
              <w:spacing w:line="230" w:lineRule="exact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 xml:space="preserve">Капитальный ремонт ВЛ-0,4 кВ ф. </w:t>
            </w:r>
            <w:r w:rsidRPr="0052622C">
              <w:rPr>
                <w:rStyle w:val="210pt1pt"/>
                <w:spacing w:val="0"/>
                <w:shd w:val="clear" w:color="auto" w:fill="auto"/>
              </w:rPr>
              <w:t>ЮТП-ПО</w:t>
            </w:r>
            <w:r w:rsidR="00601A52">
              <w:rPr>
                <w:rStyle w:val="210pt1pt"/>
                <w:spacing w:val="0"/>
                <w:shd w:val="clear" w:color="auto" w:fill="auto"/>
              </w:rPr>
              <w:t xml:space="preserve"> </w:t>
            </w:r>
            <w:r w:rsidRPr="0052622C">
              <w:rPr>
                <w:rStyle w:val="210pt1pt"/>
                <w:spacing w:val="0"/>
                <w:shd w:val="clear" w:color="auto" w:fill="auto"/>
              </w:rPr>
              <w:t>г.</w:t>
            </w:r>
            <w:r w:rsidRPr="0052622C">
              <w:rPr>
                <w:rStyle w:val="210pt"/>
                <w:shd w:val="clear" w:color="auto" w:fill="auto"/>
              </w:rPr>
              <w:t xml:space="preserve"> Кинешма (ЛЭП-0,4 кВ от ТП № </w:t>
            </w:r>
            <w:proofErr w:type="gramStart"/>
            <w:r w:rsidRPr="0052622C">
              <w:rPr>
                <w:rStyle w:val="210pt"/>
                <w:shd w:val="clear" w:color="auto" w:fill="auto"/>
              </w:rPr>
              <w:t>ПО</w:t>
            </w:r>
            <w:proofErr w:type="gramEnd"/>
            <w:r w:rsidRPr="0052622C">
              <w:rPr>
                <w:rStyle w:val="210pt"/>
                <w:shd w:val="clear" w:color="auto" w:fill="auto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ind w:left="280"/>
              <w:jc w:val="right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>1,317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jc w:val="right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>0,289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jc w:val="right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>21,9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jc w:val="right"/>
              <w:rPr>
                <w:color w:val="000000"/>
                <w:lang w:bidi="ru-RU"/>
              </w:rPr>
            </w:pPr>
            <w:r w:rsidRPr="0052622C">
              <w:rPr>
                <w:rStyle w:val="210pt"/>
                <w:shd w:val="clear" w:color="auto" w:fill="auto"/>
              </w:rPr>
              <w:t>28</w:t>
            </w:r>
          </w:p>
        </w:tc>
      </w:tr>
      <w:tr w:rsidR="0052622C" w:rsidTr="0052622C">
        <w:trPr>
          <w:trHeight w:hRule="exact" w:val="7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30" w:lineRule="exact"/>
              <w:jc w:val="right"/>
              <w:rPr>
                <w:b/>
                <w:color w:val="000000"/>
                <w:lang w:bidi="ru-RU"/>
              </w:rPr>
            </w:pPr>
            <w:r w:rsidRPr="0052622C">
              <w:rPr>
                <w:rStyle w:val="210pt"/>
                <w:b/>
                <w:shd w:val="clear" w:color="auto" w:fill="auto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ind w:left="280"/>
              <w:jc w:val="right"/>
              <w:rPr>
                <w:b/>
                <w:color w:val="000000"/>
                <w:lang w:bidi="ru-RU"/>
              </w:rPr>
            </w:pPr>
            <w:r w:rsidRPr="0052622C">
              <w:rPr>
                <w:rStyle w:val="295pt"/>
                <w:bCs w:val="0"/>
                <w:sz w:val="20"/>
                <w:szCs w:val="20"/>
                <w:shd w:val="clear" w:color="auto" w:fill="auto"/>
              </w:rPr>
              <w:t>2,240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b/>
                <w:color w:val="000000"/>
                <w:lang w:bidi="ru-RU"/>
              </w:rPr>
            </w:pPr>
            <w:r w:rsidRPr="0052622C">
              <w:rPr>
                <w:rStyle w:val="295pt"/>
                <w:bCs w:val="0"/>
                <w:sz w:val="20"/>
                <w:szCs w:val="20"/>
                <w:shd w:val="clear" w:color="auto" w:fill="auto"/>
              </w:rPr>
              <w:t>0,524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color w:val="000000"/>
                <w:lang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22C" w:rsidRPr="0052622C" w:rsidRDefault="0052622C" w:rsidP="0052622C">
            <w:pPr>
              <w:spacing w:line="200" w:lineRule="exact"/>
              <w:jc w:val="right"/>
              <w:rPr>
                <w:color w:val="000000"/>
                <w:lang w:bidi="ru-RU"/>
              </w:rPr>
            </w:pPr>
          </w:p>
        </w:tc>
      </w:tr>
    </w:tbl>
    <w:p w:rsidR="00327BFB" w:rsidRP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 xml:space="preserve">По объектам, указанным в таблице № 2 длина участков </w:t>
      </w:r>
      <w:proofErr w:type="gramStart"/>
      <w:r w:rsidRPr="00327BFB">
        <w:rPr>
          <w:bCs/>
          <w:sz w:val="24"/>
          <w:szCs w:val="24"/>
        </w:rPr>
        <w:t>ВЛ</w:t>
      </w:r>
      <w:proofErr w:type="gramEnd"/>
      <w:r w:rsidRPr="00327BFB">
        <w:rPr>
          <w:bCs/>
          <w:sz w:val="24"/>
          <w:szCs w:val="24"/>
        </w:rPr>
        <w:t>, на которых запланирована замена проводов</w:t>
      </w:r>
      <w:r>
        <w:rPr>
          <w:bCs/>
          <w:sz w:val="24"/>
          <w:szCs w:val="24"/>
        </w:rPr>
        <w:t>,</w:t>
      </w:r>
      <w:r w:rsidRPr="00327BFB">
        <w:rPr>
          <w:bCs/>
          <w:sz w:val="24"/>
          <w:szCs w:val="24"/>
        </w:rPr>
        <w:t xml:space="preserve"> не превышает 30% от протяженности ВЛ, что соответствует перечню работ типового капитального ремонта ВЛ и соответственно указанные работы относятся к капитальному ремонту, а не к реконструкции (Приложение 83 Правил, утвержденных приказом Минэнерго № 1013 от 25Л0.2017 г.).</w:t>
      </w:r>
    </w:p>
    <w:p w:rsidR="00327BFB" w:rsidRP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>3. Капитальный ремонт воздушных линий (замена опор)</w:t>
      </w:r>
      <w:r>
        <w:rPr>
          <w:bCs/>
          <w:sz w:val="24"/>
          <w:szCs w:val="24"/>
        </w:rPr>
        <w:t>.</w:t>
      </w:r>
    </w:p>
    <w:p w:rsidR="00327BFB" w:rsidRP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>Согласно п. 408 Правил в приложении № 83 представлен перечень работ типового капитального ремонта воздушных линий электропередач 0,4 кВ, в котором сплошная замена опор на участке длиной не более 50% протяженности ВЛ относится к капитальному ремонту.</w:t>
      </w:r>
    </w:p>
    <w:p w:rsidR="0052622C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>Необходимость капитального ремонта ВЛ изложена в п. 1.2. пояснительной записки на 2023 г. ООО «ЭлСеть». Обоснованием необходимости проведения капитального ремонта ВЛ-0,4 кВ являются дефектные ведомости (приложения №№ 116-127 к пояснительной записке).</w:t>
      </w:r>
    </w:p>
    <w:p w:rsidR="00327BFB" w:rsidRDefault="009553B3" w:rsidP="009553B3">
      <w:pPr>
        <w:tabs>
          <w:tab w:val="left" w:pos="4020"/>
        </w:tabs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</w:p>
    <w:p w:rsid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614"/>
        <w:gridCol w:w="1267"/>
        <w:gridCol w:w="2160"/>
        <w:gridCol w:w="1541"/>
      </w:tblGrid>
      <w:tr w:rsidR="009553B3" w:rsidRPr="009553B3" w:rsidTr="009553B3">
        <w:trPr>
          <w:trHeight w:hRule="exact" w:val="12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after="60"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№</w:t>
            </w:r>
            <w:r>
              <w:rPr>
                <w:color w:val="000000"/>
                <w:lang w:bidi="ru-RU"/>
              </w:rPr>
              <w:t xml:space="preserve"> </w:t>
            </w:r>
            <w:proofErr w:type="gramStart"/>
            <w:r w:rsidRPr="009553B3">
              <w:rPr>
                <w:color w:val="000000"/>
                <w:lang w:bidi="ru-RU"/>
              </w:rPr>
              <w:t>п</w:t>
            </w:r>
            <w:proofErr w:type="gramEnd"/>
            <w:r w:rsidRPr="009553B3">
              <w:rPr>
                <w:color w:val="000000"/>
                <w:lang w:bidi="ru-RU"/>
              </w:rPr>
              <w:t>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Наименование объектов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16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 xml:space="preserve">Длина </w:t>
            </w:r>
            <w:proofErr w:type="gramStart"/>
            <w:r w:rsidRPr="009553B3">
              <w:rPr>
                <w:color w:val="000000"/>
                <w:lang w:bidi="ru-RU"/>
              </w:rPr>
              <w:t>ВЛ</w:t>
            </w:r>
            <w:proofErr w:type="gramEnd"/>
            <w:r w:rsidRPr="009553B3">
              <w:rPr>
                <w:color w:val="000000"/>
                <w:lang w:bidi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3B3" w:rsidRPr="009553B3" w:rsidRDefault="009553B3" w:rsidP="009553B3">
            <w:pPr>
              <w:spacing w:line="221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Длина</w:t>
            </w:r>
            <w:r>
              <w:rPr>
                <w:color w:val="000000"/>
                <w:lang w:bidi="ru-RU"/>
              </w:rPr>
              <w:t xml:space="preserve"> </w:t>
            </w:r>
            <w:r w:rsidRPr="009553B3">
              <w:rPr>
                <w:color w:val="000000"/>
                <w:lang w:bidi="ru-RU"/>
              </w:rPr>
              <w:t xml:space="preserve">ремонтируемого участка, на котором планируется замена опор, </w:t>
            </w:r>
            <w:proofErr w:type="gramStart"/>
            <w:r w:rsidRPr="009553B3">
              <w:rPr>
                <w:color w:val="000000"/>
                <w:lang w:bidi="ru-RU"/>
              </w:rPr>
              <w:t>км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16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rFonts w:ascii="Tahoma" w:eastAsia="Tahoma" w:hAnsi="Tahoma" w:cs="Tahoma"/>
                <w:i/>
                <w:iCs/>
                <w:color w:val="000000"/>
                <w:sz w:val="18"/>
                <w:szCs w:val="18"/>
                <w:lang w:bidi="ru-RU"/>
              </w:rPr>
              <w:t>%</w:t>
            </w:r>
            <w:r w:rsidRPr="009553B3">
              <w:rPr>
                <w:color w:val="000000"/>
                <w:lang w:bidi="ru-RU"/>
              </w:rPr>
              <w:t xml:space="preserve"> от общей протяженности </w:t>
            </w:r>
            <w:proofErr w:type="gramStart"/>
            <w:r w:rsidRPr="009553B3">
              <w:rPr>
                <w:color w:val="000000"/>
                <w:lang w:bidi="ru-RU"/>
              </w:rPr>
              <w:t>ВЛ</w:t>
            </w:r>
            <w:proofErr w:type="gramEnd"/>
          </w:p>
        </w:tc>
      </w:tr>
      <w:tr w:rsidR="009553B3" w:rsidRPr="009553B3" w:rsidTr="009553B3">
        <w:trPr>
          <w:trHeight w:hRule="exact" w:val="7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3B3" w:rsidRPr="009553B3" w:rsidRDefault="009553B3" w:rsidP="009553B3">
            <w:pPr>
              <w:spacing w:line="240" w:lineRule="exact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Капитальный ремонт ВЛ-0,4 кВ ф.1 ТП-5Т г. Кинешма (замена 2 из 6 опор -33,3%)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0,317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0,048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3B3" w:rsidRPr="009553B3" w:rsidRDefault="009553B3" w:rsidP="009553B3">
            <w:pPr>
              <w:spacing w:line="20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553B3">
              <w:rPr>
                <w:color w:val="000000"/>
                <w:lang w:bidi="ru-RU"/>
              </w:rPr>
              <w:t>15,1</w:t>
            </w:r>
          </w:p>
        </w:tc>
      </w:tr>
    </w:tbl>
    <w:p w:rsid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</w:p>
    <w:p w:rsidR="00327BFB" w:rsidRP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 xml:space="preserve">По объекту, указанному в таблице № 3 длина участка </w:t>
      </w:r>
      <w:proofErr w:type="gramStart"/>
      <w:r w:rsidRPr="00327BFB">
        <w:rPr>
          <w:bCs/>
          <w:sz w:val="24"/>
          <w:szCs w:val="24"/>
        </w:rPr>
        <w:t>ВЛ</w:t>
      </w:r>
      <w:proofErr w:type="gramEnd"/>
      <w:r w:rsidRPr="00327BFB">
        <w:rPr>
          <w:bCs/>
          <w:sz w:val="24"/>
          <w:szCs w:val="24"/>
        </w:rPr>
        <w:t>, на котором запланирована замена опор</w:t>
      </w:r>
      <w:r>
        <w:rPr>
          <w:bCs/>
          <w:sz w:val="24"/>
          <w:szCs w:val="24"/>
        </w:rPr>
        <w:t>,</w:t>
      </w:r>
      <w:r w:rsidRPr="00327BFB">
        <w:rPr>
          <w:bCs/>
          <w:sz w:val="24"/>
          <w:szCs w:val="24"/>
        </w:rPr>
        <w:t xml:space="preserve"> не превышает 50% от протяженности ВЛ, что соответствует перечню работ типового капитального ремонта ВЛ и соответственно указанная работа относится к капитальному ремонту, а не к реконструкции (Приложение 83 Правил, утвержденных приказом Минэнерго № 1013 от 25Л0.2017 г.).</w:t>
      </w:r>
    </w:p>
    <w:p w:rsidR="00327BFB" w:rsidRP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>Вышеперечисленные расходы, по мнению Общества, являются экономически обоснованными.</w:t>
      </w:r>
    </w:p>
    <w:p w:rsidR="00327BFB" w:rsidRDefault="00327BFB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327BFB">
        <w:rPr>
          <w:bCs/>
          <w:sz w:val="24"/>
          <w:szCs w:val="24"/>
        </w:rPr>
        <w:t>На основании вышеизложенного</w:t>
      </w:r>
      <w:r>
        <w:rPr>
          <w:bCs/>
          <w:sz w:val="24"/>
          <w:szCs w:val="24"/>
        </w:rPr>
        <w:t>,</w:t>
      </w:r>
      <w:r w:rsidRPr="00327B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Общество </w:t>
      </w:r>
      <w:r w:rsidRPr="00327BFB">
        <w:rPr>
          <w:bCs/>
          <w:sz w:val="24"/>
          <w:szCs w:val="24"/>
        </w:rPr>
        <w:t>проси</w:t>
      </w:r>
      <w:r>
        <w:rPr>
          <w:bCs/>
          <w:sz w:val="24"/>
          <w:szCs w:val="24"/>
        </w:rPr>
        <w:t>т</w:t>
      </w:r>
      <w:r w:rsidRPr="00327BFB">
        <w:rPr>
          <w:bCs/>
          <w:sz w:val="24"/>
          <w:szCs w:val="24"/>
        </w:rPr>
        <w:t xml:space="preserve"> учесть замечание и предложение ООО «ЭлСеть» и утвердить необходимую валовую выручку согласно расчет</w:t>
      </w:r>
      <w:r w:rsidR="00C324FC">
        <w:rPr>
          <w:bCs/>
          <w:sz w:val="24"/>
          <w:szCs w:val="24"/>
        </w:rPr>
        <w:t>ам</w:t>
      </w:r>
      <w:r>
        <w:rPr>
          <w:bCs/>
          <w:sz w:val="24"/>
          <w:szCs w:val="24"/>
        </w:rPr>
        <w:t xml:space="preserve"> организации</w:t>
      </w:r>
      <w:r w:rsidRPr="00327BFB">
        <w:rPr>
          <w:bCs/>
          <w:sz w:val="24"/>
          <w:szCs w:val="24"/>
        </w:rPr>
        <w:t>.</w:t>
      </w:r>
    </w:p>
    <w:p w:rsidR="00195576" w:rsidRDefault="00195576" w:rsidP="00327BF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 по вышеперечисленным доводам отмечает следующее.</w:t>
      </w:r>
    </w:p>
    <w:p w:rsidR="007542CA" w:rsidRDefault="007542CA" w:rsidP="00243B1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7542CA">
        <w:rPr>
          <w:bCs/>
          <w:sz w:val="24"/>
          <w:szCs w:val="24"/>
        </w:rPr>
        <w:t>Фактические расходы ООО «ЭлСеть» по данной статье за 9 мес. 2022 года составили 186,22 тыс. руб. Департаментом учитываются в расчете тарифов плановые расходы на капитальный ремонт ОЭСХ ООО «ЭлСеть» на 2023 год в сумме 353,18 тыс. руб., вместо заявленных ООО «ЭлСеть» расходов в сумме 15 504,32 тыс. руб., на основании предоставленной в материалы тарифного дела ремонтной программы за исключением работ</w:t>
      </w:r>
      <w:proofErr w:type="gramEnd"/>
      <w:r w:rsidRPr="007542CA">
        <w:rPr>
          <w:bCs/>
          <w:sz w:val="24"/>
          <w:szCs w:val="24"/>
        </w:rPr>
        <w:t xml:space="preserve"> </w:t>
      </w:r>
      <w:proofErr w:type="gramStart"/>
      <w:r w:rsidRPr="007542CA">
        <w:rPr>
          <w:bCs/>
          <w:sz w:val="24"/>
          <w:szCs w:val="24"/>
        </w:rPr>
        <w:t>капитального характера, которые можно отнести к реконструкции основных средств.</w:t>
      </w:r>
      <w:proofErr w:type="gramEnd"/>
      <w:r w:rsidRPr="007542CA">
        <w:rPr>
          <w:bCs/>
          <w:sz w:val="24"/>
          <w:szCs w:val="24"/>
        </w:rPr>
        <w:t xml:space="preserve"> Департамент также отмечает, что источником финансирования </w:t>
      </w:r>
      <w:r w:rsidRPr="007542CA">
        <w:rPr>
          <w:bCs/>
          <w:sz w:val="24"/>
          <w:szCs w:val="24"/>
        </w:rPr>
        <w:lastRenderedPageBreak/>
        <w:t>данных работ могут выступать амортизационные отчисления, учитываемые в составе НВВ ООО «ЭлСеть» на 2023 год в сумме 866,03 тыс. руб.</w:t>
      </w:r>
      <w:bookmarkStart w:id="0" w:name="_GoBack"/>
      <w:bookmarkEnd w:id="0"/>
    </w:p>
    <w:p w:rsidR="00243B1B" w:rsidRPr="00243B1B" w:rsidRDefault="00243B1B" w:rsidP="00243B1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proofErr w:type="gramStart"/>
      <w:r w:rsidRPr="00243B1B">
        <w:rPr>
          <w:bCs/>
          <w:sz w:val="24"/>
          <w:szCs w:val="24"/>
        </w:rPr>
        <w:t xml:space="preserve">Заявленные </w:t>
      </w:r>
      <w:r w:rsidR="00E72C20" w:rsidRPr="00E72C20">
        <w:rPr>
          <w:bCs/>
          <w:sz w:val="24"/>
          <w:szCs w:val="24"/>
        </w:rPr>
        <w:t>ООО «ЭлСеть»</w:t>
      </w:r>
      <w:r w:rsidR="00E72C20">
        <w:rPr>
          <w:bCs/>
          <w:sz w:val="24"/>
          <w:szCs w:val="24"/>
        </w:rPr>
        <w:t xml:space="preserve"> </w:t>
      </w:r>
      <w:r w:rsidRPr="00243B1B">
        <w:rPr>
          <w:bCs/>
          <w:sz w:val="24"/>
          <w:szCs w:val="24"/>
        </w:rPr>
        <w:t xml:space="preserve">расходы на капитальный ремонт </w:t>
      </w:r>
      <w:r w:rsidR="00E72C20" w:rsidRPr="00E72C20">
        <w:rPr>
          <w:bCs/>
          <w:sz w:val="24"/>
          <w:szCs w:val="24"/>
        </w:rPr>
        <w:t>кабельных линий (замена кабелей)</w:t>
      </w:r>
      <w:r w:rsidR="00441938">
        <w:rPr>
          <w:bCs/>
          <w:sz w:val="24"/>
          <w:szCs w:val="24"/>
        </w:rPr>
        <w:t xml:space="preserve">, </w:t>
      </w:r>
      <w:r w:rsidR="00441938" w:rsidRPr="00441938">
        <w:rPr>
          <w:bCs/>
          <w:sz w:val="24"/>
          <w:szCs w:val="24"/>
        </w:rPr>
        <w:t>воздушных линий (замена провода</w:t>
      </w:r>
      <w:r w:rsidR="00441938">
        <w:rPr>
          <w:bCs/>
          <w:sz w:val="24"/>
          <w:szCs w:val="24"/>
        </w:rPr>
        <w:t xml:space="preserve"> и замена опор</w:t>
      </w:r>
      <w:r w:rsidR="00441938" w:rsidRPr="00441938">
        <w:rPr>
          <w:bCs/>
          <w:sz w:val="24"/>
          <w:szCs w:val="24"/>
        </w:rPr>
        <w:t>)</w:t>
      </w:r>
      <w:r w:rsidR="00E72C20">
        <w:rPr>
          <w:bCs/>
          <w:sz w:val="24"/>
          <w:szCs w:val="24"/>
        </w:rPr>
        <w:t xml:space="preserve"> </w:t>
      </w:r>
      <w:r w:rsidR="00441938">
        <w:rPr>
          <w:bCs/>
          <w:sz w:val="24"/>
          <w:szCs w:val="24"/>
        </w:rPr>
        <w:t xml:space="preserve">в основной своей части </w:t>
      </w:r>
      <w:r w:rsidRPr="00243B1B">
        <w:rPr>
          <w:bCs/>
          <w:sz w:val="24"/>
          <w:szCs w:val="24"/>
        </w:rPr>
        <w:t xml:space="preserve">Департамент считает </w:t>
      </w:r>
      <w:r w:rsidR="00441938">
        <w:rPr>
          <w:bCs/>
          <w:sz w:val="24"/>
          <w:szCs w:val="24"/>
        </w:rPr>
        <w:t xml:space="preserve">возможным и экономически обоснованным отнести </w:t>
      </w:r>
      <w:r w:rsidRPr="00243B1B">
        <w:rPr>
          <w:bCs/>
          <w:sz w:val="24"/>
          <w:szCs w:val="24"/>
        </w:rPr>
        <w:t>к капитальным вложениям</w:t>
      </w:r>
      <w:r w:rsidR="00441938">
        <w:rPr>
          <w:bCs/>
          <w:sz w:val="24"/>
          <w:szCs w:val="24"/>
        </w:rPr>
        <w:t>, так как</w:t>
      </w:r>
      <w:r w:rsidRPr="00243B1B">
        <w:rPr>
          <w:bCs/>
          <w:sz w:val="24"/>
          <w:szCs w:val="24"/>
        </w:rPr>
        <w:t xml:space="preserve"> по своему характеру </w:t>
      </w:r>
      <w:r w:rsidR="00441938">
        <w:rPr>
          <w:bCs/>
          <w:sz w:val="24"/>
          <w:szCs w:val="24"/>
        </w:rPr>
        <w:t xml:space="preserve">данные работы </w:t>
      </w:r>
      <w:r w:rsidRPr="00243B1B">
        <w:rPr>
          <w:bCs/>
          <w:sz w:val="24"/>
          <w:szCs w:val="24"/>
        </w:rPr>
        <w:t xml:space="preserve">являются работами по созданию объектов основных средств или реконструкции объектов основных средств, </w:t>
      </w:r>
      <w:r w:rsidR="00441938" w:rsidRPr="00441938">
        <w:rPr>
          <w:bCs/>
          <w:sz w:val="24"/>
          <w:szCs w:val="24"/>
        </w:rPr>
        <w:t>изменяется сущность объекта, меняются его качественные и (или) количественные</w:t>
      </w:r>
      <w:proofErr w:type="gramEnd"/>
      <w:r w:rsidR="00441938" w:rsidRPr="00441938">
        <w:rPr>
          <w:bCs/>
          <w:sz w:val="24"/>
          <w:szCs w:val="24"/>
        </w:rPr>
        <w:t xml:space="preserve"> характеристики.</w:t>
      </w:r>
      <w:r w:rsidR="00441938">
        <w:rPr>
          <w:bCs/>
          <w:sz w:val="24"/>
          <w:szCs w:val="24"/>
        </w:rPr>
        <w:t xml:space="preserve"> Данные работы </w:t>
      </w:r>
      <w:r w:rsidRPr="00243B1B">
        <w:rPr>
          <w:bCs/>
          <w:sz w:val="24"/>
          <w:szCs w:val="24"/>
        </w:rPr>
        <w:t>подлежа</w:t>
      </w:r>
      <w:r w:rsidR="00441938">
        <w:rPr>
          <w:bCs/>
          <w:sz w:val="24"/>
          <w:szCs w:val="24"/>
        </w:rPr>
        <w:t>т</w:t>
      </w:r>
      <w:r w:rsidRPr="00243B1B">
        <w:rPr>
          <w:bCs/>
          <w:sz w:val="24"/>
          <w:szCs w:val="24"/>
        </w:rPr>
        <w:t xml:space="preserve"> возмещению через амортизационные отчисления. Финансирование указанных работ </w:t>
      </w:r>
      <w:r w:rsidR="00C324FC">
        <w:rPr>
          <w:bCs/>
          <w:sz w:val="24"/>
          <w:szCs w:val="24"/>
        </w:rPr>
        <w:t>может также</w:t>
      </w:r>
      <w:r w:rsidRPr="00243B1B">
        <w:rPr>
          <w:bCs/>
          <w:sz w:val="24"/>
          <w:szCs w:val="24"/>
        </w:rPr>
        <w:t xml:space="preserve"> осуществляться через утвержденную в установленном порядке инвестиционную программу, которая у организации отсутству</w:t>
      </w:r>
      <w:r w:rsidR="00441938">
        <w:rPr>
          <w:bCs/>
          <w:sz w:val="24"/>
          <w:szCs w:val="24"/>
        </w:rPr>
        <w:t>ет.</w:t>
      </w:r>
    </w:p>
    <w:p w:rsidR="00195576" w:rsidRDefault="00243B1B" w:rsidP="00243B1B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243B1B">
        <w:rPr>
          <w:bCs/>
          <w:sz w:val="24"/>
          <w:szCs w:val="24"/>
        </w:rPr>
        <w:t xml:space="preserve">Кроме того, </w:t>
      </w:r>
      <w:r w:rsidR="00C324FC">
        <w:rPr>
          <w:bCs/>
          <w:sz w:val="24"/>
          <w:szCs w:val="24"/>
        </w:rPr>
        <w:t>основная часть</w:t>
      </w:r>
      <w:r w:rsidRPr="00243B1B">
        <w:rPr>
          <w:bCs/>
          <w:sz w:val="24"/>
          <w:szCs w:val="24"/>
        </w:rPr>
        <w:t xml:space="preserve"> объект</w:t>
      </w:r>
      <w:r w:rsidR="00C324FC">
        <w:rPr>
          <w:bCs/>
          <w:sz w:val="24"/>
          <w:szCs w:val="24"/>
        </w:rPr>
        <w:t>ов</w:t>
      </w:r>
      <w:r w:rsidRPr="00243B1B">
        <w:rPr>
          <w:bCs/>
          <w:sz w:val="24"/>
          <w:szCs w:val="24"/>
        </w:rPr>
        <w:t xml:space="preserve"> электросетевого хозяйства, включая вышеуказанные, не являлись бесхозяйными и были приобретены в собственность ООО «ЭлСеть» в октябре 2020 года у сетевой организации, ранее эксплуатирующей эти объекты. Департамент считает, что изначальное приобретение имущества (объектов электросетевого хозяйства), сразу подлежащего капитальному ремонту за счет средств потребителей, экономически не обосновано и относится к рискам предпринимательской деятельности непосредственного приобретателя данных объектов.</w:t>
      </w:r>
    </w:p>
    <w:p w:rsidR="00E86F90" w:rsidRPr="00E86F90" w:rsidRDefault="005D0EE3" w:rsidP="00E86F90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E86F90">
        <w:rPr>
          <w:bCs/>
          <w:sz w:val="24"/>
          <w:szCs w:val="24"/>
        </w:rPr>
        <w:t>Ассоциация «НП Совет рынка» в отношен</w:t>
      </w:r>
      <w:proofErr w:type="gramStart"/>
      <w:r w:rsidRPr="00E86F90">
        <w:rPr>
          <w:bCs/>
          <w:sz w:val="24"/>
          <w:szCs w:val="24"/>
        </w:rPr>
        <w:t xml:space="preserve">ии </w:t>
      </w:r>
      <w:r w:rsidR="00E86F90" w:rsidRPr="00E86F90">
        <w:rPr>
          <w:bCs/>
          <w:sz w:val="24"/>
          <w:szCs w:val="24"/>
        </w:rPr>
        <w:t>ООО</w:t>
      </w:r>
      <w:proofErr w:type="gramEnd"/>
      <w:r w:rsidR="00E86F90" w:rsidRPr="00E86F90">
        <w:rPr>
          <w:bCs/>
          <w:sz w:val="24"/>
          <w:szCs w:val="24"/>
        </w:rPr>
        <w:t xml:space="preserve"> «ЭлСеть»</w:t>
      </w:r>
      <w:r w:rsidRPr="00E86F90">
        <w:rPr>
          <w:bCs/>
          <w:sz w:val="24"/>
          <w:szCs w:val="24"/>
        </w:rPr>
        <w:t xml:space="preserve"> голосует по данному вопросу «против», </w:t>
      </w:r>
      <w:r w:rsidR="00E86F90" w:rsidRPr="00E86F90">
        <w:rPr>
          <w:bCs/>
          <w:sz w:val="24"/>
          <w:szCs w:val="24"/>
        </w:rPr>
        <w:t>так как:</w:t>
      </w:r>
    </w:p>
    <w:p w:rsidR="00E86F90" w:rsidRDefault="00E86F90" w:rsidP="00E86F90">
      <w:pPr>
        <w:tabs>
          <w:tab w:val="left" w:pos="4020"/>
        </w:tabs>
        <w:ind w:firstLine="567"/>
        <w:jc w:val="both"/>
        <w:rPr>
          <w:bCs/>
          <w:sz w:val="24"/>
          <w:szCs w:val="24"/>
        </w:rPr>
      </w:pPr>
      <w:r w:rsidRPr="00E86F90">
        <w:rPr>
          <w:bCs/>
          <w:sz w:val="24"/>
          <w:szCs w:val="24"/>
        </w:rPr>
        <w:t xml:space="preserve">на 15:00 по </w:t>
      </w:r>
      <w:proofErr w:type="gramStart"/>
      <w:r w:rsidRPr="00E86F90">
        <w:rPr>
          <w:bCs/>
          <w:sz w:val="24"/>
          <w:szCs w:val="24"/>
        </w:rPr>
        <w:t>мск</w:t>
      </w:r>
      <w:proofErr w:type="gramEnd"/>
      <w:r w:rsidRPr="00E86F90">
        <w:rPr>
          <w:bCs/>
          <w:sz w:val="24"/>
          <w:szCs w:val="24"/>
        </w:rPr>
        <w:t xml:space="preserve"> 16.11.2022г. не представлено экспертное заключение, расчеты.</w:t>
      </w:r>
    </w:p>
    <w:p w:rsidR="005D0EE3" w:rsidRPr="00E86F90" w:rsidRDefault="00E86F90" w:rsidP="00E86F90">
      <w:pPr>
        <w:tabs>
          <w:tab w:val="left" w:pos="4020"/>
        </w:tabs>
        <w:ind w:firstLine="567"/>
        <w:jc w:val="both"/>
        <w:rPr>
          <w:rFonts w:eastAsia="Calibri"/>
          <w:bCs/>
          <w:sz w:val="24"/>
          <w:szCs w:val="24"/>
          <w:lang w:eastAsia="en-GB"/>
        </w:rPr>
      </w:pPr>
      <w:r w:rsidRPr="00E86F90">
        <w:rPr>
          <w:rFonts w:eastAsia="Calibri"/>
          <w:bCs/>
          <w:sz w:val="24"/>
          <w:szCs w:val="24"/>
          <w:lang w:eastAsia="en-GB"/>
        </w:rPr>
        <w:t>Департамент отмечает, что подробные расчетные материалы по ООО «ЭлСеть» были направлены в адрес Ассоциации «НП Совет рынка» до заседания Правления Департамента.</w:t>
      </w:r>
    </w:p>
    <w:p w:rsidR="005D0EE3" w:rsidRPr="00BC696A" w:rsidRDefault="005D0EE3" w:rsidP="005D0E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EE3" w:rsidRPr="00BC696A" w:rsidRDefault="005D0EE3" w:rsidP="005D0EE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C696A">
        <w:rPr>
          <w:b/>
          <w:sz w:val="24"/>
          <w:szCs w:val="24"/>
        </w:rPr>
        <w:t>РЕШИЛИ:</w:t>
      </w:r>
    </w:p>
    <w:p w:rsidR="005D0EE3" w:rsidRPr="00BC696A" w:rsidRDefault="00BC696A" w:rsidP="005D0EE3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C696A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  № 1178 «О ценообразовании в области регулируемых цен (тарифов) в электроэнергетике»,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постановлением</w:t>
      </w:r>
      <w:proofErr w:type="gramEnd"/>
      <w:r w:rsidRPr="00BC696A">
        <w:rPr>
          <w:sz w:val="24"/>
          <w:szCs w:val="24"/>
        </w:rPr>
        <w:t xml:space="preserve"> </w:t>
      </w:r>
      <w:proofErr w:type="gramStart"/>
      <w:r w:rsidRPr="00BC696A">
        <w:rPr>
          <w:sz w:val="24"/>
          <w:szCs w:val="24"/>
        </w:rPr>
        <w:t>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861,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ФСТ</w:t>
      </w:r>
      <w:proofErr w:type="gramEnd"/>
      <w:r w:rsidRPr="00BC696A">
        <w:rPr>
          <w:sz w:val="24"/>
          <w:szCs w:val="24"/>
        </w:rPr>
        <w:t xml:space="preserve"> </w:t>
      </w:r>
      <w:proofErr w:type="gramStart"/>
      <w:r w:rsidRPr="00BC696A">
        <w:rPr>
          <w:sz w:val="24"/>
          <w:szCs w:val="24"/>
        </w:rPr>
        <w:t>России от 17.02.2012 № 98-э,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организаций, утвержденными приказом Минэнерго России от 29.11.2016 № 1256, приказом Минэнерго России от 26.09.2017 № 887 «Об утверждении нормативов потерь электрической энергии при ее передаче по электрическим сетям территориальных сетевых организаций»</w:t>
      </w:r>
      <w:r w:rsidR="005D0EE3" w:rsidRPr="00BC696A">
        <w:rPr>
          <w:sz w:val="24"/>
          <w:szCs w:val="24"/>
        </w:rPr>
        <w:t>:</w:t>
      </w:r>
      <w:proofErr w:type="gramEnd"/>
    </w:p>
    <w:p w:rsidR="006B108C" w:rsidRDefault="00BC696A" w:rsidP="00BB4C0C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C696A">
        <w:rPr>
          <w:sz w:val="24"/>
          <w:szCs w:val="24"/>
        </w:rPr>
        <w:t>Установить долгосрочные параметры регулирования для ООО «ЭлСеть» на 2023-2027 гг.,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согласно Таблице 1:</w:t>
      </w:r>
    </w:p>
    <w:p w:rsidR="006B108C" w:rsidRDefault="006B108C" w:rsidP="00BB4C0C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  <w:sectPr w:rsidR="006B108C" w:rsidSect="00175CED">
          <w:headerReference w:type="even" r:id="rId19"/>
          <w:headerReference w:type="default" r:id="rId20"/>
          <w:pgSz w:w="11906" w:h="16838"/>
          <w:pgMar w:top="1418" w:right="425" w:bottom="567" w:left="1077" w:header="284" w:footer="709" w:gutter="0"/>
          <w:cols w:space="708"/>
          <w:titlePg/>
          <w:docGrid w:linePitch="360"/>
        </w:sectPr>
      </w:pPr>
    </w:p>
    <w:p w:rsidR="00BC696A" w:rsidRDefault="00BC696A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6B108C" w:rsidRDefault="006B108C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6B108C" w:rsidRPr="006B108C" w:rsidRDefault="006B108C" w:rsidP="006B108C">
      <w:pPr>
        <w:widowControl/>
        <w:tabs>
          <w:tab w:val="left" w:pos="4143"/>
        </w:tabs>
        <w:spacing w:after="200" w:line="276" w:lineRule="auto"/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6B108C">
        <w:rPr>
          <w:rFonts w:eastAsia="Calibri"/>
          <w:b/>
          <w:sz w:val="23"/>
          <w:szCs w:val="23"/>
          <w:lang w:eastAsia="en-US"/>
        </w:rPr>
        <w:t>Долгосрочные параметры регулирования для ООО «ЭлСеть»,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p w:rsidR="006B108C" w:rsidRPr="006B108C" w:rsidRDefault="006B108C" w:rsidP="006B108C">
      <w:pPr>
        <w:widowControl/>
        <w:tabs>
          <w:tab w:val="left" w:pos="4143"/>
        </w:tabs>
        <w:spacing w:after="200" w:line="276" w:lineRule="auto"/>
        <w:jc w:val="center"/>
        <w:rPr>
          <w:rFonts w:eastAsia="Calibri"/>
          <w:sz w:val="23"/>
          <w:szCs w:val="23"/>
          <w:lang w:eastAsia="en-US"/>
        </w:rPr>
      </w:pPr>
    </w:p>
    <w:tbl>
      <w:tblPr>
        <w:tblW w:w="15444" w:type="dxa"/>
        <w:jc w:val="center"/>
        <w:tblInd w:w="5701" w:type="dxa"/>
        <w:tblLook w:val="04A0" w:firstRow="1" w:lastRow="0" w:firstColumn="1" w:lastColumn="0" w:noHBand="0" w:noVBand="1"/>
      </w:tblPr>
      <w:tblGrid>
        <w:gridCol w:w="968"/>
        <w:gridCol w:w="2296"/>
        <w:gridCol w:w="807"/>
        <w:gridCol w:w="1649"/>
        <w:gridCol w:w="1649"/>
        <w:gridCol w:w="1649"/>
        <w:gridCol w:w="1491"/>
        <w:gridCol w:w="1928"/>
        <w:gridCol w:w="1537"/>
        <w:gridCol w:w="1470"/>
      </w:tblGrid>
      <w:tr w:rsidR="006B108C" w:rsidRPr="006B108C" w:rsidTr="006B108C">
        <w:trPr>
          <w:trHeight w:val="1860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 xml:space="preserve">№ </w:t>
            </w:r>
            <w:proofErr w:type="gramStart"/>
            <w:r w:rsidRPr="006B108C">
              <w:t>п</w:t>
            </w:r>
            <w:proofErr w:type="gramEnd"/>
            <w:r w:rsidRPr="006B108C">
              <w:t>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Наименование сетевой организации в субъекте Российской Федерации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Год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 xml:space="preserve">Базовый уровень </w:t>
            </w:r>
            <w:proofErr w:type="gramStart"/>
            <w:r w:rsidRPr="006B108C">
              <w:t>подконтрольных</w:t>
            </w:r>
            <w:proofErr w:type="gramEnd"/>
            <w:r w:rsidRPr="006B108C">
              <w:t xml:space="preserve"> расходов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 xml:space="preserve">Индекс эффективности </w:t>
            </w:r>
            <w:proofErr w:type="gramStart"/>
            <w:r w:rsidRPr="006B108C">
              <w:t>подконтрольных</w:t>
            </w:r>
            <w:proofErr w:type="gramEnd"/>
            <w:r w:rsidRPr="006B108C">
              <w:t xml:space="preserve"> расходов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Коэффициент эластичности подконтрольных расходов по количеству активов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proofErr w:type="gramStart"/>
            <w:r w:rsidRPr="006B108C">
              <w:t>Уровень потерь электрической энергии при ее передаче по электрическим сетям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Показатель уровня качества оказываемых услуг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млн. руб.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%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%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час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шт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 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10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1.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08C" w:rsidRPr="006B108C" w:rsidRDefault="006B108C" w:rsidP="006B108C">
            <w:pPr>
              <w:widowControl/>
              <w:rPr>
                <w:bCs/>
              </w:rPr>
            </w:pPr>
            <w:r w:rsidRPr="006B108C">
              <w:rPr>
                <w:bCs/>
              </w:rPr>
              <w:t>ООО «ЭлСеть»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10,45256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12,52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2,33098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0,78503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1,00000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2,29602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0,77325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1,00000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2,26158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0,76166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1,00000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2026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2,22765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0,75023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1,00000</w:t>
            </w:r>
          </w:p>
        </w:tc>
      </w:tr>
      <w:tr w:rsidR="006B108C" w:rsidRPr="006B108C" w:rsidTr="006B108C">
        <w:trPr>
          <w:trHeight w:val="255"/>
          <w:jc w:val="center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8C" w:rsidRPr="006B108C" w:rsidRDefault="006B108C" w:rsidP="006B108C">
            <w:pPr>
              <w:widowControl/>
              <w:rPr>
                <w:b/>
                <w:b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2027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75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х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2,19424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0,73898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08C" w:rsidRPr="006B108C" w:rsidRDefault="006B108C" w:rsidP="006B108C">
            <w:pPr>
              <w:widowControl/>
              <w:jc w:val="center"/>
            </w:pPr>
            <w:r w:rsidRPr="006B108C">
              <w:t>1,00000</w:t>
            </w:r>
          </w:p>
        </w:tc>
      </w:tr>
    </w:tbl>
    <w:p w:rsidR="006B108C" w:rsidRDefault="006B108C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6B108C" w:rsidRDefault="006B108C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  <w:sectPr w:rsidR="006B108C" w:rsidSect="006B108C">
          <w:pgSz w:w="16838" w:h="11906" w:orient="landscape"/>
          <w:pgMar w:top="1077" w:right="1418" w:bottom="425" w:left="567" w:header="284" w:footer="709" w:gutter="0"/>
          <w:cols w:space="708"/>
          <w:titlePg/>
          <w:docGrid w:linePitch="360"/>
        </w:sectPr>
      </w:pPr>
    </w:p>
    <w:p w:rsidR="00BC696A" w:rsidRPr="00BC696A" w:rsidRDefault="00BC696A" w:rsidP="00BB4C0C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C696A">
        <w:rPr>
          <w:sz w:val="24"/>
          <w:szCs w:val="24"/>
        </w:rPr>
        <w:lastRenderedPageBreak/>
        <w:t>Установить необходимую валовую выручку для ООО «ЭлСеть» на долгосрочный период регулирования 2023-2027 гг. (без учета оплаты потерь) согласно Таблице 2:</w:t>
      </w:r>
    </w:p>
    <w:p w:rsidR="00BC696A" w:rsidRDefault="00BC696A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023FD8" w:rsidRPr="00023FD8" w:rsidRDefault="00023FD8" w:rsidP="00023FD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23FD8">
        <w:rPr>
          <w:rFonts w:eastAsia="Calibri"/>
          <w:b/>
          <w:bCs/>
          <w:sz w:val="22"/>
          <w:szCs w:val="22"/>
        </w:rPr>
        <w:t>НВВ ООО «ЭлСеть»</w:t>
      </w:r>
    </w:p>
    <w:p w:rsidR="00023FD8" w:rsidRPr="00023FD8" w:rsidRDefault="00023FD8" w:rsidP="00023FD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23FD8">
        <w:rPr>
          <w:rFonts w:eastAsia="Calibri"/>
          <w:b/>
          <w:bCs/>
          <w:sz w:val="22"/>
          <w:szCs w:val="22"/>
        </w:rPr>
        <w:t>на долгосрочный период регулирования</w:t>
      </w:r>
    </w:p>
    <w:p w:rsidR="00023FD8" w:rsidRPr="00023FD8" w:rsidRDefault="00023FD8" w:rsidP="00023FD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023FD8">
        <w:rPr>
          <w:rFonts w:eastAsia="Calibri"/>
          <w:b/>
          <w:bCs/>
          <w:sz w:val="22"/>
          <w:szCs w:val="22"/>
        </w:rPr>
        <w:t>(без учета оплаты потерь)</w:t>
      </w:r>
    </w:p>
    <w:p w:rsidR="00023FD8" w:rsidRPr="00023FD8" w:rsidRDefault="00023FD8" w:rsidP="00023FD8">
      <w:pPr>
        <w:widowControl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25"/>
        <w:gridCol w:w="1077"/>
        <w:gridCol w:w="3401"/>
      </w:tblGrid>
      <w:tr w:rsidR="00023FD8" w:rsidRPr="00023FD8" w:rsidTr="00E72C2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023FD8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23FD8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тыс. руб.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ООО «ЭлСеть»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FD8">
              <w:rPr>
                <w:rFonts w:eastAsia="Calibri"/>
                <w:sz w:val="22"/>
                <w:szCs w:val="22"/>
                <w:lang w:eastAsia="en-US"/>
              </w:rPr>
              <w:t>20 323,94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FD8">
              <w:rPr>
                <w:rFonts w:eastAsia="Calibri"/>
                <w:sz w:val="22"/>
                <w:szCs w:val="22"/>
                <w:lang w:eastAsia="en-US"/>
              </w:rPr>
              <w:t>20 705,77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FD8">
              <w:rPr>
                <w:rFonts w:eastAsia="Calibri"/>
                <w:sz w:val="22"/>
                <w:szCs w:val="22"/>
                <w:lang w:eastAsia="en-US"/>
              </w:rPr>
              <w:t>21 047,38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FD8">
              <w:rPr>
                <w:rFonts w:eastAsia="Calibri"/>
                <w:sz w:val="22"/>
                <w:szCs w:val="22"/>
                <w:lang w:eastAsia="en-US"/>
              </w:rPr>
              <w:t>21 378,84</w:t>
            </w:r>
          </w:p>
        </w:tc>
      </w:tr>
      <w:tr w:rsidR="00023FD8" w:rsidRPr="00023FD8" w:rsidTr="00E72C20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23FD8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8" w:rsidRPr="00023FD8" w:rsidRDefault="00023FD8" w:rsidP="00023FD8">
            <w:pPr>
              <w:widowControl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FD8">
              <w:rPr>
                <w:rFonts w:eastAsia="Calibri"/>
                <w:sz w:val="22"/>
                <w:szCs w:val="22"/>
                <w:lang w:eastAsia="en-US"/>
              </w:rPr>
              <w:t>21 720,11</w:t>
            </w:r>
          </w:p>
        </w:tc>
      </w:tr>
    </w:tbl>
    <w:p w:rsidR="00023FD8" w:rsidRPr="00BC696A" w:rsidRDefault="00023FD8" w:rsidP="00BC696A">
      <w:pPr>
        <w:pStyle w:val="aa"/>
        <w:tabs>
          <w:tab w:val="left" w:pos="993"/>
        </w:tabs>
        <w:autoSpaceDE w:val="0"/>
        <w:autoSpaceDN w:val="0"/>
        <w:adjustRightInd w:val="0"/>
        <w:ind w:left="0" w:firstLine="567"/>
        <w:jc w:val="right"/>
        <w:rPr>
          <w:sz w:val="24"/>
          <w:szCs w:val="24"/>
        </w:rPr>
      </w:pPr>
    </w:p>
    <w:p w:rsidR="005D0EE3" w:rsidRPr="005D0EE3" w:rsidRDefault="00BC696A" w:rsidP="00BC696A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highlight w:val="yellow"/>
        </w:rPr>
      </w:pPr>
      <w:r w:rsidRPr="00BC696A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D0EE3" w:rsidRPr="005D0EE3" w:rsidRDefault="005D0EE3" w:rsidP="005D0EE3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sz w:val="24"/>
          <w:szCs w:val="24"/>
          <w:highlight w:val="yellow"/>
        </w:rPr>
      </w:pPr>
    </w:p>
    <w:p w:rsidR="005D0EE3" w:rsidRPr="00A110DC" w:rsidRDefault="005D0EE3" w:rsidP="005D0EE3">
      <w:pPr>
        <w:tabs>
          <w:tab w:val="left" w:pos="4020"/>
        </w:tabs>
        <w:ind w:firstLine="540"/>
        <w:rPr>
          <w:sz w:val="24"/>
          <w:szCs w:val="24"/>
        </w:rPr>
      </w:pPr>
      <w:r w:rsidRPr="00A110DC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 xml:space="preserve">№ </w:t>
            </w:r>
            <w:proofErr w:type="gramStart"/>
            <w:r w:rsidRPr="00A110DC">
              <w:rPr>
                <w:sz w:val="24"/>
                <w:szCs w:val="24"/>
              </w:rPr>
              <w:t>п</w:t>
            </w:r>
            <w:proofErr w:type="gramEnd"/>
            <w:r w:rsidRPr="00A110DC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Результаты голосования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за</w:t>
            </w:r>
          </w:p>
        </w:tc>
      </w:tr>
      <w:tr w:rsidR="005D0EE3" w:rsidRPr="00A110DC" w:rsidTr="005D0E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E3" w:rsidRPr="00A110DC" w:rsidRDefault="005D0EE3" w:rsidP="005D0EE3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A110DC">
              <w:rPr>
                <w:sz w:val="24"/>
                <w:szCs w:val="24"/>
              </w:rPr>
              <w:t>против</w:t>
            </w:r>
          </w:p>
        </w:tc>
      </w:tr>
    </w:tbl>
    <w:p w:rsidR="005D0EE3" w:rsidRPr="00A110DC" w:rsidRDefault="005D0EE3" w:rsidP="005D0EE3">
      <w:pPr>
        <w:tabs>
          <w:tab w:val="left" w:pos="4020"/>
        </w:tabs>
        <w:ind w:left="284" w:firstLine="283"/>
        <w:rPr>
          <w:sz w:val="24"/>
          <w:szCs w:val="24"/>
        </w:rPr>
      </w:pPr>
      <w:r w:rsidRPr="00A110DC">
        <w:rPr>
          <w:sz w:val="24"/>
          <w:szCs w:val="24"/>
        </w:rPr>
        <w:t>Итого: за – 7, против – 1, воздержался – 0, отсутствуют – 0.</w:t>
      </w:r>
    </w:p>
    <w:p w:rsidR="0077531F" w:rsidRPr="00A110DC" w:rsidRDefault="0077531F" w:rsidP="0077531F">
      <w:pPr>
        <w:pStyle w:val="aa"/>
        <w:tabs>
          <w:tab w:val="left" w:pos="709"/>
          <w:tab w:val="left" w:pos="851"/>
        </w:tabs>
        <w:ind w:left="567"/>
        <w:jc w:val="both"/>
        <w:rPr>
          <w:bCs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0A32E3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0A32E3" w:rsidRDefault="00CB2DB7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О</w:t>
            </w:r>
            <w:r w:rsidR="005B384C" w:rsidRPr="000A32E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0A32E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0A32E3" w:rsidRDefault="00DE195F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0A32E3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0A32E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0A32E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0A32E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0A32E3" w:rsidRDefault="005B384C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3008D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100123">
            <w:pPr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A73314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10012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102CEC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Е.А. Коннова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6A3BBE" w:rsidP="00100123">
            <w:pPr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0A32E3" w:rsidRDefault="006A3BBE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И.Г. Полозов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FB144C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lastRenderedPageBreak/>
              <w:t>Начальник отдела по утверждению нормативов и формированию це</w:t>
            </w:r>
            <w:r w:rsidR="00B174A4">
              <w:rPr>
                <w:sz w:val="24"/>
                <w:szCs w:val="24"/>
              </w:rPr>
              <w:t>н на природный и сжиженный газ Д</w:t>
            </w:r>
            <w:r w:rsidRPr="000A32E3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0A32E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0A32E3" w:rsidRDefault="00750E4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0A32E3" w:rsidRDefault="00750E4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О.П. Агапова</w:t>
            </w:r>
          </w:p>
        </w:tc>
      </w:tr>
      <w:tr w:rsidR="00D311F3" w:rsidRPr="000A32E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750E43" w:rsidP="00750E43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0A32E3" w:rsidRDefault="006A3BBE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jc w:val="both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0A32E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0A32E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D311F3" w:rsidRDefault="00100123" w:rsidP="005D0EE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0A32E3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75CED"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28" w:rsidRDefault="00532028">
      <w:r>
        <w:separator/>
      </w:r>
    </w:p>
  </w:endnote>
  <w:endnote w:type="continuationSeparator" w:id="0">
    <w:p w:rsidR="00532028" w:rsidRDefault="0053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28" w:rsidRDefault="00532028">
      <w:r>
        <w:separator/>
      </w:r>
    </w:p>
  </w:footnote>
  <w:footnote w:type="continuationSeparator" w:id="0">
    <w:p w:rsidR="00532028" w:rsidRDefault="0053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28" w:rsidRDefault="0053202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28" w:rsidRDefault="00532028">
    <w:pPr>
      <w:pStyle w:val="a3"/>
    </w:pPr>
  </w:p>
  <w:p w:rsidR="00532028" w:rsidRDefault="00532028"/>
  <w:p w:rsidR="00532028" w:rsidRDefault="005320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28" w:rsidRDefault="00532028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2CA">
      <w:rPr>
        <w:rStyle w:val="a5"/>
        <w:noProof/>
      </w:rPr>
      <w:t>21</w:t>
    </w:r>
    <w:r>
      <w:rPr>
        <w:rStyle w:val="a5"/>
      </w:rPr>
      <w:fldChar w:fldCharType="end"/>
    </w:r>
  </w:p>
  <w:p w:rsidR="00532028" w:rsidRDefault="00532028">
    <w:pPr>
      <w:pStyle w:val="a3"/>
    </w:pPr>
  </w:p>
  <w:p w:rsidR="00532028" w:rsidRDefault="00532028"/>
  <w:p w:rsidR="00532028" w:rsidRDefault="005320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BC24425"/>
    <w:multiLevelType w:val="hybridMultilevel"/>
    <w:tmpl w:val="F2786C46"/>
    <w:lvl w:ilvl="0" w:tplc="8B88533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DD3810"/>
    <w:multiLevelType w:val="multilevel"/>
    <w:tmpl w:val="1DFA4850"/>
    <w:lvl w:ilvl="0">
      <w:start w:val="2019"/>
      <w:numFmt w:val="decimal"/>
      <w:lvlText w:val="23.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0144786"/>
    <w:multiLevelType w:val="multilevel"/>
    <w:tmpl w:val="239A3968"/>
    <w:lvl w:ilvl="0">
      <w:start w:val="2016"/>
      <w:numFmt w:val="decimal"/>
      <w:lvlText w:val="28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A341C0"/>
    <w:multiLevelType w:val="multilevel"/>
    <w:tmpl w:val="44BA14A4"/>
    <w:lvl w:ilvl="0">
      <w:start w:val="2019"/>
      <w:numFmt w:val="decimal"/>
      <w:lvlText w:val="15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E56A6"/>
    <w:multiLevelType w:val="multilevel"/>
    <w:tmpl w:val="D2E4187C"/>
    <w:lvl w:ilvl="0">
      <w:start w:val="2019"/>
      <w:numFmt w:val="decimal"/>
      <w:lvlText w:val="05.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03895"/>
    <w:multiLevelType w:val="multilevel"/>
    <w:tmpl w:val="D714CC22"/>
    <w:lvl w:ilvl="0">
      <w:start w:val="2015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4110B"/>
    <w:multiLevelType w:val="multilevel"/>
    <w:tmpl w:val="1E948F7E"/>
    <w:lvl w:ilvl="0">
      <w:start w:val="2018"/>
      <w:numFmt w:val="decimal"/>
      <w:lvlText w:val="30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B2D15"/>
    <w:multiLevelType w:val="multilevel"/>
    <w:tmpl w:val="7CB0F340"/>
    <w:lvl w:ilvl="0">
      <w:start w:val="2017"/>
      <w:numFmt w:val="decimal"/>
      <w:lvlText w:val="19.0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57B36"/>
    <w:multiLevelType w:val="multilevel"/>
    <w:tmpl w:val="3DA0A0A4"/>
    <w:lvl w:ilvl="0">
      <w:start w:val="2016"/>
      <w:numFmt w:val="decimal"/>
      <w:lvlText w:val="27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E4E85"/>
    <w:multiLevelType w:val="multilevel"/>
    <w:tmpl w:val="2F9004BE"/>
    <w:lvl w:ilvl="0">
      <w:start w:val="2020"/>
      <w:numFmt w:val="decimal"/>
      <w:lvlText w:val="06.0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570437"/>
    <w:multiLevelType w:val="multilevel"/>
    <w:tmpl w:val="AF504104"/>
    <w:lvl w:ilvl="0">
      <w:start w:val="2016"/>
      <w:numFmt w:val="decimal"/>
      <w:lvlText w:val="25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C0F9D"/>
    <w:multiLevelType w:val="multilevel"/>
    <w:tmpl w:val="5CFEDA98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A1A77"/>
    <w:multiLevelType w:val="multilevel"/>
    <w:tmpl w:val="07803398"/>
    <w:lvl w:ilvl="0">
      <w:start w:val="2016"/>
      <w:numFmt w:val="decimal"/>
      <w:lvlText w:val="18.0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A0222"/>
    <w:multiLevelType w:val="hybridMultilevel"/>
    <w:tmpl w:val="0EEA933C"/>
    <w:lvl w:ilvl="0" w:tplc="3BAA4E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A810A5"/>
    <w:multiLevelType w:val="multilevel"/>
    <w:tmpl w:val="92DA38F4"/>
    <w:lvl w:ilvl="0">
      <w:start w:val="2018"/>
      <w:numFmt w:val="decimal"/>
      <w:lvlText w:val="25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8"/>
  </w:num>
  <w:num w:numId="5">
    <w:abstractNumId w:val="16"/>
  </w:num>
  <w:num w:numId="6">
    <w:abstractNumId w:val="1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15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1"/>
    <w:rsid w:val="000064CF"/>
    <w:rsid w:val="0000686F"/>
    <w:rsid w:val="000137F0"/>
    <w:rsid w:val="00023FD8"/>
    <w:rsid w:val="00024856"/>
    <w:rsid w:val="000277EB"/>
    <w:rsid w:val="00027A19"/>
    <w:rsid w:val="000301BD"/>
    <w:rsid w:val="00030E80"/>
    <w:rsid w:val="00034065"/>
    <w:rsid w:val="00035973"/>
    <w:rsid w:val="00035D7B"/>
    <w:rsid w:val="000414ED"/>
    <w:rsid w:val="00042C3E"/>
    <w:rsid w:val="00045769"/>
    <w:rsid w:val="0004576E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32E3"/>
    <w:rsid w:val="000A4B37"/>
    <w:rsid w:val="000A7052"/>
    <w:rsid w:val="000B2498"/>
    <w:rsid w:val="000B5582"/>
    <w:rsid w:val="000B6D4C"/>
    <w:rsid w:val="000C03C8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6278"/>
    <w:rsid w:val="00100123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779BA"/>
    <w:rsid w:val="001802E5"/>
    <w:rsid w:val="00181BF3"/>
    <w:rsid w:val="00181D4D"/>
    <w:rsid w:val="00181F32"/>
    <w:rsid w:val="00185CA5"/>
    <w:rsid w:val="00190A38"/>
    <w:rsid w:val="0019287F"/>
    <w:rsid w:val="0019314A"/>
    <w:rsid w:val="001938D2"/>
    <w:rsid w:val="00195576"/>
    <w:rsid w:val="001A1815"/>
    <w:rsid w:val="001A19A9"/>
    <w:rsid w:val="001A211D"/>
    <w:rsid w:val="001A68A8"/>
    <w:rsid w:val="001B7A12"/>
    <w:rsid w:val="001B7C15"/>
    <w:rsid w:val="001C3FF6"/>
    <w:rsid w:val="001C5116"/>
    <w:rsid w:val="001C7D3C"/>
    <w:rsid w:val="001D267C"/>
    <w:rsid w:val="001E1A4C"/>
    <w:rsid w:val="001E449B"/>
    <w:rsid w:val="001F0137"/>
    <w:rsid w:val="001F100B"/>
    <w:rsid w:val="001F29F1"/>
    <w:rsid w:val="001F40AC"/>
    <w:rsid w:val="001F414F"/>
    <w:rsid w:val="001F63FE"/>
    <w:rsid w:val="0020423A"/>
    <w:rsid w:val="00207370"/>
    <w:rsid w:val="00211B49"/>
    <w:rsid w:val="0021547D"/>
    <w:rsid w:val="00217DC7"/>
    <w:rsid w:val="00222418"/>
    <w:rsid w:val="00230516"/>
    <w:rsid w:val="00230A1D"/>
    <w:rsid w:val="002329E3"/>
    <w:rsid w:val="00241DA5"/>
    <w:rsid w:val="00243B1B"/>
    <w:rsid w:val="00244D42"/>
    <w:rsid w:val="002476A2"/>
    <w:rsid w:val="002524C2"/>
    <w:rsid w:val="00262B8E"/>
    <w:rsid w:val="00262C82"/>
    <w:rsid w:val="00267E21"/>
    <w:rsid w:val="00270012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B381B"/>
    <w:rsid w:val="002D0435"/>
    <w:rsid w:val="002D04FB"/>
    <w:rsid w:val="002D0AF6"/>
    <w:rsid w:val="002D70BF"/>
    <w:rsid w:val="002E3293"/>
    <w:rsid w:val="002E4504"/>
    <w:rsid w:val="002E7787"/>
    <w:rsid w:val="002F0C90"/>
    <w:rsid w:val="002F5643"/>
    <w:rsid w:val="002F5A20"/>
    <w:rsid w:val="002F7851"/>
    <w:rsid w:val="003008D3"/>
    <w:rsid w:val="003042C4"/>
    <w:rsid w:val="00306328"/>
    <w:rsid w:val="00310AE0"/>
    <w:rsid w:val="00315042"/>
    <w:rsid w:val="00315EEF"/>
    <w:rsid w:val="0032290B"/>
    <w:rsid w:val="00323333"/>
    <w:rsid w:val="00325F40"/>
    <w:rsid w:val="00327BFB"/>
    <w:rsid w:val="0033277F"/>
    <w:rsid w:val="00334250"/>
    <w:rsid w:val="00334CE1"/>
    <w:rsid w:val="003353B5"/>
    <w:rsid w:val="00335AB5"/>
    <w:rsid w:val="00336EE7"/>
    <w:rsid w:val="00342725"/>
    <w:rsid w:val="00353E00"/>
    <w:rsid w:val="00355402"/>
    <w:rsid w:val="00356FFC"/>
    <w:rsid w:val="00357F20"/>
    <w:rsid w:val="00362392"/>
    <w:rsid w:val="003704B6"/>
    <w:rsid w:val="00370909"/>
    <w:rsid w:val="003729FF"/>
    <w:rsid w:val="003768AC"/>
    <w:rsid w:val="00381EDC"/>
    <w:rsid w:val="00390B94"/>
    <w:rsid w:val="00392122"/>
    <w:rsid w:val="00392DA8"/>
    <w:rsid w:val="00394351"/>
    <w:rsid w:val="003949A4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81D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7DC8"/>
    <w:rsid w:val="0042027A"/>
    <w:rsid w:val="00420950"/>
    <w:rsid w:val="004268A5"/>
    <w:rsid w:val="00427593"/>
    <w:rsid w:val="0043607E"/>
    <w:rsid w:val="00441938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55F"/>
    <w:rsid w:val="00481D13"/>
    <w:rsid w:val="00484052"/>
    <w:rsid w:val="00485DEF"/>
    <w:rsid w:val="0048693C"/>
    <w:rsid w:val="00487017"/>
    <w:rsid w:val="004A01D4"/>
    <w:rsid w:val="004A340E"/>
    <w:rsid w:val="004A380B"/>
    <w:rsid w:val="004A3C0A"/>
    <w:rsid w:val="004A3F1A"/>
    <w:rsid w:val="004A64E7"/>
    <w:rsid w:val="004B0782"/>
    <w:rsid w:val="004B191C"/>
    <w:rsid w:val="004B347B"/>
    <w:rsid w:val="004C116C"/>
    <w:rsid w:val="004C360E"/>
    <w:rsid w:val="004C3F09"/>
    <w:rsid w:val="004C4178"/>
    <w:rsid w:val="004C5509"/>
    <w:rsid w:val="004C67E1"/>
    <w:rsid w:val="004C6E09"/>
    <w:rsid w:val="004C70EE"/>
    <w:rsid w:val="004D0A10"/>
    <w:rsid w:val="004D31F2"/>
    <w:rsid w:val="004E2154"/>
    <w:rsid w:val="004E2C77"/>
    <w:rsid w:val="004E35E5"/>
    <w:rsid w:val="004E6354"/>
    <w:rsid w:val="004F28FF"/>
    <w:rsid w:val="004F3771"/>
    <w:rsid w:val="004F3A3D"/>
    <w:rsid w:val="004F7002"/>
    <w:rsid w:val="005010B2"/>
    <w:rsid w:val="0050264C"/>
    <w:rsid w:val="00506982"/>
    <w:rsid w:val="0051485B"/>
    <w:rsid w:val="00515FCE"/>
    <w:rsid w:val="00520414"/>
    <w:rsid w:val="0052099A"/>
    <w:rsid w:val="00522274"/>
    <w:rsid w:val="00523705"/>
    <w:rsid w:val="0052622C"/>
    <w:rsid w:val="00532028"/>
    <w:rsid w:val="0053263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589"/>
    <w:rsid w:val="00552585"/>
    <w:rsid w:val="0055285B"/>
    <w:rsid w:val="00554200"/>
    <w:rsid w:val="005614F7"/>
    <w:rsid w:val="005639E3"/>
    <w:rsid w:val="00566120"/>
    <w:rsid w:val="005756E6"/>
    <w:rsid w:val="00576EDF"/>
    <w:rsid w:val="0058023A"/>
    <w:rsid w:val="005810A9"/>
    <w:rsid w:val="005848AF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4B31"/>
    <w:rsid w:val="005C5306"/>
    <w:rsid w:val="005D0EE3"/>
    <w:rsid w:val="005D13EC"/>
    <w:rsid w:val="005D28A6"/>
    <w:rsid w:val="005D4BBE"/>
    <w:rsid w:val="005D77C2"/>
    <w:rsid w:val="005E25A2"/>
    <w:rsid w:val="005F268F"/>
    <w:rsid w:val="00601A52"/>
    <w:rsid w:val="006030A5"/>
    <w:rsid w:val="00606AFA"/>
    <w:rsid w:val="00610136"/>
    <w:rsid w:val="00615F0C"/>
    <w:rsid w:val="006208AA"/>
    <w:rsid w:val="006218E7"/>
    <w:rsid w:val="00626A32"/>
    <w:rsid w:val="00630F85"/>
    <w:rsid w:val="006340C7"/>
    <w:rsid w:val="006376B4"/>
    <w:rsid w:val="00637B5E"/>
    <w:rsid w:val="006401E3"/>
    <w:rsid w:val="00642B49"/>
    <w:rsid w:val="00645FE1"/>
    <w:rsid w:val="0064787A"/>
    <w:rsid w:val="006479A0"/>
    <w:rsid w:val="00650DD3"/>
    <w:rsid w:val="006568CC"/>
    <w:rsid w:val="00657A22"/>
    <w:rsid w:val="00660713"/>
    <w:rsid w:val="00662303"/>
    <w:rsid w:val="00670278"/>
    <w:rsid w:val="00670B3E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A3BBE"/>
    <w:rsid w:val="006B108C"/>
    <w:rsid w:val="006B54D8"/>
    <w:rsid w:val="006B6625"/>
    <w:rsid w:val="006C1F91"/>
    <w:rsid w:val="006C6386"/>
    <w:rsid w:val="006C7FD6"/>
    <w:rsid w:val="006D00A4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DB4"/>
    <w:rsid w:val="00731E3E"/>
    <w:rsid w:val="00737365"/>
    <w:rsid w:val="00742F8D"/>
    <w:rsid w:val="00745585"/>
    <w:rsid w:val="00750E43"/>
    <w:rsid w:val="007542CA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664E"/>
    <w:rsid w:val="00797628"/>
    <w:rsid w:val="007A0214"/>
    <w:rsid w:val="007A38D8"/>
    <w:rsid w:val="007A701F"/>
    <w:rsid w:val="007A777D"/>
    <w:rsid w:val="007B5DD0"/>
    <w:rsid w:val="007C2BFE"/>
    <w:rsid w:val="007D340D"/>
    <w:rsid w:val="007D42E6"/>
    <w:rsid w:val="007D594F"/>
    <w:rsid w:val="007D776C"/>
    <w:rsid w:val="007E45B9"/>
    <w:rsid w:val="007E51F1"/>
    <w:rsid w:val="007E5A1F"/>
    <w:rsid w:val="007F5E2A"/>
    <w:rsid w:val="007F5E44"/>
    <w:rsid w:val="008018D0"/>
    <w:rsid w:val="00802AFD"/>
    <w:rsid w:val="00803D70"/>
    <w:rsid w:val="00804CFB"/>
    <w:rsid w:val="008064A2"/>
    <w:rsid w:val="008069CD"/>
    <w:rsid w:val="00806B96"/>
    <w:rsid w:val="00812695"/>
    <w:rsid w:val="00814FD1"/>
    <w:rsid w:val="00817FB8"/>
    <w:rsid w:val="00822448"/>
    <w:rsid w:val="00825D17"/>
    <w:rsid w:val="00827406"/>
    <w:rsid w:val="00832278"/>
    <w:rsid w:val="00834454"/>
    <w:rsid w:val="00843EBE"/>
    <w:rsid w:val="008465E8"/>
    <w:rsid w:val="00847CC3"/>
    <w:rsid w:val="00884BA4"/>
    <w:rsid w:val="00884C58"/>
    <w:rsid w:val="00885A4A"/>
    <w:rsid w:val="0088664F"/>
    <w:rsid w:val="008A0264"/>
    <w:rsid w:val="008A138A"/>
    <w:rsid w:val="008A2B72"/>
    <w:rsid w:val="008A3582"/>
    <w:rsid w:val="008A5F9F"/>
    <w:rsid w:val="008B4AF5"/>
    <w:rsid w:val="008B720C"/>
    <w:rsid w:val="008B75D9"/>
    <w:rsid w:val="008C042F"/>
    <w:rsid w:val="008C0AD3"/>
    <w:rsid w:val="008D0D47"/>
    <w:rsid w:val="008D1B66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9015C6"/>
    <w:rsid w:val="00902327"/>
    <w:rsid w:val="00902DA7"/>
    <w:rsid w:val="009162DA"/>
    <w:rsid w:val="00925ECE"/>
    <w:rsid w:val="0092634E"/>
    <w:rsid w:val="00933340"/>
    <w:rsid w:val="00937177"/>
    <w:rsid w:val="0094584D"/>
    <w:rsid w:val="00945A23"/>
    <w:rsid w:val="00947799"/>
    <w:rsid w:val="00950173"/>
    <w:rsid w:val="00950A6E"/>
    <w:rsid w:val="00953B2F"/>
    <w:rsid w:val="009541AA"/>
    <w:rsid w:val="009553B3"/>
    <w:rsid w:val="00957A06"/>
    <w:rsid w:val="00957CFE"/>
    <w:rsid w:val="00960CB6"/>
    <w:rsid w:val="00962BC9"/>
    <w:rsid w:val="009643B0"/>
    <w:rsid w:val="00966575"/>
    <w:rsid w:val="00970543"/>
    <w:rsid w:val="00971250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2D9E"/>
    <w:rsid w:val="009E3219"/>
    <w:rsid w:val="009E3FD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03CB"/>
    <w:rsid w:val="00A110DC"/>
    <w:rsid w:val="00A14B7D"/>
    <w:rsid w:val="00A14BD5"/>
    <w:rsid w:val="00A17C95"/>
    <w:rsid w:val="00A22694"/>
    <w:rsid w:val="00A23C58"/>
    <w:rsid w:val="00A26D02"/>
    <w:rsid w:val="00A32482"/>
    <w:rsid w:val="00A33801"/>
    <w:rsid w:val="00A342A8"/>
    <w:rsid w:val="00A423D8"/>
    <w:rsid w:val="00A4262F"/>
    <w:rsid w:val="00A446D7"/>
    <w:rsid w:val="00A45E93"/>
    <w:rsid w:val="00A525DD"/>
    <w:rsid w:val="00A53A61"/>
    <w:rsid w:val="00A61DCE"/>
    <w:rsid w:val="00A64548"/>
    <w:rsid w:val="00A658B7"/>
    <w:rsid w:val="00A73314"/>
    <w:rsid w:val="00A7432F"/>
    <w:rsid w:val="00A8315D"/>
    <w:rsid w:val="00A833E0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174A4"/>
    <w:rsid w:val="00B21B80"/>
    <w:rsid w:val="00B229AF"/>
    <w:rsid w:val="00B253B1"/>
    <w:rsid w:val="00B264FE"/>
    <w:rsid w:val="00B26A62"/>
    <w:rsid w:val="00B26D6D"/>
    <w:rsid w:val="00B30208"/>
    <w:rsid w:val="00B308D6"/>
    <w:rsid w:val="00B31BA4"/>
    <w:rsid w:val="00B31F9F"/>
    <w:rsid w:val="00B32BF9"/>
    <w:rsid w:val="00B40D05"/>
    <w:rsid w:val="00B44BB7"/>
    <w:rsid w:val="00B53384"/>
    <w:rsid w:val="00B57EC9"/>
    <w:rsid w:val="00B62729"/>
    <w:rsid w:val="00B7287F"/>
    <w:rsid w:val="00B72A48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B60"/>
    <w:rsid w:val="00BA20E7"/>
    <w:rsid w:val="00BA4212"/>
    <w:rsid w:val="00BA5435"/>
    <w:rsid w:val="00BA5A30"/>
    <w:rsid w:val="00BB4C0C"/>
    <w:rsid w:val="00BB61D4"/>
    <w:rsid w:val="00BC172E"/>
    <w:rsid w:val="00BC1905"/>
    <w:rsid w:val="00BC696A"/>
    <w:rsid w:val="00BD0351"/>
    <w:rsid w:val="00BD3A99"/>
    <w:rsid w:val="00BD4C16"/>
    <w:rsid w:val="00BD50D3"/>
    <w:rsid w:val="00BE09B4"/>
    <w:rsid w:val="00BE2600"/>
    <w:rsid w:val="00BE2AA8"/>
    <w:rsid w:val="00BE3FB9"/>
    <w:rsid w:val="00BF6CDF"/>
    <w:rsid w:val="00C007C7"/>
    <w:rsid w:val="00C06793"/>
    <w:rsid w:val="00C0789E"/>
    <w:rsid w:val="00C10AF5"/>
    <w:rsid w:val="00C22068"/>
    <w:rsid w:val="00C2349C"/>
    <w:rsid w:val="00C2375A"/>
    <w:rsid w:val="00C24A70"/>
    <w:rsid w:val="00C306BE"/>
    <w:rsid w:val="00C324FC"/>
    <w:rsid w:val="00C34509"/>
    <w:rsid w:val="00C3474D"/>
    <w:rsid w:val="00C34CFB"/>
    <w:rsid w:val="00C433FF"/>
    <w:rsid w:val="00C445E4"/>
    <w:rsid w:val="00C45974"/>
    <w:rsid w:val="00C530BA"/>
    <w:rsid w:val="00C53A73"/>
    <w:rsid w:val="00C57BF7"/>
    <w:rsid w:val="00C6399E"/>
    <w:rsid w:val="00C64358"/>
    <w:rsid w:val="00C645A4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C64E9"/>
    <w:rsid w:val="00CC6A50"/>
    <w:rsid w:val="00CD0039"/>
    <w:rsid w:val="00CD1ACA"/>
    <w:rsid w:val="00CD2E41"/>
    <w:rsid w:val="00CD38D7"/>
    <w:rsid w:val="00CD3A4E"/>
    <w:rsid w:val="00CE0328"/>
    <w:rsid w:val="00CE1105"/>
    <w:rsid w:val="00CE29A8"/>
    <w:rsid w:val="00CE5B58"/>
    <w:rsid w:val="00CE6579"/>
    <w:rsid w:val="00CE7A74"/>
    <w:rsid w:val="00CF12C1"/>
    <w:rsid w:val="00D0313E"/>
    <w:rsid w:val="00D057F5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3667"/>
    <w:rsid w:val="00D36A15"/>
    <w:rsid w:val="00D37CFC"/>
    <w:rsid w:val="00D438AE"/>
    <w:rsid w:val="00D43B0B"/>
    <w:rsid w:val="00D50E8B"/>
    <w:rsid w:val="00D52A9D"/>
    <w:rsid w:val="00D635D7"/>
    <w:rsid w:val="00D6543B"/>
    <w:rsid w:val="00D6590F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B1123"/>
    <w:rsid w:val="00DB156E"/>
    <w:rsid w:val="00DB2BAD"/>
    <w:rsid w:val="00DB3356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310B"/>
    <w:rsid w:val="00DE63F9"/>
    <w:rsid w:val="00DF2186"/>
    <w:rsid w:val="00DF497E"/>
    <w:rsid w:val="00E16844"/>
    <w:rsid w:val="00E2741D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6D5"/>
    <w:rsid w:val="00E61B1D"/>
    <w:rsid w:val="00E62528"/>
    <w:rsid w:val="00E65D99"/>
    <w:rsid w:val="00E72C20"/>
    <w:rsid w:val="00E76A78"/>
    <w:rsid w:val="00E7714B"/>
    <w:rsid w:val="00E86E4E"/>
    <w:rsid w:val="00E86F90"/>
    <w:rsid w:val="00E95F9F"/>
    <w:rsid w:val="00EA18AE"/>
    <w:rsid w:val="00EA2A52"/>
    <w:rsid w:val="00EA47A0"/>
    <w:rsid w:val="00EA6678"/>
    <w:rsid w:val="00EB4751"/>
    <w:rsid w:val="00EB77D5"/>
    <w:rsid w:val="00EB7A7F"/>
    <w:rsid w:val="00EC3712"/>
    <w:rsid w:val="00EC77B9"/>
    <w:rsid w:val="00ED0D6F"/>
    <w:rsid w:val="00ED3715"/>
    <w:rsid w:val="00ED498F"/>
    <w:rsid w:val="00EE1F80"/>
    <w:rsid w:val="00EE38AB"/>
    <w:rsid w:val="00EE40BF"/>
    <w:rsid w:val="00EE48B6"/>
    <w:rsid w:val="00EF2B9A"/>
    <w:rsid w:val="00EF2F65"/>
    <w:rsid w:val="00EF369D"/>
    <w:rsid w:val="00F07056"/>
    <w:rsid w:val="00F07C93"/>
    <w:rsid w:val="00F138A2"/>
    <w:rsid w:val="00F164B6"/>
    <w:rsid w:val="00F23C80"/>
    <w:rsid w:val="00F24F21"/>
    <w:rsid w:val="00F31207"/>
    <w:rsid w:val="00F35018"/>
    <w:rsid w:val="00F36FBC"/>
    <w:rsid w:val="00F37265"/>
    <w:rsid w:val="00F37527"/>
    <w:rsid w:val="00F41503"/>
    <w:rsid w:val="00F43C50"/>
    <w:rsid w:val="00F446C0"/>
    <w:rsid w:val="00F57773"/>
    <w:rsid w:val="00F620F1"/>
    <w:rsid w:val="00F64F61"/>
    <w:rsid w:val="00F66464"/>
    <w:rsid w:val="00F66CD0"/>
    <w:rsid w:val="00F72658"/>
    <w:rsid w:val="00F7399D"/>
    <w:rsid w:val="00F75BE5"/>
    <w:rsid w:val="00F81200"/>
    <w:rsid w:val="00F8260E"/>
    <w:rsid w:val="00F836FE"/>
    <w:rsid w:val="00F84FCF"/>
    <w:rsid w:val="00F907A4"/>
    <w:rsid w:val="00F925F7"/>
    <w:rsid w:val="00F92613"/>
    <w:rsid w:val="00F93FAF"/>
    <w:rsid w:val="00F941BD"/>
    <w:rsid w:val="00FA274E"/>
    <w:rsid w:val="00FA3885"/>
    <w:rsid w:val="00FA3D36"/>
    <w:rsid w:val="00FA663F"/>
    <w:rsid w:val="00FB144C"/>
    <w:rsid w:val="00FB2BA8"/>
    <w:rsid w:val="00FB447B"/>
    <w:rsid w:val="00FC0647"/>
    <w:rsid w:val="00FC453A"/>
    <w:rsid w:val="00FC4FDE"/>
    <w:rsid w:val="00FD3083"/>
    <w:rsid w:val="00FD73D3"/>
    <w:rsid w:val="00FE0A3A"/>
    <w:rsid w:val="00FE0AC0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526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5262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70">
    <w:name w:val="Основной текст (2) + 13 pt;Масштаб 70%"/>
    <w:basedOn w:val="2"/>
    <w:rsid w:val="0052622C"/>
    <w:rPr>
      <w:rFonts w:ascii="Times New Roman" w:eastAsia="Times New Roman" w:hAnsi="Times New Roman" w:cs="Times New Roman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2622C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5262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622C"/>
    <w:pPr>
      <w:shd w:val="clear" w:color="auto" w:fill="FFFFFF"/>
      <w:spacing w:before="420" w:line="422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5262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5262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70">
    <w:name w:val="Основной текст (2) + 13 pt;Масштаб 70%"/>
    <w:basedOn w:val="2"/>
    <w:rsid w:val="0052622C"/>
    <w:rPr>
      <w:rFonts w:ascii="Times New Roman" w:eastAsia="Times New Roman" w:hAnsi="Times New Roman" w:cs="Times New Roman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sid w:val="0052622C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5262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622C"/>
    <w:pPr>
      <w:shd w:val="clear" w:color="auto" w:fill="FFFFFF"/>
      <w:spacing w:before="420" w:line="422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6E68-45FE-464A-B647-22D78A28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8641</TotalTime>
  <Pages>21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319</cp:revision>
  <cp:lastPrinted>2020-11-05T06:24:00Z</cp:lastPrinted>
  <dcterms:created xsi:type="dcterms:W3CDTF">2020-11-06T12:27:00Z</dcterms:created>
  <dcterms:modified xsi:type="dcterms:W3CDTF">2022-11-25T11:57:00Z</dcterms:modified>
</cp:coreProperties>
</file>