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D6783D">
        <w:rPr>
          <w:b/>
          <w:sz w:val="24"/>
          <w:szCs w:val="24"/>
          <w:u w:val="single"/>
        </w:rPr>
        <w:t>53</w:t>
      </w:r>
      <w:r w:rsidR="00C64358" w:rsidRPr="009B4C3C">
        <w:rPr>
          <w:b/>
          <w:sz w:val="24"/>
          <w:szCs w:val="24"/>
          <w:u w:val="single"/>
        </w:rPr>
        <w:t>/</w:t>
      </w:r>
      <w:r w:rsidR="00211B49" w:rsidRPr="009B4C3C">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D6783D" w:rsidP="005B384C">
      <w:pPr>
        <w:jc w:val="center"/>
        <w:rPr>
          <w:sz w:val="24"/>
          <w:szCs w:val="24"/>
        </w:rPr>
      </w:pPr>
      <w:r>
        <w:rPr>
          <w:sz w:val="24"/>
          <w:szCs w:val="24"/>
        </w:rPr>
        <w:t>24</w:t>
      </w:r>
      <w:r w:rsidR="00C45974" w:rsidRPr="009B4C3C">
        <w:rPr>
          <w:sz w:val="24"/>
          <w:szCs w:val="24"/>
        </w:rPr>
        <w:t xml:space="preserve"> </w:t>
      </w:r>
      <w:r w:rsidR="008465E8">
        <w:rPr>
          <w:sz w:val="24"/>
          <w:szCs w:val="24"/>
        </w:rPr>
        <w:t>ноября</w:t>
      </w:r>
      <w:r w:rsidR="00CD1ACA" w:rsidRPr="009B4C3C">
        <w:rPr>
          <w:sz w:val="24"/>
          <w:szCs w:val="24"/>
        </w:rPr>
        <w:t xml:space="preserve"> </w:t>
      </w:r>
      <w:r w:rsidR="00C45974" w:rsidRPr="009B4C3C">
        <w:rPr>
          <w:sz w:val="24"/>
          <w:szCs w:val="24"/>
        </w:rPr>
        <w:t>202</w:t>
      </w:r>
      <w:r w:rsidR="006E7BB8" w:rsidRPr="009B4C3C">
        <w:rPr>
          <w:sz w:val="24"/>
          <w:szCs w:val="24"/>
        </w:rPr>
        <w:t>2</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9B4C3C" w:rsidRDefault="005B384C" w:rsidP="005B384C">
      <w:pPr>
        <w:pStyle w:val="21"/>
        <w:widowControl/>
        <w:ind w:firstLine="0"/>
        <w:rPr>
          <w:szCs w:val="24"/>
        </w:rPr>
      </w:pPr>
      <w:r w:rsidRPr="009B4C3C">
        <w:rPr>
          <w:szCs w:val="24"/>
        </w:rPr>
        <w:t>Присутствовали:</w:t>
      </w:r>
    </w:p>
    <w:p w:rsidR="005B384C" w:rsidRPr="009B4C3C" w:rsidRDefault="005B384C" w:rsidP="005B384C">
      <w:pPr>
        <w:pStyle w:val="21"/>
        <w:widowControl/>
        <w:ind w:firstLine="0"/>
        <w:rPr>
          <w:szCs w:val="24"/>
        </w:rPr>
      </w:pPr>
      <w:r w:rsidRPr="009B4C3C">
        <w:rPr>
          <w:szCs w:val="24"/>
        </w:rPr>
        <w:t>Председатель Правления: Морева Е.Н.</w:t>
      </w:r>
    </w:p>
    <w:p w:rsidR="00593C83" w:rsidRPr="009B4C3C" w:rsidRDefault="00593C83" w:rsidP="00593C83">
      <w:pPr>
        <w:jc w:val="both"/>
        <w:rPr>
          <w:sz w:val="24"/>
          <w:szCs w:val="24"/>
        </w:rPr>
      </w:pPr>
      <w:r w:rsidRPr="009B4C3C">
        <w:rPr>
          <w:sz w:val="24"/>
          <w:szCs w:val="24"/>
        </w:rPr>
        <w:t xml:space="preserve">Члены Правления: Бугаева С.Е., </w:t>
      </w:r>
      <w:r w:rsidR="00790FF1" w:rsidRPr="009B4C3C">
        <w:rPr>
          <w:sz w:val="24"/>
          <w:szCs w:val="24"/>
        </w:rPr>
        <w:t xml:space="preserve">Гущина Н.Б., </w:t>
      </w:r>
      <w:r w:rsidR="005010B2" w:rsidRPr="009B4C3C">
        <w:rPr>
          <w:sz w:val="24"/>
          <w:szCs w:val="24"/>
        </w:rPr>
        <w:t>Турбачкина Е.В.</w:t>
      </w:r>
      <w:r w:rsidRPr="009B4C3C">
        <w:rPr>
          <w:sz w:val="24"/>
          <w:szCs w:val="24"/>
        </w:rPr>
        <w:t xml:space="preserve">, </w:t>
      </w:r>
      <w:r w:rsidR="006E7BB8" w:rsidRPr="009B4C3C">
        <w:rPr>
          <w:sz w:val="24"/>
          <w:szCs w:val="24"/>
        </w:rPr>
        <w:t>Полозов И.Г.</w:t>
      </w:r>
      <w:r w:rsidRPr="009B4C3C">
        <w:rPr>
          <w:sz w:val="24"/>
          <w:szCs w:val="24"/>
        </w:rPr>
        <w:t xml:space="preserve">, </w:t>
      </w:r>
      <w:r w:rsidR="00335AB5" w:rsidRPr="009B4C3C">
        <w:rPr>
          <w:sz w:val="24"/>
          <w:szCs w:val="24"/>
        </w:rPr>
        <w:t>Коннова Е.А</w:t>
      </w:r>
      <w:r w:rsidR="009D60BE" w:rsidRPr="009B4C3C">
        <w:rPr>
          <w:sz w:val="24"/>
          <w:szCs w:val="24"/>
        </w:rPr>
        <w:t>.</w:t>
      </w:r>
      <w:r w:rsidR="00AB2502" w:rsidRPr="009B4C3C">
        <w:rPr>
          <w:sz w:val="24"/>
          <w:szCs w:val="24"/>
        </w:rPr>
        <w:t>, Агапова О</w:t>
      </w:r>
      <w:r w:rsidR="00F93FAF" w:rsidRPr="009B4C3C">
        <w:rPr>
          <w:sz w:val="24"/>
          <w:szCs w:val="24"/>
        </w:rPr>
        <w:t>.</w:t>
      </w:r>
      <w:r w:rsidR="00AB2502" w:rsidRPr="009B4C3C">
        <w:rPr>
          <w:sz w:val="24"/>
          <w:szCs w:val="24"/>
        </w:rPr>
        <w:t>П</w:t>
      </w:r>
      <w:r w:rsidRPr="009B4C3C">
        <w:rPr>
          <w:sz w:val="24"/>
          <w:szCs w:val="24"/>
        </w:rPr>
        <w:t>.</w:t>
      </w:r>
    </w:p>
    <w:p w:rsidR="005B384C" w:rsidRPr="009B4C3C" w:rsidRDefault="005B384C" w:rsidP="005B384C">
      <w:pPr>
        <w:jc w:val="both"/>
        <w:rPr>
          <w:sz w:val="24"/>
          <w:szCs w:val="24"/>
        </w:rPr>
      </w:pPr>
      <w:r w:rsidRPr="009B4C3C">
        <w:rPr>
          <w:sz w:val="24"/>
          <w:szCs w:val="24"/>
        </w:rPr>
        <w:t>От Департамента энергетики и тарифов Ивановской области:</w:t>
      </w:r>
      <w:r w:rsidR="00211B49" w:rsidRPr="009B4C3C">
        <w:rPr>
          <w:sz w:val="24"/>
          <w:szCs w:val="24"/>
        </w:rPr>
        <w:t xml:space="preserve"> </w:t>
      </w:r>
      <w:r w:rsidR="004C0143">
        <w:rPr>
          <w:sz w:val="24"/>
          <w:szCs w:val="24"/>
        </w:rPr>
        <w:t>Кузьмичева Е.С.</w:t>
      </w:r>
    </w:p>
    <w:p w:rsidR="006E7BB8" w:rsidRPr="009B4C3C" w:rsidRDefault="006E7BB8" w:rsidP="005B384C">
      <w:pPr>
        <w:pStyle w:val="21"/>
        <w:widowControl/>
        <w:ind w:firstLine="0"/>
        <w:rPr>
          <w:szCs w:val="24"/>
        </w:rPr>
      </w:pPr>
      <w:r w:rsidRPr="009B4C3C">
        <w:rPr>
          <w:szCs w:val="24"/>
        </w:rPr>
        <w:t>От УФАС России по Ивановской области: Виднова З.Б. (на праве совещательного голоса, участие в голосовании не принимает).</w:t>
      </w:r>
    </w:p>
    <w:p w:rsidR="005B384C" w:rsidRDefault="005B384C" w:rsidP="005B384C">
      <w:pPr>
        <w:pStyle w:val="21"/>
        <w:widowControl/>
        <w:ind w:firstLine="0"/>
        <w:rPr>
          <w:szCs w:val="24"/>
        </w:rPr>
      </w:pPr>
      <w:r w:rsidRPr="009B4C3C">
        <w:rPr>
          <w:szCs w:val="24"/>
        </w:rPr>
        <w:t>От Ассоциации «НП Совет рынка»: Кулешов А.И.</w:t>
      </w:r>
    </w:p>
    <w:p w:rsidR="004C0143" w:rsidRPr="004C0143" w:rsidRDefault="004C0143" w:rsidP="005B384C">
      <w:pPr>
        <w:pStyle w:val="21"/>
        <w:widowControl/>
        <w:ind w:firstLine="0"/>
        <w:rPr>
          <w:szCs w:val="24"/>
        </w:rPr>
      </w:pPr>
      <w:r>
        <w:rPr>
          <w:szCs w:val="24"/>
        </w:rPr>
        <w:t>От филиала ПАО «Россети Центр и Приволжье» - «Ивэнерго»</w:t>
      </w:r>
      <w:r w:rsidRPr="004C0143">
        <w:rPr>
          <w:szCs w:val="24"/>
        </w:rPr>
        <w:t>:</w:t>
      </w:r>
      <w:r>
        <w:rPr>
          <w:szCs w:val="24"/>
        </w:rPr>
        <w:t xml:space="preserve"> Ухтин А.А., Цымаенко И.А.</w:t>
      </w:r>
    </w:p>
    <w:p w:rsidR="005B384C" w:rsidRPr="009B4C3C" w:rsidRDefault="005B384C" w:rsidP="005B384C">
      <w:pPr>
        <w:jc w:val="both"/>
        <w:rPr>
          <w:sz w:val="24"/>
          <w:szCs w:val="24"/>
        </w:rPr>
      </w:pPr>
      <w:r w:rsidRPr="009B4C3C">
        <w:rPr>
          <w:sz w:val="24"/>
          <w:szCs w:val="24"/>
        </w:rPr>
        <w:t>Ответственный секретарь Правления:</w:t>
      </w:r>
      <w:r w:rsidR="00C828F9" w:rsidRPr="009B4C3C">
        <w:rPr>
          <w:sz w:val="24"/>
          <w:szCs w:val="24"/>
        </w:rPr>
        <w:t xml:space="preserve"> </w:t>
      </w:r>
      <w:r w:rsidR="00C82BB3" w:rsidRPr="009B4C3C">
        <w:rPr>
          <w:sz w:val="24"/>
          <w:szCs w:val="24"/>
        </w:rPr>
        <w:t>Аскярова М.В</w:t>
      </w:r>
      <w:r w:rsidR="00211B49" w:rsidRPr="009B4C3C">
        <w:rPr>
          <w:sz w:val="24"/>
          <w:szCs w:val="24"/>
        </w:rPr>
        <w:t>.</w:t>
      </w:r>
    </w:p>
    <w:p w:rsidR="005B384C" w:rsidRPr="00887937" w:rsidRDefault="005B384C" w:rsidP="005B384C">
      <w:pPr>
        <w:jc w:val="both"/>
        <w:rPr>
          <w:sz w:val="24"/>
          <w:szCs w:val="24"/>
        </w:rPr>
      </w:pPr>
    </w:p>
    <w:p w:rsidR="005B384C" w:rsidRPr="009B4C3C" w:rsidRDefault="005B384C" w:rsidP="005B384C">
      <w:pPr>
        <w:tabs>
          <w:tab w:val="left" w:pos="851"/>
        </w:tabs>
        <w:ind w:firstLine="567"/>
        <w:jc w:val="center"/>
        <w:rPr>
          <w:b/>
          <w:sz w:val="24"/>
          <w:szCs w:val="24"/>
        </w:rPr>
      </w:pPr>
      <w:proofErr w:type="gramStart"/>
      <w:r w:rsidRPr="009B4C3C">
        <w:rPr>
          <w:b/>
          <w:sz w:val="24"/>
          <w:szCs w:val="24"/>
        </w:rPr>
        <w:t>П</w:t>
      </w:r>
      <w:proofErr w:type="gramEnd"/>
      <w:r w:rsidRPr="009B4C3C">
        <w:rPr>
          <w:b/>
          <w:sz w:val="24"/>
          <w:szCs w:val="24"/>
        </w:rPr>
        <w:t xml:space="preserve"> О В Е С Т К А:</w:t>
      </w:r>
    </w:p>
    <w:p w:rsidR="005B384C" w:rsidRPr="009B4C3C" w:rsidRDefault="005B384C" w:rsidP="005B384C">
      <w:pPr>
        <w:tabs>
          <w:tab w:val="left" w:pos="851"/>
        </w:tabs>
        <w:ind w:firstLine="567"/>
        <w:jc w:val="center"/>
        <w:rPr>
          <w:b/>
          <w:sz w:val="24"/>
          <w:szCs w:val="24"/>
        </w:rPr>
      </w:pPr>
    </w:p>
    <w:p w:rsidR="00335AB5" w:rsidRPr="009B4C3C" w:rsidRDefault="009A6438" w:rsidP="009A6438">
      <w:pPr>
        <w:pStyle w:val="aa"/>
        <w:tabs>
          <w:tab w:val="left" w:pos="0"/>
          <w:tab w:val="left" w:pos="709"/>
          <w:tab w:val="left" w:pos="851"/>
        </w:tabs>
        <w:ind w:left="0" w:firstLine="567"/>
        <w:jc w:val="both"/>
        <w:rPr>
          <w:b/>
          <w:bCs/>
          <w:sz w:val="24"/>
          <w:szCs w:val="24"/>
        </w:rPr>
      </w:pPr>
      <w:r w:rsidRPr="009A6438">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370D57">
        <w:rPr>
          <w:b/>
          <w:bCs/>
          <w:sz w:val="24"/>
          <w:szCs w:val="24"/>
        </w:rPr>
        <w:t>»</w:t>
      </w:r>
      <w:r w:rsidR="00515FCE" w:rsidRPr="009B4C3C">
        <w:rPr>
          <w:b/>
          <w:bCs/>
          <w:sz w:val="24"/>
          <w:szCs w:val="24"/>
        </w:rPr>
        <w:t>.</w:t>
      </w:r>
    </w:p>
    <w:p w:rsidR="00A23C58" w:rsidRDefault="00A23C58" w:rsidP="009A6438">
      <w:pPr>
        <w:pStyle w:val="aa"/>
        <w:tabs>
          <w:tab w:val="left" w:pos="0"/>
          <w:tab w:val="left" w:pos="709"/>
          <w:tab w:val="left" w:pos="851"/>
        </w:tabs>
        <w:ind w:left="0" w:firstLine="567"/>
        <w:jc w:val="both"/>
        <w:rPr>
          <w:b/>
          <w:bCs/>
          <w:sz w:val="24"/>
          <w:szCs w:val="24"/>
        </w:rPr>
      </w:pPr>
    </w:p>
    <w:p w:rsidR="0069698E" w:rsidRPr="00D07894" w:rsidRDefault="004C3F09" w:rsidP="009A6438">
      <w:pPr>
        <w:pStyle w:val="aa"/>
        <w:tabs>
          <w:tab w:val="left" w:pos="0"/>
          <w:tab w:val="left" w:pos="709"/>
          <w:tab w:val="left" w:pos="851"/>
        </w:tabs>
        <w:ind w:left="0" w:firstLine="567"/>
        <w:jc w:val="both"/>
        <w:rPr>
          <w:b/>
          <w:bCs/>
          <w:sz w:val="24"/>
          <w:szCs w:val="24"/>
        </w:rPr>
      </w:pPr>
      <w:r w:rsidRPr="00D07894">
        <w:rPr>
          <w:b/>
          <w:bCs/>
          <w:sz w:val="24"/>
          <w:szCs w:val="24"/>
        </w:rPr>
        <w:t>СЛУШАЛИ:</w:t>
      </w:r>
      <w:r w:rsidR="00A23C58" w:rsidRPr="00D07894">
        <w:rPr>
          <w:b/>
          <w:bCs/>
          <w:sz w:val="24"/>
          <w:szCs w:val="24"/>
        </w:rPr>
        <w:tab/>
      </w:r>
      <w:r w:rsidR="009A6438" w:rsidRPr="009A6438">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370D57">
        <w:rPr>
          <w:b/>
          <w:bCs/>
          <w:sz w:val="24"/>
          <w:szCs w:val="24"/>
        </w:rPr>
        <w:t>»</w:t>
      </w:r>
      <w:r w:rsidR="0069698E" w:rsidRPr="00D07894">
        <w:rPr>
          <w:b/>
          <w:bCs/>
          <w:sz w:val="24"/>
          <w:szCs w:val="24"/>
        </w:rPr>
        <w:t xml:space="preserve"> (Морева, Коннова,</w:t>
      </w:r>
      <w:r w:rsidR="00F836FE" w:rsidRPr="00D07894">
        <w:rPr>
          <w:b/>
          <w:bCs/>
          <w:sz w:val="24"/>
          <w:szCs w:val="24"/>
        </w:rPr>
        <w:t xml:space="preserve"> </w:t>
      </w:r>
      <w:r w:rsidR="009A6438">
        <w:rPr>
          <w:b/>
          <w:bCs/>
          <w:sz w:val="24"/>
          <w:szCs w:val="24"/>
        </w:rPr>
        <w:t>Кузьмичева, Ухтин, Цымаенко</w:t>
      </w:r>
      <w:r w:rsidR="0069698E" w:rsidRPr="00D07894">
        <w:rPr>
          <w:b/>
          <w:bCs/>
          <w:sz w:val="24"/>
          <w:szCs w:val="24"/>
        </w:rPr>
        <w:t>).</w:t>
      </w:r>
    </w:p>
    <w:p w:rsidR="00A23C58" w:rsidRPr="00252198" w:rsidRDefault="00A23C58" w:rsidP="00A23C58">
      <w:pPr>
        <w:tabs>
          <w:tab w:val="left" w:pos="0"/>
          <w:tab w:val="left" w:pos="709"/>
          <w:tab w:val="left" w:pos="851"/>
        </w:tabs>
        <w:jc w:val="both"/>
        <w:rPr>
          <w:bCs/>
          <w:sz w:val="24"/>
          <w:szCs w:val="24"/>
        </w:rPr>
      </w:pPr>
    </w:p>
    <w:p w:rsidR="0077531F" w:rsidRPr="0077531F" w:rsidRDefault="0077531F" w:rsidP="0077531F">
      <w:pPr>
        <w:tabs>
          <w:tab w:val="left" w:pos="0"/>
          <w:tab w:val="left" w:pos="993"/>
          <w:tab w:val="left" w:pos="1418"/>
          <w:tab w:val="left" w:pos="4020"/>
        </w:tabs>
        <w:ind w:firstLine="567"/>
        <w:jc w:val="both"/>
        <w:rPr>
          <w:bCs/>
          <w:sz w:val="24"/>
          <w:szCs w:val="24"/>
        </w:rPr>
      </w:pPr>
      <w:r w:rsidRPr="0077531F">
        <w:rPr>
          <w:bCs/>
          <w:sz w:val="24"/>
          <w:szCs w:val="24"/>
        </w:rPr>
        <w:t xml:space="preserve">Рассмотрено дело в части корректировки </w:t>
      </w:r>
      <w:r w:rsidRPr="0077531F">
        <w:rPr>
          <w:sz w:val="24"/>
          <w:szCs w:val="24"/>
        </w:rPr>
        <w:t>НВВ на содержание электрических сетей на 202</w:t>
      </w:r>
      <w:r w:rsidR="009A6438">
        <w:rPr>
          <w:sz w:val="24"/>
          <w:szCs w:val="24"/>
        </w:rPr>
        <w:t>3</w:t>
      </w:r>
      <w:r w:rsidRPr="0077531F">
        <w:rPr>
          <w:sz w:val="24"/>
          <w:szCs w:val="24"/>
        </w:rPr>
        <w:t xml:space="preserve"> год, </w:t>
      </w:r>
      <w:r w:rsidRPr="0077531F">
        <w:rPr>
          <w:bCs/>
          <w:sz w:val="24"/>
          <w:szCs w:val="24"/>
        </w:rPr>
        <w:t xml:space="preserve">принимаемой в расчет единых (котловых) и индивидуальных тарифов на услуги по передаче электрической энергии (без учета оплаты потерь), для </w:t>
      </w:r>
      <w:r w:rsidR="009A6438" w:rsidRPr="009A6438">
        <w:rPr>
          <w:bCs/>
          <w:sz w:val="24"/>
          <w:szCs w:val="24"/>
        </w:rPr>
        <w:t>филиала ПАО «Россети Центр и Приволжье» - «Ивэнерго»</w:t>
      </w:r>
      <w:r w:rsidRPr="0077531F">
        <w:rPr>
          <w:bCs/>
          <w:sz w:val="24"/>
          <w:szCs w:val="24"/>
        </w:rPr>
        <w:t xml:space="preserve"> (долгосрочный период регулирования 202</w:t>
      </w:r>
      <w:r w:rsidR="009A6438">
        <w:rPr>
          <w:bCs/>
          <w:sz w:val="24"/>
          <w:szCs w:val="24"/>
        </w:rPr>
        <w:t>2-2026</w:t>
      </w:r>
      <w:r w:rsidRPr="0077531F">
        <w:rPr>
          <w:bCs/>
          <w:sz w:val="24"/>
          <w:szCs w:val="24"/>
        </w:rPr>
        <w:t xml:space="preserve"> гг.).</w:t>
      </w:r>
    </w:p>
    <w:p w:rsidR="0077531F" w:rsidRPr="0077531F" w:rsidRDefault="0077531F" w:rsidP="0077531F">
      <w:pPr>
        <w:tabs>
          <w:tab w:val="left" w:pos="0"/>
          <w:tab w:val="left" w:pos="993"/>
          <w:tab w:val="left" w:pos="1418"/>
          <w:tab w:val="left" w:pos="4020"/>
        </w:tabs>
        <w:ind w:firstLine="567"/>
        <w:jc w:val="both"/>
        <w:rPr>
          <w:sz w:val="24"/>
          <w:szCs w:val="24"/>
        </w:rPr>
      </w:pPr>
      <w:r w:rsidRPr="0077531F">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77531F" w:rsidRPr="0077531F" w:rsidRDefault="0077531F" w:rsidP="0077531F">
      <w:pPr>
        <w:tabs>
          <w:tab w:val="left" w:pos="0"/>
        </w:tabs>
        <w:ind w:firstLine="567"/>
        <w:jc w:val="both"/>
        <w:rPr>
          <w:sz w:val="24"/>
          <w:szCs w:val="24"/>
        </w:rPr>
      </w:pPr>
      <w:r w:rsidRPr="0077531F">
        <w:rPr>
          <w:bCs/>
          <w:sz w:val="24"/>
          <w:szCs w:val="24"/>
        </w:rPr>
        <w:t>Департамент энергетики и тарифов Ивановской области (далее – Департамент) отмечает, что расчет произведен специалистами Департамента в</w:t>
      </w:r>
      <w:r w:rsidRPr="0077531F">
        <w:rPr>
          <w:sz w:val="24"/>
          <w:szCs w:val="24"/>
        </w:rPr>
        <w:t xml:space="preserve"> соответствии </w:t>
      </w:r>
      <w:proofErr w:type="gramStart"/>
      <w:r w:rsidRPr="0077531F">
        <w:rPr>
          <w:sz w:val="24"/>
          <w:szCs w:val="24"/>
        </w:rPr>
        <w:t>с</w:t>
      </w:r>
      <w:proofErr w:type="gramEnd"/>
      <w:r w:rsidRPr="0077531F">
        <w:rPr>
          <w:sz w:val="24"/>
          <w:szCs w:val="24"/>
        </w:rPr>
        <w:t>:</w:t>
      </w:r>
    </w:p>
    <w:p w:rsidR="001A269F" w:rsidRPr="001A269F" w:rsidRDefault="001A269F" w:rsidP="001A269F">
      <w:pPr>
        <w:tabs>
          <w:tab w:val="left" w:pos="0"/>
        </w:tabs>
        <w:ind w:firstLine="567"/>
        <w:jc w:val="both"/>
        <w:rPr>
          <w:bCs/>
          <w:sz w:val="24"/>
          <w:szCs w:val="24"/>
        </w:rPr>
      </w:pPr>
      <w:r w:rsidRPr="001A269F">
        <w:rPr>
          <w:bCs/>
          <w:sz w:val="24"/>
          <w:szCs w:val="24"/>
        </w:rPr>
        <w:t>- Федеральным законом от 26.03.2003 № 35-ФЗ «Об электроэнергетике»,</w:t>
      </w:r>
    </w:p>
    <w:p w:rsidR="001A269F" w:rsidRPr="001A269F" w:rsidRDefault="001A269F" w:rsidP="001A269F">
      <w:pPr>
        <w:tabs>
          <w:tab w:val="left" w:pos="0"/>
        </w:tabs>
        <w:ind w:firstLine="567"/>
        <w:jc w:val="both"/>
        <w:rPr>
          <w:bCs/>
          <w:sz w:val="24"/>
          <w:szCs w:val="24"/>
        </w:rPr>
      </w:pPr>
      <w:r w:rsidRPr="001A269F">
        <w:rPr>
          <w:bCs/>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1A269F" w:rsidRPr="001A269F" w:rsidRDefault="001A269F" w:rsidP="001A269F">
      <w:pPr>
        <w:tabs>
          <w:tab w:val="left" w:pos="0"/>
        </w:tabs>
        <w:ind w:firstLine="567"/>
        <w:jc w:val="both"/>
        <w:rPr>
          <w:bCs/>
          <w:sz w:val="24"/>
          <w:szCs w:val="24"/>
        </w:rPr>
      </w:pPr>
      <w:r w:rsidRPr="001A269F">
        <w:rPr>
          <w:bCs/>
          <w:sz w:val="24"/>
          <w:szCs w:val="24"/>
        </w:rPr>
        <w:t xml:space="preserve">- постановлением Правительства Российской Федерации от 14.11.2022 № 2053 «Об </w:t>
      </w:r>
      <w:r w:rsidRPr="001A269F">
        <w:rPr>
          <w:bCs/>
          <w:sz w:val="24"/>
          <w:szCs w:val="24"/>
        </w:rPr>
        <w:lastRenderedPageBreak/>
        <w:t>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1A269F" w:rsidRPr="001A269F" w:rsidRDefault="001A269F" w:rsidP="001A269F">
      <w:pPr>
        <w:tabs>
          <w:tab w:val="left" w:pos="0"/>
        </w:tabs>
        <w:ind w:firstLine="567"/>
        <w:jc w:val="both"/>
        <w:rPr>
          <w:bCs/>
          <w:sz w:val="24"/>
          <w:szCs w:val="24"/>
        </w:rPr>
      </w:pPr>
      <w:r w:rsidRPr="001A269F">
        <w:rPr>
          <w:bCs/>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1A269F" w:rsidRPr="001A269F" w:rsidRDefault="001A269F" w:rsidP="001A269F">
      <w:pPr>
        <w:tabs>
          <w:tab w:val="left" w:pos="0"/>
        </w:tabs>
        <w:ind w:firstLine="567"/>
        <w:jc w:val="both"/>
        <w:rPr>
          <w:bCs/>
          <w:sz w:val="24"/>
          <w:szCs w:val="24"/>
        </w:rPr>
      </w:pPr>
      <w:r w:rsidRPr="001A269F">
        <w:rPr>
          <w:bCs/>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1A269F" w:rsidRPr="001A269F" w:rsidRDefault="001A269F" w:rsidP="001A269F">
      <w:pPr>
        <w:tabs>
          <w:tab w:val="left" w:pos="0"/>
        </w:tabs>
        <w:ind w:firstLine="567"/>
        <w:jc w:val="both"/>
        <w:rPr>
          <w:bCs/>
          <w:sz w:val="24"/>
          <w:szCs w:val="24"/>
        </w:rPr>
      </w:pPr>
      <w:r w:rsidRPr="001A269F">
        <w:rPr>
          <w:bCs/>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1A269F" w:rsidRPr="001A269F" w:rsidRDefault="001A269F" w:rsidP="001A269F">
      <w:pPr>
        <w:tabs>
          <w:tab w:val="left" w:pos="0"/>
        </w:tabs>
        <w:ind w:firstLine="567"/>
        <w:jc w:val="both"/>
        <w:rPr>
          <w:bCs/>
          <w:sz w:val="24"/>
          <w:szCs w:val="24"/>
        </w:rPr>
      </w:pPr>
      <w:r w:rsidRPr="001A269F">
        <w:rPr>
          <w:bCs/>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1A269F" w:rsidRPr="001A269F" w:rsidRDefault="001A269F" w:rsidP="001A269F">
      <w:pPr>
        <w:tabs>
          <w:tab w:val="left" w:pos="0"/>
        </w:tabs>
        <w:ind w:firstLine="567"/>
        <w:jc w:val="both"/>
        <w:rPr>
          <w:bCs/>
          <w:sz w:val="24"/>
          <w:szCs w:val="24"/>
        </w:rPr>
      </w:pPr>
      <w:r w:rsidRPr="001A269F">
        <w:rPr>
          <w:bCs/>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1A269F" w:rsidRPr="001A269F" w:rsidRDefault="001A269F" w:rsidP="001A269F">
      <w:pPr>
        <w:tabs>
          <w:tab w:val="left" w:pos="0"/>
        </w:tabs>
        <w:ind w:firstLine="567"/>
        <w:jc w:val="both"/>
        <w:rPr>
          <w:bCs/>
          <w:sz w:val="24"/>
          <w:szCs w:val="24"/>
        </w:rPr>
      </w:pPr>
      <w:proofErr w:type="gramStart"/>
      <w:r w:rsidRPr="001A269F">
        <w:rPr>
          <w:bCs/>
          <w:sz w:val="24"/>
          <w:szCs w:val="24"/>
        </w:rPr>
        <w:t>- приказом ФАС России от 14.12.2021 № 1410/21 «О внесении изменений в приложение № 1 и приложение № 2 к приказу ФАС России от 14 декабря 2020 г. № 1216/20 «Об утверждении тарифов на услуги по передаче электрической энергии по единой национальной (общероссийской) электрической сети, оказываемые ПАО «Федеральная сетевая компания единой энергетической системы», на 2021 - 2024 годы»,</w:t>
      </w:r>
      <w:proofErr w:type="gramEnd"/>
    </w:p>
    <w:p w:rsidR="001A269F" w:rsidRPr="001A269F" w:rsidRDefault="001A269F" w:rsidP="001A269F">
      <w:pPr>
        <w:tabs>
          <w:tab w:val="left" w:pos="0"/>
        </w:tabs>
        <w:ind w:firstLine="567"/>
        <w:jc w:val="both"/>
        <w:rPr>
          <w:bCs/>
          <w:sz w:val="24"/>
          <w:szCs w:val="24"/>
        </w:rPr>
      </w:pPr>
      <w:r w:rsidRPr="001A269F">
        <w:rPr>
          <w:bCs/>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2023 год по Ивановской области, опубликованным Ассоциацией «НП Совет рынка» в сети Интернет,</w:t>
      </w:r>
    </w:p>
    <w:p w:rsidR="001A269F" w:rsidRPr="001A269F" w:rsidRDefault="001A269F" w:rsidP="001A269F">
      <w:pPr>
        <w:tabs>
          <w:tab w:val="left" w:pos="0"/>
        </w:tabs>
        <w:ind w:firstLine="567"/>
        <w:jc w:val="both"/>
        <w:rPr>
          <w:bCs/>
          <w:sz w:val="24"/>
          <w:szCs w:val="24"/>
        </w:rPr>
      </w:pPr>
      <w:r w:rsidRPr="001A269F">
        <w:rPr>
          <w:bCs/>
          <w:sz w:val="24"/>
          <w:szCs w:val="24"/>
        </w:rPr>
        <w:t>- приказом ФАС России от 11.10.2022 № 733/22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2023 год»,</w:t>
      </w:r>
    </w:p>
    <w:p w:rsidR="001A269F" w:rsidRPr="001A269F" w:rsidRDefault="001A269F" w:rsidP="001A269F">
      <w:pPr>
        <w:tabs>
          <w:tab w:val="left" w:pos="0"/>
        </w:tabs>
        <w:ind w:firstLine="567"/>
        <w:jc w:val="both"/>
        <w:rPr>
          <w:bCs/>
          <w:sz w:val="24"/>
          <w:szCs w:val="24"/>
        </w:rPr>
      </w:pPr>
      <w:r w:rsidRPr="001A269F">
        <w:rPr>
          <w:bCs/>
          <w:sz w:val="24"/>
          <w:szCs w:val="24"/>
        </w:rPr>
        <w:t>- постановлением Департамента энергетики и тарифов Ивановской области от 18.11.2022 № 51-э/2 «О тарифах на электрическую энергию для населения и приравненных к нему категорий потребителей по Ивановской области»,</w:t>
      </w:r>
    </w:p>
    <w:p w:rsidR="001A269F" w:rsidRPr="001A269F" w:rsidRDefault="001A269F" w:rsidP="001A269F">
      <w:pPr>
        <w:tabs>
          <w:tab w:val="left" w:pos="0"/>
        </w:tabs>
        <w:ind w:firstLine="567"/>
        <w:jc w:val="both"/>
        <w:rPr>
          <w:bCs/>
          <w:sz w:val="24"/>
          <w:szCs w:val="24"/>
        </w:rPr>
      </w:pPr>
      <w:r w:rsidRPr="001A269F">
        <w:rPr>
          <w:bCs/>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г. № 20-э/2,</w:t>
      </w:r>
    </w:p>
    <w:p w:rsidR="001A269F" w:rsidRPr="001A269F" w:rsidRDefault="001A269F" w:rsidP="001A269F">
      <w:pPr>
        <w:tabs>
          <w:tab w:val="left" w:pos="0"/>
        </w:tabs>
        <w:ind w:firstLine="567"/>
        <w:jc w:val="both"/>
        <w:rPr>
          <w:bCs/>
          <w:sz w:val="24"/>
          <w:szCs w:val="24"/>
        </w:rPr>
      </w:pPr>
      <w:r w:rsidRPr="001A269F">
        <w:rPr>
          <w:bCs/>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по тексту – Методические указания № 98-э),</w:t>
      </w:r>
    </w:p>
    <w:p w:rsidR="001A269F" w:rsidRPr="001A269F" w:rsidRDefault="001A269F" w:rsidP="001A269F">
      <w:pPr>
        <w:tabs>
          <w:tab w:val="left" w:pos="0"/>
        </w:tabs>
        <w:ind w:firstLine="567"/>
        <w:jc w:val="both"/>
        <w:rPr>
          <w:bCs/>
          <w:sz w:val="24"/>
          <w:szCs w:val="24"/>
        </w:rPr>
      </w:pPr>
      <w:r w:rsidRPr="001A269F">
        <w:rPr>
          <w:bCs/>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1A269F" w:rsidRPr="001A269F" w:rsidRDefault="001A269F" w:rsidP="001A269F">
      <w:pPr>
        <w:tabs>
          <w:tab w:val="left" w:pos="0"/>
        </w:tabs>
        <w:ind w:firstLine="567"/>
        <w:jc w:val="both"/>
        <w:rPr>
          <w:bCs/>
          <w:sz w:val="24"/>
          <w:szCs w:val="24"/>
        </w:rPr>
      </w:pPr>
      <w:r w:rsidRPr="001A269F">
        <w:rPr>
          <w:bCs/>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1A269F" w:rsidRPr="001A269F" w:rsidRDefault="001A269F" w:rsidP="001A269F">
      <w:pPr>
        <w:tabs>
          <w:tab w:val="left" w:pos="0"/>
        </w:tabs>
        <w:ind w:firstLine="567"/>
        <w:jc w:val="both"/>
        <w:rPr>
          <w:bCs/>
          <w:sz w:val="24"/>
          <w:szCs w:val="24"/>
        </w:rPr>
      </w:pPr>
      <w:r w:rsidRPr="001A269F">
        <w:rPr>
          <w:bCs/>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1A269F" w:rsidRPr="001A269F" w:rsidRDefault="001A269F" w:rsidP="001A269F">
      <w:pPr>
        <w:tabs>
          <w:tab w:val="left" w:pos="0"/>
        </w:tabs>
        <w:ind w:firstLine="567"/>
        <w:jc w:val="both"/>
        <w:rPr>
          <w:bCs/>
          <w:sz w:val="24"/>
          <w:szCs w:val="24"/>
        </w:rPr>
      </w:pPr>
      <w:r w:rsidRPr="001A269F">
        <w:rPr>
          <w:bCs/>
          <w:sz w:val="24"/>
          <w:szCs w:val="24"/>
        </w:rPr>
        <w:t xml:space="preserve">- приказом Минэнерго России от 16.12.2021 № 1409 «Об утверждении нормативов потерь </w:t>
      </w:r>
      <w:r w:rsidRPr="001A269F">
        <w:rPr>
          <w:bCs/>
          <w:sz w:val="24"/>
          <w:szCs w:val="24"/>
        </w:rPr>
        <w:lastRenderedPageBreak/>
        <w:t>электрической энергии при ее передаче по единой национальной (общероссийской) электрической сети, осуществляемой ПАО «ФСК ЕЭС» с использованием объектов электросетевого хозяйства, принадлежащих ПАО «ФСК ЕЭС» на праве собственности или ином законном основании, на 2022 год»,</w:t>
      </w:r>
    </w:p>
    <w:p w:rsidR="001A269F" w:rsidRPr="001A269F" w:rsidRDefault="001A269F" w:rsidP="001A269F">
      <w:pPr>
        <w:tabs>
          <w:tab w:val="left" w:pos="0"/>
        </w:tabs>
        <w:ind w:firstLine="567"/>
        <w:jc w:val="both"/>
        <w:rPr>
          <w:bCs/>
          <w:sz w:val="24"/>
          <w:szCs w:val="24"/>
        </w:rPr>
      </w:pPr>
      <w:r w:rsidRPr="001A269F">
        <w:rPr>
          <w:bCs/>
          <w:sz w:val="24"/>
          <w:szCs w:val="24"/>
        </w:rPr>
        <w:t>- Сводным прогнозным балансом производства и поставок электрической энергии (мощности) в рамках ЕЭС России по Ивановской области на 2023 год, утвержденным приказом ФАС России от 27 октября 2022 № 767/22-ДСП,</w:t>
      </w:r>
    </w:p>
    <w:p w:rsidR="001A269F" w:rsidRPr="001A269F" w:rsidRDefault="001A269F" w:rsidP="001A269F">
      <w:pPr>
        <w:tabs>
          <w:tab w:val="left" w:pos="0"/>
        </w:tabs>
        <w:ind w:firstLine="567"/>
        <w:jc w:val="both"/>
        <w:rPr>
          <w:bCs/>
          <w:sz w:val="24"/>
          <w:szCs w:val="24"/>
        </w:rPr>
      </w:pPr>
      <w:r w:rsidRPr="001A269F">
        <w:rPr>
          <w:bCs/>
          <w:sz w:val="24"/>
          <w:szCs w:val="24"/>
        </w:rPr>
        <w:t>- прогнозом свободных (нерегулируемых) цен на электрическую энергию (мощность) на 2023 год по субъектам РФ, разработанным Ассоциацией «НП Совет рынка»,</w:t>
      </w:r>
    </w:p>
    <w:p w:rsidR="001A269F" w:rsidRDefault="001A269F" w:rsidP="001A269F">
      <w:pPr>
        <w:tabs>
          <w:tab w:val="left" w:pos="0"/>
        </w:tabs>
        <w:ind w:firstLine="567"/>
        <w:jc w:val="both"/>
        <w:rPr>
          <w:bCs/>
          <w:sz w:val="24"/>
          <w:szCs w:val="24"/>
        </w:rPr>
      </w:pPr>
      <w:r w:rsidRPr="001A269F">
        <w:rPr>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2025 года.</w:t>
      </w:r>
    </w:p>
    <w:p w:rsidR="0077531F" w:rsidRPr="0077531F" w:rsidRDefault="0077531F" w:rsidP="001A269F">
      <w:pPr>
        <w:tabs>
          <w:tab w:val="left" w:pos="0"/>
        </w:tabs>
        <w:ind w:firstLine="567"/>
        <w:jc w:val="both"/>
        <w:rPr>
          <w:sz w:val="24"/>
          <w:szCs w:val="24"/>
        </w:rPr>
      </w:pPr>
      <w:r w:rsidRPr="0077531F">
        <w:rPr>
          <w:sz w:val="24"/>
          <w:szCs w:val="24"/>
        </w:rPr>
        <w:t>О</w:t>
      </w:r>
      <w:r>
        <w:rPr>
          <w:sz w:val="24"/>
          <w:szCs w:val="24"/>
        </w:rPr>
        <w:t xml:space="preserve">сновные показатели деятельности </w:t>
      </w:r>
      <w:r w:rsidR="00370D57" w:rsidRPr="00370D57">
        <w:rPr>
          <w:sz w:val="24"/>
          <w:szCs w:val="24"/>
        </w:rPr>
        <w:t>филиала ПАО «Россети Центр и Приволжье» - «Ивэнерго»</w:t>
      </w:r>
      <w:r w:rsidRPr="0077531F">
        <w:rPr>
          <w:bCs/>
          <w:sz w:val="24"/>
          <w:szCs w:val="24"/>
        </w:rPr>
        <w:t xml:space="preserve">, </w:t>
      </w:r>
      <w:r w:rsidRPr="0077531F">
        <w:rPr>
          <w:sz w:val="24"/>
          <w:szCs w:val="24"/>
        </w:rPr>
        <w:t>принимаемые в расчет единых (котловых) и индивидуальных тарифов на услуги по передаче электрической энергии на 2023 год, а также принимаемые при установлении НВВ, приведены в приложениях к протоколу.</w:t>
      </w:r>
    </w:p>
    <w:p w:rsidR="0077531F" w:rsidRPr="0077531F" w:rsidRDefault="0077531F" w:rsidP="0077531F">
      <w:pPr>
        <w:tabs>
          <w:tab w:val="left" w:pos="0"/>
        </w:tabs>
        <w:ind w:firstLine="567"/>
        <w:jc w:val="both"/>
        <w:rPr>
          <w:bCs/>
          <w:sz w:val="24"/>
          <w:szCs w:val="24"/>
        </w:rPr>
      </w:pPr>
      <w:r w:rsidRPr="0077531F">
        <w:rPr>
          <w:bCs/>
          <w:sz w:val="24"/>
          <w:szCs w:val="24"/>
        </w:rPr>
        <w:t>По результатам экспертизы подготовлены расчетные материалы и соответствующее экспертное заключение.</w:t>
      </w:r>
    </w:p>
    <w:p w:rsidR="00950173" w:rsidRDefault="0077531F" w:rsidP="0077531F">
      <w:pPr>
        <w:tabs>
          <w:tab w:val="left" w:pos="0"/>
        </w:tabs>
        <w:ind w:firstLine="567"/>
        <w:jc w:val="both"/>
        <w:rPr>
          <w:bCs/>
          <w:sz w:val="24"/>
          <w:szCs w:val="24"/>
        </w:rPr>
      </w:pPr>
      <w:r w:rsidRPr="0077531F">
        <w:rPr>
          <w:bCs/>
          <w:sz w:val="24"/>
          <w:szCs w:val="24"/>
        </w:rPr>
        <w:t xml:space="preserve">Необходимо внести соответствующие изменения в постановление Департамента энергетики и тарифов Ивановской области </w:t>
      </w:r>
      <w:r w:rsidR="00370D57" w:rsidRPr="00370D57">
        <w:rPr>
          <w:bCs/>
          <w:sz w:val="24"/>
          <w:szCs w:val="24"/>
        </w:rPr>
        <w:t>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77531F">
        <w:rPr>
          <w:bCs/>
          <w:sz w:val="24"/>
          <w:szCs w:val="24"/>
        </w:rPr>
        <w:t>.</w:t>
      </w:r>
    </w:p>
    <w:p w:rsidR="00B26A62" w:rsidRDefault="00370D57" w:rsidP="00B26A62">
      <w:pPr>
        <w:tabs>
          <w:tab w:val="left" w:pos="0"/>
        </w:tabs>
        <w:ind w:firstLine="567"/>
        <w:jc w:val="both"/>
        <w:rPr>
          <w:bCs/>
          <w:sz w:val="24"/>
          <w:szCs w:val="24"/>
        </w:rPr>
      </w:pPr>
      <w:r>
        <w:rPr>
          <w:bCs/>
          <w:sz w:val="24"/>
          <w:szCs w:val="24"/>
        </w:rPr>
        <w:t>Ф</w:t>
      </w:r>
      <w:r w:rsidRPr="00370D57">
        <w:rPr>
          <w:bCs/>
          <w:sz w:val="24"/>
          <w:szCs w:val="24"/>
        </w:rPr>
        <w:t>илиал ПАО «Россети Центр и Приволжье» - «Ивэнерго»</w:t>
      </w:r>
      <w:r w:rsidR="00B26A62" w:rsidRPr="00D72A8C">
        <w:rPr>
          <w:bCs/>
          <w:sz w:val="24"/>
          <w:szCs w:val="24"/>
        </w:rPr>
        <w:t xml:space="preserve"> письмом от </w:t>
      </w:r>
      <w:r w:rsidR="00D97388">
        <w:rPr>
          <w:bCs/>
          <w:sz w:val="24"/>
          <w:szCs w:val="24"/>
        </w:rPr>
        <w:t>24</w:t>
      </w:r>
      <w:r w:rsidR="00B26A62" w:rsidRPr="00D72A8C">
        <w:rPr>
          <w:bCs/>
          <w:sz w:val="24"/>
          <w:szCs w:val="24"/>
        </w:rPr>
        <w:t xml:space="preserve">.11.2022 № </w:t>
      </w:r>
      <w:r w:rsidR="00D97388">
        <w:rPr>
          <w:bCs/>
          <w:sz w:val="24"/>
          <w:szCs w:val="24"/>
        </w:rPr>
        <w:t>МР7-ИвЭ/25-2/6818</w:t>
      </w:r>
      <w:r w:rsidR="00B26A62" w:rsidRPr="00D72A8C">
        <w:rPr>
          <w:bCs/>
          <w:sz w:val="24"/>
          <w:szCs w:val="24"/>
        </w:rPr>
        <w:t xml:space="preserve"> не согласовывает предлагаемую к утверждению величину НВВ на 2023 год, участвующую в расчете тарифов на услуги по передаче электрической энергии (мощности) на 2023 год, по следующим основаниям.</w:t>
      </w:r>
    </w:p>
    <w:p w:rsidR="005657C9" w:rsidRPr="00B55ABA" w:rsidRDefault="005657C9" w:rsidP="005657C9">
      <w:pPr>
        <w:widowControl/>
        <w:tabs>
          <w:tab w:val="left" w:pos="1590"/>
        </w:tabs>
        <w:ind w:firstLine="567"/>
        <w:jc w:val="both"/>
        <w:rPr>
          <w:rFonts w:eastAsia="Calibri"/>
          <w:sz w:val="24"/>
          <w:szCs w:val="24"/>
          <w:lang w:eastAsia="en-US"/>
        </w:rPr>
      </w:pPr>
      <w:r w:rsidRPr="00B55ABA">
        <w:rPr>
          <w:rFonts w:eastAsia="Calibri"/>
          <w:sz w:val="24"/>
          <w:szCs w:val="24"/>
          <w:lang w:eastAsia="en-US"/>
        </w:rPr>
        <w:t xml:space="preserve">Филиал ПАО «Россети Центр и Приволжье» - «Ивэнерго» (далее – филиал «Ивэнерго») 23.11.2022 г. в 14-30 получил по электронной почте уточненные материалы по вопросу установления </w:t>
      </w:r>
      <w:r w:rsidRPr="00B55ABA">
        <w:rPr>
          <w:sz w:val="24"/>
          <w:szCs w:val="24"/>
        </w:rPr>
        <w:t xml:space="preserve">необходимой валовой выручки на содержание электрических сетей (без учета оплаты потерь) (далее – НВВ) </w:t>
      </w:r>
      <w:r w:rsidRPr="00B55ABA">
        <w:rPr>
          <w:rFonts w:eastAsia="Calibri"/>
          <w:sz w:val="24"/>
          <w:szCs w:val="24"/>
          <w:lang w:eastAsia="en-US"/>
        </w:rPr>
        <w:t>к заседанию Правления Департамента энергетики и тарифов Ивановской области (далее – Департамент), назначенному на 14-30 24.11.2022г. Представленные материалы не содержат проект постановления Департамента об установлении НВВ и долгосрочных параметров регулирования для филиала «Ивэнерго», проект экспертного заключения и не позволяют в полном объеме оценить подходы регулятора при определении расходов.</w:t>
      </w:r>
    </w:p>
    <w:p w:rsidR="005657C9" w:rsidRPr="00B55ABA" w:rsidRDefault="005657C9" w:rsidP="005657C9">
      <w:pPr>
        <w:widowControl/>
        <w:tabs>
          <w:tab w:val="left" w:pos="1590"/>
        </w:tabs>
        <w:ind w:firstLine="567"/>
        <w:jc w:val="both"/>
        <w:rPr>
          <w:rFonts w:eastAsia="Calibri"/>
          <w:sz w:val="24"/>
          <w:szCs w:val="24"/>
          <w:lang w:eastAsia="en-US"/>
        </w:rPr>
      </w:pPr>
      <w:r w:rsidRPr="00B55ABA">
        <w:rPr>
          <w:rFonts w:eastAsia="Calibri"/>
          <w:sz w:val="24"/>
          <w:szCs w:val="24"/>
          <w:lang w:eastAsia="en-US"/>
        </w:rPr>
        <w:t>Согласно представленному Департаментом расчету об установлении НВВ и долгосрочных параметров регулирования для филиала «Ивэнерго», НВВ филиала на 2023 год составит 4 064 638 тыс. руб., в том числе собственная НВВ на содержание (без учета расходов на услуги ПАО «ФСК ЕЭС») 3 054 654 тыс. руб., что ниже утвержденной на 2022 год собственной НВВ филиала «Ивэнерго» на 1,47%</w:t>
      </w:r>
      <w:r w:rsidR="00B55ABA">
        <w:rPr>
          <w:rFonts w:eastAsia="Calibri"/>
          <w:sz w:val="24"/>
          <w:szCs w:val="24"/>
          <w:lang w:eastAsia="en-US"/>
        </w:rPr>
        <w:t xml:space="preserve"> или 45 617 тыс. руб. При этом п</w:t>
      </w:r>
      <w:r w:rsidRPr="00B55ABA">
        <w:rPr>
          <w:rFonts w:eastAsia="Calibri"/>
          <w:sz w:val="24"/>
          <w:szCs w:val="24"/>
          <w:lang w:eastAsia="en-US"/>
        </w:rPr>
        <w:t>остановлением Правительства РФ от 14.11.2022 № 2053 предусмотрено увеличение предельных максимальных уровней цен (тарифов) на услуги по переда</w:t>
      </w:r>
      <w:r w:rsidR="00B55ABA">
        <w:rPr>
          <w:rFonts w:eastAsia="Calibri"/>
          <w:sz w:val="24"/>
          <w:szCs w:val="24"/>
          <w:lang w:eastAsia="en-US"/>
        </w:rPr>
        <w:t>че электрической энергии на 9%.</w:t>
      </w:r>
    </w:p>
    <w:p w:rsidR="005657C9" w:rsidRDefault="005657C9" w:rsidP="005657C9">
      <w:pPr>
        <w:widowControl/>
        <w:suppressAutoHyphens/>
        <w:ind w:firstLine="567"/>
        <w:jc w:val="both"/>
        <w:rPr>
          <w:rFonts w:eastAsia="Calibri"/>
          <w:sz w:val="24"/>
          <w:szCs w:val="24"/>
          <w:lang w:eastAsia="en-US"/>
        </w:rPr>
      </w:pPr>
      <w:r w:rsidRPr="00B55ABA">
        <w:rPr>
          <w:rFonts w:eastAsia="Calibri"/>
          <w:sz w:val="24"/>
          <w:szCs w:val="24"/>
          <w:lang w:eastAsia="en-US"/>
        </w:rPr>
        <w:t>Предложения Департамента не содержат информацию о компенсации накопленной задолженности по НВВ и выпадающим доходам прошлых лет, что не позволяет оценить соблюдение предусмотренных законодательством сроков возврата накопленной задолженности. Период компенсации филиалу «Ивэнерго» выпадающих доходов по факту деятельности за 2016-2021 гг. и возврата некомпенсированной суммы накопленного «сглаживания» с нормой доходности в предложениях регулятора не указан.</w:t>
      </w:r>
    </w:p>
    <w:p w:rsidR="005657C9" w:rsidRPr="00B55ABA" w:rsidRDefault="005657C9" w:rsidP="00B55ABA">
      <w:pPr>
        <w:widowControl/>
        <w:suppressAutoHyphens/>
        <w:ind w:firstLine="567"/>
        <w:jc w:val="both"/>
        <w:rPr>
          <w:rFonts w:eastAsia="Calibri"/>
          <w:sz w:val="24"/>
          <w:szCs w:val="24"/>
          <w:lang w:eastAsia="en-US"/>
        </w:rPr>
      </w:pPr>
      <w:r w:rsidRPr="00B55ABA">
        <w:rPr>
          <w:rFonts w:eastAsia="Calibri"/>
          <w:sz w:val="24"/>
          <w:szCs w:val="24"/>
          <w:lang w:eastAsia="en-US"/>
        </w:rPr>
        <w:t>С учетом п.7 Основ ценообразования и итогов тарифного регулирования прошлых лет накопленная задолженность по НВВ филиала ПАО «Россети Центр и Приволжье» - «Ивэнерго» составляет 2 530 550 тыс. руб., в том числе:</w:t>
      </w:r>
    </w:p>
    <w:p w:rsidR="005657C9" w:rsidRPr="00B55ABA" w:rsidRDefault="005657C9" w:rsidP="00B55ABA">
      <w:pPr>
        <w:widowControl/>
        <w:numPr>
          <w:ilvl w:val="0"/>
          <w:numId w:val="34"/>
        </w:numPr>
        <w:autoSpaceDE w:val="0"/>
        <w:autoSpaceDN w:val="0"/>
        <w:adjustRightInd w:val="0"/>
        <w:spacing w:after="200"/>
        <w:ind w:left="0" w:firstLine="567"/>
        <w:contextualSpacing/>
        <w:jc w:val="both"/>
        <w:rPr>
          <w:rFonts w:eastAsia="Calibri"/>
          <w:sz w:val="24"/>
          <w:szCs w:val="24"/>
          <w:lang w:eastAsia="en-US"/>
        </w:rPr>
      </w:pPr>
      <w:r w:rsidRPr="00B55ABA">
        <w:rPr>
          <w:rFonts w:eastAsia="Calibri"/>
          <w:sz w:val="24"/>
          <w:szCs w:val="24"/>
          <w:lang w:eastAsia="en-US"/>
        </w:rPr>
        <w:t>компенсация накопленного сглаживания НВВ (с учетом нормы доходности) - 1 313 772,38 тыс. руб.;</w:t>
      </w:r>
    </w:p>
    <w:p w:rsidR="005657C9" w:rsidRPr="00B55ABA" w:rsidRDefault="005657C9" w:rsidP="00B55ABA">
      <w:pPr>
        <w:widowControl/>
        <w:numPr>
          <w:ilvl w:val="0"/>
          <w:numId w:val="34"/>
        </w:numPr>
        <w:autoSpaceDE w:val="0"/>
        <w:autoSpaceDN w:val="0"/>
        <w:adjustRightInd w:val="0"/>
        <w:spacing w:after="200"/>
        <w:ind w:left="0" w:firstLine="567"/>
        <w:contextualSpacing/>
        <w:jc w:val="both"/>
        <w:rPr>
          <w:rFonts w:eastAsia="Calibri"/>
          <w:sz w:val="24"/>
          <w:szCs w:val="24"/>
          <w:lang w:eastAsia="en-US"/>
        </w:rPr>
      </w:pPr>
      <w:r w:rsidRPr="00B55ABA">
        <w:rPr>
          <w:rFonts w:eastAsia="Calibri"/>
          <w:sz w:val="24"/>
          <w:szCs w:val="24"/>
          <w:lang w:eastAsia="en-US"/>
        </w:rPr>
        <w:t>возмещение выпадающих доходов прошлых лет (за 2016-2020 гг.) -  1 216 777,49</w:t>
      </w:r>
      <w:r w:rsidR="00B55ABA" w:rsidRPr="00B55ABA">
        <w:rPr>
          <w:rFonts w:eastAsia="Calibri"/>
          <w:sz w:val="24"/>
          <w:szCs w:val="24"/>
          <w:lang w:eastAsia="en-US"/>
        </w:rPr>
        <w:t xml:space="preserve"> </w:t>
      </w:r>
      <w:r w:rsidRPr="00B55ABA">
        <w:rPr>
          <w:rFonts w:eastAsia="Calibri"/>
          <w:sz w:val="24"/>
          <w:szCs w:val="24"/>
          <w:lang w:eastAsia="en-US"/>
        </w:rPr>
        <w:t>тыс. руб.</w:t>
      </w:r>
    </w:p>
    <w:p w:rsidR="00B55ABA" w:rsidRPr="00B55ABA" w:rsidRDefault="00B55ABA" w:rsidP="00B55ABA">
      <w:pPr>
        <w:widowControl/>
        <w:tabs>
          <w:tab w:val="left" w:pos="1590"/>
        </w:tabs>
        <w:ind w:firstLine="567"/>
        <w:jc w:val="both"/>
        <w:rPr>
          <w:rFonts w:eastAsia="Calibri"/>
          <w:sz w:val="24"/>
          <w:szCs w:val="24"/>
          <w:lang w:eastAsia="en-US"/>
        </w:rPr>
      </w:pPr>
      <w:proofErr w:type="gramStart"/>
      <w:r w:rsidRPr="00B55ABA">
        <w:rPr>
          <w:rFonts w:eastAsia="Calibri"/>
          <w:sz w:val="24"/>
          <w:szCs w:val="24"/>
          <w:lang w:eastAsia="en-US"/>
        </w:rPr>
        <w:lastRenderedPageBreak/>
        <w:t>Департамент отмечает, что в соответствии с п. 25 Правил государственного регулирования (пересмотра, применения) цен (тарифов) в электроэнергетике, утвержденных постановлением Правительства от 29.12.2011 № 1178, 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w:t>
      </w:r>
      <w:proofErr w:type="gramEnd"/>
      <w:r w:rsidRPr="00B55ABA">
        <w:rPr>
          <w:rFonts w:eastAsia="Calibri"/>
          <w:sz w:val="24"/>
          <w:szCs w:val="24"/>
          <w:lang w:eastAsia="en-US"/>
        </w:rPr>
        <w:t xml:space="preserve"> не </w:t>
      </w:r>
      <w:proofErr w:type="gramStart"/>
      <w:r w:rsidRPr="00B55ABA">
        <w:rPr>
          <w:rFonts w:eastAsia="Calibri"/>
          <w:sz w:val="24"/>
          <w:szCs w:val="24"/>
          <w:lang w:eastAsia="en-US"/>
        </w:rPr>
        <w:t>позднее</w:t>
      </w:r>
      <w:proofErr w:type="gramEnd"/>
      <w:r w:rsidRPr="00B55ABA">
        <w:rPr>
          <w:rFonts w:eastAsia="Calibri"/>
          <w:sz w:val="24"/>
          <w:szCs w:val="24"/>
          <w:lang w:eastAsia="en-US"/>
        </w:rPr>
        <w:t xml:space="preserve"> чем за 1 день до заседания ознакомлена с его материалами, включая проект решения.</w:t>
      </w:r>
    </w:p>
    <w:p w:rsidR="00B55ABA" w:rsidRPr="00B55ABA" w:rsidRDefault="00B55ABA" w:rsidP="00B55ABA">
      <w:pPr>
        <w:widowControl/>
        <w:tabs>
          <w:tab w:val="left" w:pos="1590"/>
        </w:tabs>
        <w:ind w:firstLine="567"/>
        <w:jc w:val="both"/>
        <w:rPr>
          <w:rFonts w:eastAsia="Calibri"/>
          <w:sz w:val="24"/>
          <w:szCs w:val="24"/>
          <w:lang w:eastAsia="en-US"/>
        </w:rPr>
      </w:pPr>
      <w:r w:rsidRPr="00B55ABA">
        <w:rPr>
          <w:rFonts w:eastAsia="Calibri"/>
          <w:sz w:val="24"/>
          <w:szCs w:val="24"/>
          <w:lang w:eastAsia="en-US"/>
        </w:rPr>
        <w:t>В адрес филиала ПАО «Россети Центр и Приволжье» - «Ивэнерго» подробные расчетные материалы, в том числе проект решения, по данному вопросу были направлены с соблюдением сроков, предусмотренных действующими нормативными документами. Направление к заседанию Правления в адрес регулируемой организации экспертного заключения действующим законодательством не предусмотрено.</w:t>
      </w:r>
    </w:p>
    <w:p w:rsidR="005657C9" w:rsidRPr="00B55ABA" w:rsidRDefault="00B55ABA" w:rsidP="005657C9">
      <w:pPr>
        <w:widowControl/>
        <w:tabs>
          <w:tab w:val="left" w:pos="1590"/>
        </w:tabs>
        <w:ind w:firstLine="567"/>
        <w:jc w:val="both"/>
        <w:rPr>
          <w:rFonts w:eastAsia="Calibri"/>
          <w:sz w:val="24"/>
          <w:szCs w:val="24"/>
          <w:lang w:eastAsia="en-US"/>
        </w:rPr>
      </w:pPr>
      <w:r w:rsidRPr="00B55ABA">
        <w:rPr>
          <w:rFonts w:eastAsia="Calibri"/>
          <w:sz w:val="24"/>
          <w:szCs w:val="24"/>
          <w:lang w:eastAsia="en-US"/>
        </w:rPr>
        <w:t>Ф</w:t>
      </w:r>
      <w:r w:rsidR="005657C9" w:rsidRPr="00B55ABA">
        <w:rPr>
          <w:rFonts w:eastAsia="Calibri"/>
          <w:sz w:val="24"/>
          <w:szCs w:val="24"/>
          <w:lang w:eastAsia="en-US"/>
        </w:rPr>
        <w:t>илиал «Ивэнерго» выражает свое несогласие по следующим параметрам тарифного решения на 2023 год.</w:t>
      </w:r>
    </w:p>
    <w:p w:rsidR="005657C9" w:rsidRPr="00F81A89" w:rsidRDefault="00F81A89" w:rsidP="005657C9">
      <w:pPr>
        <w:widowControl/>
        <w:numPr>
          <w:ilvl w:val="0"/>
          <w:numId w:val="35"/>
        </w:numPr>
        <w:spacing w:after="200"/>
        <w:ind w:left="0" w:firstLine="567"/>
        <w:contextualSpacing/>
        <w:rPr>
          <w:rFonts w:eastAsia="Calibri"/>
          <w:i/>
          <w:sz w:val="24"/>
          <w:szCs w:val="24"/>
          <w:lang w:eastAsia="en-US"/>
        </w:rPr>
      </w:pPr>
      <w:r>
        <w:rPr>
          <w:rFonts w:eastAsia="Calibri"/>
          <w:i/>
          <w:sz w:val="24"/>
          <w:szCs w:val="24"/>
          <w:lang w:eastAsia="en-US"/>
        </w:rPr>
        <w:t xml:space="preserve"> </w:t>
      </w:r>
      <w:r w:rsidR="005657C9" w:rsidRPr="00F81A89">
        <w:rPr>
          <w:rFonts w:eastAsia="Calibri"/>
          <w:i/>
          <w:sz w:val="24"/>
          <w:szCs w:val="24"/>
          <w:lang w:eastAsia="en-US"/>
        </w:rPr>
        <w:t>Пересмотр базового уровня подконтрольных расходов</w:t>
      </w:r>
      <w:r w:rsidR="00B55ABA" w:rsidRPr="00F81A89">
        <w:rPr>
          <w:rFonts w:eastAsia="Calibri"/>
          <w:i/>
          <w:sz w:val="24"/>
          <w:szCs w:val="24"/>
          <w:lang w:eastAsia="en-US"/>
        </w:rPr>
        <w:t>.</w:t>
      </w:r>
    </w:p>
    <w:p w:rsidR="005657C9" w:rsidRPr="00B55ABA" w:rsidRDefault="00B55ABA" w:rsidP="005657C9">
      <w:pPr>
        <w:widowControl/>
        <w:ind w:firstLine="567"/>
        <w:contextualSpacing/>
        <w:jc w:val="both"/>
        <w:rPr>
          <w:rFonts w:eastAsia="Calibri"/>
          <w:sz w:val="24"/>
          <w:szCs w:val="24"/>
          <w:lang w:eastAsia="en-US"/>
        </w:rPr>
      </w:pPr>
      <w:proofErr w:type="gramStart"/>
      <w:r w:rsidRPr="00F81A89">
        <w:rPr>
          <w:rFonts w:eastAsia="Calibri"/>
          <w:sz w:val="24"/>
          <w:szCs w:val="24"/>
          <w:lang w:eastAsia="en-US"/>
        </w:rPr>
        <w:t>В соответствии с п</w:t>
      </w:r>
      <w:r w:rsidR="005657C9" w:rsidRPr="00F81A89">
        <w:rPr>
          <w:rFonts w:eastAsia="Calibri"/>
          <w:sz w:val="24"/>
          <w:szCs w:val="24"/>
          <w:lang w:eastAsia="en-US"/>
        </w:rPr>
        <w:t>остановлением Правительства РФ от 14.11.2022 № 2053 филиал «Ивэнерго» направил в Департамент уточненные тарифные предложения о</w:t>
      </w:r>
      <w:r w:rsidR="005657C9" w:rsidRPr="00B55ABA">
        <w:rPr>
          <w:rFonts w:eastAsia="Calibri"/>
          <w:sz w:val="24"/>
          <w:szCs w:val="24"/>
          <w:lang w:eastAsia="en-US"/>
        </w:rPr>
        <w:t xml:space="preserve"> размере тарифов на услуги по передаче электрической энергии на 2023 год, долгосрочных параметров регулирования с применением метода долгосрочной индексации необходимой валовой выручки и величине скорректированной НВВ филиала «Ивэнерго» на 2023 год и до конца долгосрочного периода (до 2026 года включительно), в том</w:t>
      </w:r>
      <w:proofErr w:type="gramEnd"/>
      <w:r w:rsidR="005657C9" w:rsidRPr="00B55ABA">
        <w:rPr>
          <w:rFonts w:eastAsia="Calibri"/>
          <w:sz w:val="24"/>
          <w:szCs w:val="24"/>
          <w:lang w:eastAsia="en-US"/>
        </w:rPr>
        <w:t xml:space="preserve"> </w:t>
      </w:r>
      <w:proofErr w:type="gramStart"/>
      <w:r w:rsidR="005657C9" w:rsidRPr="00B55ABA">
        <w:rPr>
          <w:rFonts w:eastAsia="Calibri"/>
          <w:sz w:val="24"/>
          <w:szCs w:val="24"/>
          <w:lang w:eastAsia="en-US"/>
        </w:rPr>
        <w:t>числе</w:t>
      </w:r>
      <w:proofErr w:type="gramEnd"/>
      <w:r w:rsidR="005657C9" w:rsidRPr="00B55ABA">
        <w:rPr>
          <w:rFonts w:eastAsia="Calibri"/>
          <w:sz w:val="24"/>
          <w:szCs w:val="24"/>
          <w:lang w:eastAsia="en-US"/>
        </w:rPr>
        <w:t xml:space="preserve"> предложения по пересмотру базового уровня подконтрольных расходов по п. 26 вышеуказанного Постановления (от 21.10.2022 №МР7-ИвЭ/25-2/6174, от 18.11.2022 №МР7-ИвЭ/25-2/6724).</w:t>
      </w:r>
    </w:p>
    <w:p w:rsidR="005657C9" w:rsidRPr="00B55ABA" w:rsidRDefault="005657C9" w:rsidP="005657C9">
      <w:pPr>
        <w:widowControl/>
        <w:ind w:firstLine="567"/>
        <w:contextualSpacing/>
        <w:jc w:val="both"/>
        <w:rPr>
          <w:rFonts w:eastAsia="Calibri"/>
          <w:sz w:val="24"/>
          <w:szCs w:val="24"/>
          <w:lang w:eastAsia="en-US"/>
        </w:rPr>
      </w:pPr>
      <w:proofErr w:type="gramStart"/>
      <w:r w:rsidRPr="00B55ABA">
        <w:rPr>
          <w:rFonts w:eastAsia="Calibri"/>
          <w:sz w:val="24"/>
          <w:szCs w:val="24"/>
          <w:lang w:eastAsia="en-US"/>
        </w:rPr>
        <w:t xml:space="preserve">Базовый уровень подконтрольных расходов, заявленный филиалом «Ивэнерго», рассчитан в соответствии с требованиями </w:t>
      </w:r>
      <w:r w:rsidR="00B55ABA">
        <w:rPr>
          <w:rFonts w:eastAsia="Calibri"/>
          <w:sz w:val="24"/>
          <w:szCs w:val="24"/>
          <w:lang w:eastAsia="en-US"/>
        </w:rPr>
        <w:t xml:space="preserve">постановления </w:t>
      </w:r>
      <w:r w:rsidR="00B55ABA" w:rsidRPr="00B55ABA">
        <w:rPr>
          <w:rFonts w:eastAsia="Calibri"/>
          <w:sz w:val="24"/>
          <w:szCs w:val="24"/>
          <w:lang w:eastAsia="en-US"/>
        </w:rPr>
        <w:t>Правит</w:t>
      </w:r>
      <w:r w:rsidR="00E56940">
        <w:rPr>
          <w:rFonts w:eastAsia="Calibri"/>
          <w:sz w:val="24"/>
          <w:szCs w:val="24"/>
          <w:lang w:eastAsia="en-US"/>
        </w:rPr>
        <w:t>ельства РФ от 14.11.2022 № 2053</w:t>
      </w:r>
      <w:r w:rsidRPr="00B55ABA">
        <w:rPr>
          <w:rFonts w:eastAsia="Calibri"/>
          <w:sz w:val="24"/>
          <w:szCs w:val="24"/>
          <w:lang w:eastAsia="en-US"/>
        </w:rPr>
        <w:t xml:space="preserve"> на основании экономически обоснованного уровня подконтрольных расходов 2022 года, установленных Департаментом при принятии ТБР на 2022 год (с учетом параметров Прогноза социально-экономического развития РФ на 2023 год и на плановый период 2024-2025 гг. (опубликован на сайте Минэкономразвития РФ 28.09.2022) (далее – Прогноз), без</w:t>
      </w:r>
      <w:proofErr w:type="gramEnd"/>
      <w:r w:rsidRPr="00B55ABA">
        <w:rPr>
          <w:rFonts w:eastAsia="Calibri"/>
          <w:sz w:val="24"/>
          <w:szCs w:val="24"/>
          <w:lang w:eastAsia="en-US"/>
        </w:rPr>
        <w:t xml:space="preserve"> применения метода сравнения аналогов.</w:t>
      </w:r>
    </w:p>
    <w:p w:rsidR="005657C9" w:rsidRPr="00B55ABA" w:rsidRDefault="005657C9" w:rsidP="005657C9">
      <w:pPr>
        <w:widowControl/>
        <w:ind w:firstLine="567"/>
        <w:contextualSpacing/>
        <w:jc w:val="both"/>
        <w:rPr>
          <w:rFonts w:eastAsia="Calibri"/>
          <w:sz w:val="24"/>
          <w:szCs w:val="24"/>
          <w:lang w:eastAsia="en-US"/>
        </w:rPr>
      </w:pPr>
      <w:r w:rsidRPr="00B55ABA">
        <w:rPr>
          <w:rFonts w:eastAsia="Calibri"/>
          <w:sz w:val="24"/>
          <w:szCs w:val="24"/>
          <w:lang w:eastAsia="en-US"/>
        </w:rPr>
        <w:t xml:space="preserve">Департаментом подконтрольные расходы филиала на 2023 год определены в размере 1 728 039 тыс. руб. с ростом 4,58% от установленного базового уровня подконтрольных расходов </w:t>
      </w:r>
      <w:r w:rsidR="00E56940">
        <w:rPr>
          <w:rFonts w:eastAsia="Calibri"/>
          <w:sz w:val="24"/>
          <w:szCs w:val="24"/>
          <w:lang w:eastAsia="en-US"/>
        </w:rPr>
        <w:t>2022 года, без учета положений п</w:t>
      </w:r>
      <w:r w:rsidRPr="00B55ABA">
        <w:rPr>
          <w:rFonts w:eastAsia="Calibri"/>
          <w:sz w:val="24"/>
          <w:szCs w:val="24"/>
          <w:lang w:eastAsia="en-US"/>
        </w:rPr>
        <w:t xml:space="preserve">остановления </w:t>
      </w:r>
      <w:r w:rsidR="00E56940" w:rsidRPr="00E56940">
        <w:rPr>
          <w:rFonts w:eastAsia="Calibri"/>
          <w:sz w:val="24"/>
          <w:szCs w:val="24"/>
          <w:lang w:eastAsia="en-US"/>
        </w:rPr>
        <w:t>Правительства РФ от 14.11.2022 № 2053</w:t>
      </w:r>
      <w:r w:rsidRPr="00B55ABA">
        <w:rPr>
          <w:rFonts w:eastAsia="Calibri"/>
          <w:sz w:val="24"/>
          <w:szCs w:val="24"/>
          <w:lang w:eastAsia="en-US"/>
        </w:rPr>
        <w:t>.</w:t>
      </w:r>
    </w:p>
    <w:p w:rsidR="005657C9" w:rsidRPr="00B55ABA" w:rsidRDefault="005657C9" w:rsidP="005657C9">
      <w:pPr>
        <w:widowControl/>
        <w:ind w:firstLine="567"/>
        <w:contextualSpacing/>
        <w:jc w:val="both"/>
        <w:rPr>
          <w:rFonts w:eastAsia="Calibri"/>
          <w:sz w:val="24"/>
          <w:szCs w:val="24"/>
          <w:lang w:eastAsia="en-US"/>
        </w:rPr>
      </w:pPr>
      <w:r w:rsidRPr="00B55ABA">
        <w:rPr>
          <w:rFonts w:eastAsia="Calibri"/>
          <w:sz w:val="24"/>
          <w:szCs w:val="24"/>
          <w:lang w:eastAsia="en-US"/>
        </w:rPr>
        <w:t>По расчету филиала «Ивэнерго» величина уровня подконтрольных расходов на 2</w:t>
      </w:r>
      <w:r w:rsidR="00E56940">
        <w:rPr>
          <w:rFonts w:eastAsia="Calibri"/>
          <w:sz w:val="24"/>
          <w:szCs w:val="24"/>
          <w:lang w:eastAsia="en-US"/>
        </w:rPr>
        <w:t>022 год с учетом пересмотра по п</w:t>
      </w:r>
      <w:r w:rsidRPr="00B55ABA">
        <w:rPr>
          <w:rFonts w:eastAsia="Calibri"/>
          <w:sz w:val="24"/>
          <w:szCs w:val="24"/>
          <w:lang w:eastAsia="en-US"/>
        </w:rPr>
        <w:t xml:space="preserve">остановлению </w:t>
      </w:r>
      <w:r w:rsidR="00E56940" w:rsidRPr="00E56940">
        <w:rPr>
          <w:rFonts w:eastAsia="Calibri"/>
          <w:sz w:val="24"/>
          <w:szCs w:val="24"/>
          <w:lang w:eastAsia="en-US"/>
        </w:rPr>
        <w:t xml:space="preserve">Правительства РФ от 14.11.2022 № 2053 </w:t>
      </w:r>
      <w:r w:rsidRPr="00B55ABA">
        <w:rPr>
          <w:rFonts w:eastAsia="Calibri"/>
          <w:sz w:val="24"/>
          <w:szCs w:val="24"/>
          <w:lang w:eastAsia="en-US"/>
        </w:rPr>
        <w:t xml:space="preserve">должна составить </w:t>
      </w:r>
      <w:r w:rsidR="00E56940">
        <w:rPr>
          <w:rFonts w:eastAsia="Calibri"/>
          <w:sz w:val="24"/>
          <w:szCs w:val="24"/>
          <w:lang w:eastAsia="en-US"/>
        </w:rPr>
        <w:t xml:space="preserve">     </w:t>
      </w:r>
      <w:r w:rsidRPr="00B55ABA">
        <w:rPr>
          <w:rFonts w:eastAsia="Calibri"/>
          <w:sz w:val="24"/>
          <w:szCs w:val="24"/>
          <w:lang w:eastAsia="en-US"/>
        </w:rPr>
        <w:t xml:space="preserve">1 913 430 млн. руб. </w:t>
      </w:r>
    </w:p>
    <w:p w:rsidR="005657C9" w:rsidRPr="00B55ABA" w:rsidRDefault="005657C9" w:rsidP="005657C9">
      <w:pPr>
        <w:widowControl/>
        <w:ind w:firstLine="567"/>
        <w:contextualSpacing/>
        <w:jc w:val="both"/>
        <w:rPr>
          <w:rFonts w:eastAsia="Calibri"/>
          <w:sz w:val="24"/>
          <w:szCs w:val="24"/>
          <w:lang w:eastAsia="en-US"/>
        </w:rPr>
      </w:pPr>
      <w:r w:rsidRPr="00B55ABA">
        <w:rPr>
          <w:rFonts w:eastAsia="Calibri"/>
          <w:sz w:val="24"/>
          <w:szCs w:val="24"/>
          <w:lang w:eastAsia="en-US"/>
        </w:rPr>
        <w:t xml:space="preserve">Учитывая сложившуюся макроэкономическую ситуацию, индекс потребительских цен на 2022 год (согласно Прогнозу – 13,9%), отсутствие возможности проведения корректировки подконтрольных расходов в связи с изменением планируемых параметров расчета тарифов (корректировка за год </w:t>
      </w:r>
      <w:r w:rsidRPr="00B55ABA">
        <w:rPr>
          <w:rFonts w:eastAsia="Calibri"/>
          <w:sz w:val="24"/>
          <w:szCs w:val="24"/>
          <w:lang w:val="en-US" w:eastAsia="en-US"/>
        </w:rPr>
        <w:t>i</w:t>
      </w:r>
      <w:r w:rsidRPr="00B55ABA">
        <w:rPr>
          <w:rFonts w:eastAsia="Calibri"/>
          <w:sz w:val="24"/>
          <w:szCs w:val="24"/>
          <w:lang w:eastAsia="en-US"/>
        </w:rPr>
        <w:t>-2 не предусмотрена), предлагаемый Департаментом низкий уровень подконтрольных расходов на 2023 год не позволит обеспечить выполнение обязательств филиала «Ивэнерго» по основным расходам:</w:t>
      </w:r>
    </w:p>
    <w:p w:rsidR="005657C9" w:rsidRPr="00B55ABA" w:rsidRDefault="005657C9" w:rsidP="005657C9">
      <w:pPr>
        <w:widowControl/>
        <w:tabs>
          <w:tab w:val="left" w:pos="709"/>
        </w:tabs>
        <w:ind w:firstLine="567"/>
        <w:contextualSpacing/>
        <w:jc w:val="both"/>
        <w:rPr>
          <w:rFonts w:eastAsia="Calibri"/>
          <w:sz w:val="24"/>
          <w:szCs w:val="24"/>
          <w:lang w:eastAsia="en-US"/>
        </w:rPr>
      </w:pPr>
      <w:r w:rsidRPr="00B55ABA">
        <w:rPr>
          <w:rFonts w:eastAsia="Calibri"/>
          <w:i/>
          <w:sz w:val="24"/>
          <w:szCs w:val="24"/>
          <w:lang w:eastAsia="en-US"/>
        </w:rPr>
        <w:t>- по оплате труда</w:t>
      </w:r>
      <w:r w:rsidRPr="00B55ABA">
        <w:rPr>
          <w:rFonts w:eastAsia="Calibri"/>
          <w:sz w:val="24"/>
          <w:szCs w:val="24"/>
          <w:lang w:eastAsia="en-US"/>
        </w:rPr>
        <w:t xml:space="preserve"> –  на 159 205 тыс. руб. По расчету Департамента средняя заработная плата на 1 работника (с учетом оплаты труда из прибыли) составит 54,4 тыс. руб. при ожидаемом в филиале уровне заработной платы за 2022 год - 56,3 тыс. руб. и плане на 2023 год - 59,6 тыс. руб. Предложенный уровень заработной платы не позволит филиалу выполнить обязательства, предусмотренные Коллективным договором и Отраслевым тарифным соглашением);</w:t>
      </w:r>
    </w:p>
    <w:p w:rsidR="005657C9" w:rsidRPr="00B55ABA" w:rsidRDefault="005657C9" w:rsidP="005657C9">
      <w:pPr>
        <w:widowControl/>
        <w:tabs>
          <w:tab w:val="left" w:pos="1134"/>
        </w:tabs>
        <w:ind w:firstLine="567"/>
        <w:contextualSpacing/>
        <w:jc w:val="both"/>
        <w:rPr>
          <w:rFonts w:eastAsia="Calibri"/>
          <w:sz w:val="24"/>
          <w:szCs w:val="24"/>
          <w:lang w:eastAsia="en-US"/>
        </w:rPr>
      </w:pPr>
      <w:r w:rsidRPr="00B55ABA">
        <w:rPr>
          <w:rFonts w:eastAsia="Calibri"/>
          <w:i/>
          <w:sz w:val="24"/>
          <w:szCs w:val="24"/>
          <w:lang w:eastAsia="en-US"/>
        </w:rPr>
        <w:t>-</w:t>
      </w:r>
      <w:r w:rsidR="00B55ABA" w:rsidRPr="00B55ABA">
        <w:rPr>
          <w:rFonts w:eastAsia="Calibri"/>
          <w:i/>
          <w:sz w:val="24"/>
          <w:szCs w:val="24"/>
          <w:lang w:eastAsia="en-US"/>
        </w:rPr>
        <w:t xml:space="preserve"> по </w:t>
      </w:r>
      <w:r w:rsidRPr="00B55ABA">
        <w:rPr>
          <w:rFonts w:eastAsia="Calibri"/>
          <w:i/>
          <w:sz w:val="24"/>
          <w:szCs w:val="24"/>
          <w:lang w:eastAsia="en-US"/>
        </w:rPr>
        <w:t>затратам на эксплуатацию и ремонт</w:t>
      </w:r>
      <w:r w:rsidRPr="00B55ABA">
        <w:rPr>
          <w:rFonts w:eastAsia="Calibri"/>
          <w:sz w:val="24"/>
          <w:szCs w:val="24"/>
          <w:lang w:eastAsia="en-US"/>
        </w:rPr>
        <w:t xml:space="preserve"> – на 43 529 тыс. руб. Предложения Департамента не учитывают актуальный ИПЦ - 13,9%. Дефицит сре</w:t>
      </w:r>
      <w:proofErr w:type="gramStart"/>
      <w:r w:rsidRPr="00B55ABA">
        <w:rPr>
          <w:rFonts w:eastAsia="Calibri"/>
          <w:sz w:val="24"/>
          <w:szCs w:val="24"/>
          <w:lang w:eastAsia="en-US"/>
        </w:rPr>
        <w:t>дств пр</w:t>
      </w:r>
      <w:proofErr w:type="gramEnd"/>
      <w:r w:rsidRPr="00B55ABA">
        <w:rPr>
          <w:rFonts w:eastAsia="Calibri"/>
          <w:sz w:val="24"/>
          <w:szCs w:val="24"/>
          <w:lang w:eastAsia="en-US"/>
        </w:rPr>
        <w:t>иведет к невыполнению долгосрочных программ по ремонту и техническому обслуживанию электросетевого имущества, несоблюдению графиков ремонтных и эксплуатационных работ.</w:t>
      </w:r>
    </w:p>
    <w:p w:rsidR="005657C9" w:rsidRPr="00B55ABA" w:rsidRDefault="00B55ABA" w:rsidP="005657C9">
      <w:pPr>
        <w:widowControl/>
        <w:tabs>
          <w:tab w:val="left" w:pos="1134"/>
        </w:tabs>
        <w:ind w:firstLine="567"/>
        <w:contextualSpacing/>
        <w:jc w:val="both"/>
        <w:rPr>
          <w:rFonts w:eastAsia="Calibri"/>
          <w:sz w:val="24"/>
          <w:szCs w:val="24"/>
          <w:lang w:eastAsia="en-US"/>
        </w:rPr>
      </w:pPr>
      <w:r w:rsidRPr="00B55ABA">
        <w:rPr>
          <w:rFonts w:eastAsia="Calibri"/>
          <w:i/>
          <w:sz w:val="24"/>
          <w:szCs w:val="24"/>
          <w:lang w:eastAsia="en-US"/>
        </w:rPr>
        <w:t xml:space="preserve">- по </w:t>
      </w:r>
      <w:r w:rsidR="005657C9" w:rsidRPr="00B55ABA">
        <w:rPr>
          <w:rFonts w:eastAsia="Calibri"/>
          <w:i/>
          <w:sz w:val="24"/>
          <w:szCs w:val="24"/>
          <w:lang w:eastAsia="en-US"/>
        </w:rPr>
        <w:t xml:space="preserve">расходам на импортозамещение </w:t>
      </w:r>
      <w:proofErr w:type="gramStart"/>
      <w:r w:rsidR="005657C9" w:rsidRPr="00B55ABA">
        <w:rPr>
          <w:rFonts w:eastAsia="Calibri"/>
          <w:i/>
          <w:sz w:val="24"/>
          <w:szCs w:val="24"/>
          <w:lang w:eastAsia="en-US"/>
        </w:rPr>
        <w:t>ИТ</w:t>
      </w:r>
      <w:proofErr w:type="gramEnd"/>
      <w:r w:rsidR="005657C9" w:rsidRPr="00B55ABA">
        <w:rPr>
          <w:rFonts w:eastAsia="Calibri"/>
          <w:i/>
          <w:sz w:val="24"/>
          <w:szCs w:val="24"/>
          <w:lang w:eastAsia="en-US"/>
        </w:rPr>
        <w:t xml:space="preserve"> </w:t>
      </w:r>
      <w:r w:rsidR="005657C9" w:rsidRPr="00B55ABA">
        <w:rPr>
          <w:rFonts w:eastAsia="Calibri"/>
          <w:sz w:val="24"/>
          <w:szCs w:val="24"/>
          <w:lang w:eastAsia="en-US"/>
        </w:rPr>
        <w:t xml:space="preserve">– на 17 776 тыс. руб. Данные расходы не учитывались в составе утвержденного базового уровня подконтрольных расходов 2022 года, поскольку необходимость осуществления расходов возникла в 2022 году в связи с проведением </w:t>
      </w:r>
      <w:r w:rsidR="00E56940">
        <w:rPr>
          <w:rFonts w:eastAsia="Calibri"/>
          <w:sz w:val="24"/>
          <w:szCs w:val="24"/>
          <w:lang w:eastAsia="en-US"/>
        </w:rPr>
        <w:t>СВО</w:t>
      </w:r>
      <w:r w:rsidR="005657C9" w:rsidRPr="00B55ABA">
        <w:rPr>
          <w:rFonts w:eastAsia="Calibri"/>
          <w:sz w:val="24"/>
          <w:szCs w:val="24"/>
          <w:lang w:eastAsia="en-US"/>
        </w:rPr>
        <w:t xml:space="preserve">. </w:t>
      </w:r>
      <w:r w:rsidR="005657C9" w:rsidRPr="00B55ABA">
        <w:rPr>
          <w:rFonts w:eastAsia="Calibri"/>
          <w:sz w:val="24"/>
          <w:szCs w:val="24"/>
          <w:lang w:eastAsia="en-US"/>
        </w:rPr>
        <w:lastRenderedPageBreak/>
        <w:t>Необходимость включения затрат в подконтрольные расходы подтверждается позицией Департамента о том, что данные расходы по смыслу и содержанию относятся к подконтрольным расходам.</w:t>
      </w:r>
    </w:p>
    <w:p w:rsidR="005657C9" w:rsidRPr="00B55ABA" w:rsidRDefault="005657C9" w:rsidP="005657C9">
      <w:pPr>
        <w:widowControl/>
        <w:ind w:firstLine="567"/>
        <w:contextualSpacing/>
        <w:jc w:val="both"/>
        <w:rPr>
          <w:rFonts w:eastAsia="Calibri"/>
          <w:sz w:val="24"/>
          <w:szCs w:val="24"/>
          <w:lang w:eastAsia="en-US"/>
        </w:rPr>
      </w:pPr>
      <w:r w:rsidRPr="00B55ABA">
        <w:rPr>
          <w:rFonts w:eastAsia="Calibri"/>
          <w:sz w:val="24"/>
          <w:szCs w:val="24"/>
          <w:lang w:eastAsia="en-US"/>
        </w:rPr>
        <w:t xml:space="preserve">- </w:t>
      </w:r>
      <w:r w:rsidRPr="00B55ABA">
        <w:rPr>
          <w:rFonts w:eastAsia="Calibri"/>
          <w:i/>
          <w:sz w:val="24"/>
          <w:szCs w:val="24"/>
          <w:lang w:eastAsia="en-US"/>
        </w:rPr>
        <w:t>по расходам на реализацию мероприятий по организации коммерческого учета (в соответств</w:t>
      </w:r>
      <w:r w:rsidR="00E56940">
        <w:rPr>
          <w:rFonts w:eastAsia="Calibri"/>
          <w:i/>
          <w:sz w:val="24"/>
          <w:szCs w:val="24"/>
          <w:lang w:eastAsia="en-US"/>
        </w:rPr>
        <w:t>ии с требованиями п.5 ст.37 ФЗ «</w:t>
      </w:r>
      <w:r w:rsidRPr="00B55ABA">
        <w:rPr>
          <w:rFonts w:eastAsia="Calibri"/>
          <w:i/>
          <w:sz w:val="24"/>
          <w:szCs w:val="24"/>
          <w:lang w:eastAsia="en-US"/>
        </w:rPr>
        <w:t>Об электроэнергетике</w:t>
      </w:r>
      <w:r w:rsidR="00E56940">
        <w:rPr>
          <w:rFonts w:eastAsia="Calibri"/>
          <w:i/>
          <w:sz w:val="24"/>
          <w:szCs w:val="24"/>
          <w:lang w:eastAsia="en-US"/>
        </w:rPr>
        <w:t>»</w:t>
      </w:r>
      <w:r w:rsidRPr="00B55ABA">
        <w:rPr>
          <w:rFonts w:eastAsia="Calibri"/>
          <w:i/>
          <w:sz w:val="24"/>
          <w:szCs w:val="24"/>
          <w:lang w:eastAsia="en-US"/>
        </w:rPr>
        <w:t xml:space="preserve"> №35-ФЗ с учетом изменений от 27.12.2018 №522-ФЗ)</w:t>
      </w:r>
      <w:r w:rsidRPr="00B55ABA">
        <w:rPr>
          <w:rFonts w:eastAsia="Calibri"/>
          <w:sz w:val="24"/>
          <w:szCs w:val="24"/>
          <w:lang w:eastAsia="en-US"/>
        </w:rPr>
        <w:t xml:space="preserve"> - на 23 558 тыс. руб. </w:t>
      </w:r>
    </w:p>
    <w:p w:rsidR="005657C9" w:rsidRPr="00B55ABA" w:rsidRDefault="005657C9" w:rsidP="005657C9">
      <w:pPr>
        <w:widowControl/>
        <w:ind w:firstLine="567"/>
        <w:contextualSpacing/>
        <w:jc w:val="both"/>
        <w:rPr>
          <w:rFonts w:eastAsia="Calibri"/>
          <w:sz w:val="24"/>
          <w:szCs w:val="24"/>
          <w:lang w:eastAsia="en-US"/>
        </w:rPr>
      </w:pPr>
      <w:r w:rsidRPr="00B55ABA">
        <w:rPr>
          <w:rFonts w:eastAsia="Calibri"/>
          <w:sz w:val="24"/>
          <w:szCs w:val="24"/>
          <w:lang w:eastAsia="en-US"/>
        </w:rPr>
        <w:t>Предложения Департамента не учитывают актуальный ИПЦ - 13,9%. Дефицит сре</w:t>
      </w:r>
      <w:proofErr w:type="gramStart"/>
      <w:r w:rsidRPr="00B55ABA">
        <w:rPr>
          <w:rFonts w:eastAsia="Calibri"/>
          <w:sz w:val="24"/>
          <w:szCs w:val="24"/>
          <w:lang w:eastAsia="en-US"/>
        </w:rPr>
        <w:t>дств пр</w:t>
      </w:r>
      <w:proofErr w:type="gramEnd"/>
      <w:r w:rsidRPr="00B55ABA">
        <w:rPr>
          <w:rFonts w:eastAsia="Calibri"/>
          <w:sz w:val="24"/>
          <w:szCs w:val="24"/>
          <w:lang w:eastAsia="en-US"/>
        </w:rPr>
        <w:t>иведет к неисполнению требований Федерального закона №522-ФЗ и применению к филиалу штрафных санкций. В связи с</w:t>
      </w:r>
      <w:r w:rsidR="00B55ABA" w:rsidRPr="00B55ABA">
        <w:rPr>
          <w:rFonts w:eastAsia="Calibri"/>
          <w:sz w:val="24"/>
          <w:szCs w:val="24"/>
          <w:lang w:eastAsia="en-US"/>
        </w:rPr>
        <w:t>о сложившейся ситуацией в рамках СВО</w:t>
      </w:r>
      <w:r w:rsidRPr="00B55ABA">
        <w:rPr>
          <w:rFonts w:eastAsia="Calibri"/>
          <w:sz w:val="24"/>
          <w:szCs w:val="24"/>
          <w:lang w:eastAsia="en-US"/>
        </w:rPr>
        <w:t xml:space="preserve"> и нарушением логистических связей в 2022 году конкурсные процедуры по закупке приборов учета были проведены с опозданием. Результаты конкурса планируются к объявлению 24.11.2022 (информация размещена на сайте </w:t>
      </w:r>
      <w:r w:rsidRPr="00B55ABA">
        <w:rPr>
          <w:rFonts w:eastAsia="Calibri"/>
          <w:sz w:val="24"/>
          <w:szCs w:val="24"/>
          <w:lang w:val="en-US" w:eastAsia="en-US"/>
        </w:rPr>
        <w:t>zakupki</w:t>
      </w:r>
      <w:r w:rsidRPr="00B55ABA">
        <w:rPr>
          <w:rFonts w:eastAsia="Calibri"/>
          <w:sz w:val="24"/>
          <w:szCs w:val="24"/>
          <w:lang w:eastAsia="en-US"/>
        </w:rPr>
        <w:t>.</w:t>
      </w:r>
      <w:r w:rsidRPr="00B55ABA">
        <w:rPr>
          <w:rFonts w:eastAsia="Calibri"/>
          <w:sz w:val="24"/>
          <w:szCs w:val="24"/>
          <w:lang w:val="en-US" w:eastAsia="en-US"/>
        </w:rPr>
        <w:t>gov</w:t>
      </w:r>
      <w:r w:rsidRPr="00B55ABA">
        <w:rPr>
          <w:rFonts w:eastAsia="Calibri"/>
          <w:sz w:val="24"/>
          <w:szCs w:val="24"/>
          <w:lang w:eastAsia="en-US"/>
        </w:rPr>
        <w:t>.</w:t>
      </w:r>
      <w:r w:rsidRPr="00B55ABA">
        <w:rPr>
          <w:rFonts w:eastAsia="Calibri"/>
          <w:sz w:val="24"/>
          <w:szCs w:val="24"/>
          <w:lang w:val="en-US" w:eastAsia="en-US"/>
        </w:rPr>
        <w:t>ru</w:t>
      </w:r>
      <w:r w:rsidRPr="00B55ABA">
        <w:rPr>
          <w:rFonts w:eastAsia="Calibri"/>
          <w:sz w:val="24"/>
          <w:szCs w:val="24"/>
          <w:lang w:eastAsia="en-US"/>
        </w:rPr>
        <w:t>). При этом запланированный на 2022-2026 гг. объем работ на реализацию мероприятий по организации коммерческого учета не изменяется и будет выполнен полностью до конца долгосрочного периода регулирования (до 2026 года включительно).</w:t>
      </w:r>
    </w:p>
    <w:p w:rsidR="005657C9" w:rsidRPr="00993838" w:rsidRDefault="00B55ABA" w:rsidP="005657C9">
      <w:pPr>
        <w:widowControl/>
        <w:ind w:firstLine="567"/>
        <w:contextualSpacing/>
        <w:jc w:val="both"/>
        <w:rPr>
          <w:rFonts w:eastAsia="Calibri"/>
          <w:sz w:val="24"/>
          <w:szCs w:val="24"/>
          <w:lang w:eastAsia="en-US"/>
        </w:rPr>
      </w:pPr>
      <w:r w:rsidRPr="00993838">
        <w:rPr>
          <w:rFonts w:eastAsia="Calibri"/>
          <w:sz w:val="24"/>
          <w:szCs w:val="24"/>
          <w:lang w:eastAsia="en-US"/>
        </w:rPr>
        <w:t>Департамент по вышеперечисленным доводам отмечает следующее.</w:t>
      </w:r>
    </w:p>
    <w:p w:rsidR="00B55ABA" w:rsidRPr="00993838" w:rsidRDefault="00FF6070" w:rsidP="005657C9">
      <w:pPr>
        <w:widowControl/>
        <w:ind w:firstLine="567"/>
        <w:contextualSpacing/>
        <w:jc w:val="both"/>
        <w:rPr>
          <w:rFonts w:eastAsia="Calibri"/>
          <w:sz w:val="24"/>
          <w:szCs w:val="24"/>
          <w:lang w:eastAsia="en-US"/>
        </w:rPr>
      </w:pPr>
      <w:r w:rsidRPr="00993838">
        <w:rPr>
          <w:rFonts w:eastAsia="Calibri"/>
          <w:sz w:val="24"/>
          <w:szCs w:val="24"/>
          <w:lang w:eastAsia="en-US"/>
        </w:rPr>
        <w:t>В соответствии с пп. 26 п. 4 постановления Правительства РФ от 14.11.2022 № 2053</w:t>
      </w:r>
      <w:r w:rsidRPr="00993838">
        <w:t xml:space="preserve"> </w:t>
      </w:r>
      <w:r w:rsidRPr="00993838">
        <w:rPr>
          <w:rFonts w:eastAsia="Calibri"/>
          <w:sz w:val="24"/>
          <w:szCs w:val="24"/>
          <w:lang w:eastAsia="en-US"/>
        </w:rPr>
        <w:t xml:space="preserve">территориальная сетевая организация </w:t>
      </w:r>
      <w:r w:rsidRPr="00993838">
        <w:rPr>
          <w:rFonts w:eastAsia="Calibri"/>
          <w:sz w:val="24"/>
          <w:szCs w:val="24"/>
          <w:u w:val="single"/>
          <w:lang w:eastAsia="en-US"/>
        </w:rPr>
        <w:t>имеет право обратиться</w:t>
      </w:r>
      <w:r w:rsidRPr="00993838">
        <w:rPr>
          <w:rFonts w:eastAsia="Calibri"/>
          <w:sz w:val="24"/>
          <w:szCs w:val="24"/>
          <w:lang w:eastAsia="en-US"/>
        </w:rPr>
        <w:t xml:space="preserve"> в исполнительный орган субъекта Российской Федерации в области государственного регулирования тарифов </w:t>
      </w:r>
      <w:r w:rsidRPr="00993838">
        <w:rPr>
          <w:rFonts w:eastAsia="Calibri"/>
          <w:sz w:val="24"/>
          <w:szCs w:val="24"/>
          <w:u w:val="single"/>
          <w:lang w:eastAsia="en-US"/>
        </w:rPr>
        <w:t>с заявлением о пересмотре базового уровня операционных (подконтрольных) расходов с 2023 года</w:t>
      </w:r>
      <w:r w:rsidRPr="00993838">
        <w:rPr>
          <w:rFonts w:eastAsia="Calibri"/>
          <w:sz w:val="24"/>
          <w:szCs w:val="24"/>
          <w:lang w:eastAsia="en-US"/>
        </w:rPr>
        <w:t xml:space="preserve"> </w:t>
      </w:r>
      <w:r w:rsidRPr="00993838">
        <w:rPr>
          <w:rFonts w:eastAsia="Calibri"/>
          <w:sz w:val="24"/>
          <w:szCs w:val="24"/>
          <w:u w:val="single"/>
          <w:lang w:eastAsia="en-US"/>
        </w:rPr>
        <w:t>не позднее 5 дней со дня вступления в силу вышеуказанного постановления</w:t>
      </w:r>
      <w:r w:rsidRPr="00993838">
        <w:rPr>
          <w:rFonts w:eastAsia="Calibri"/>
          <w:sz w:val="24"/>
          <w:szCs w:val="24"/>
          <w:lang w:eastAsia="en-US"/>
        </w:rPr>
        <w:t>. Пересмотр указанного базового уровня операционных (подконтрольных) расходов территориальной сетевой организации осуществляется исполнительным органом субъекта Российской Федерации не позднее 12 дней со дня вступления в силу настоящего постановления. Указанный пересмотр осуществляется без учета положений абзацев четвертого - девятого пункта 12 Основ ценообразования в электроэнергетике.</w:t>
      </w:r>
    </w:p>
    <w:p w:rsidR="00FF6070" w:rsidRPr="00993838" w:rsidRDefault="00FF6070" w:rsidP="00FF6070">
      <w:pPr>
        <w:widowControl/>
        <w:ind w:firstLine="567"/>
        <w:contextualSpacing/>
        <w:jc w:val="both"/>
        <w:rPr>
          <w:rFonts w:eastAsia="Calibri"/>
          <w:sz w:val="24"/>
          <w:szCs w:val="24"/>
          <w:lang w:eastAsia="en-US"/>
        </w:rPr>
      </w:pPr>
      <w:r w:rsidRPr="00993838">
        <w:rPr>
          <w:rFonts w:eastAsia="Calibri"/>
          <w:sz w:val="24"/>
          <w:szCs w:val="24"/>
          <w:lang w:eastAsia="en-US"/>
        </w:rPr>
        <w:t>В соответствии с пп. 21 п. 4 постановления Правительства РФ от 14.11.2022 № 2053 при установлении регулируемых цен (тарифов) в электроэнергетике на декабрь 2022 г. и на 2023 год (на весь финансовый год без календарной разбивки) не применяются:</w:t>
      </w:r>
    </w:p>
    <w:p w:rsidR="00B55ABA" w:rsidRPr="00993838" w:rsidRDefault="00FF6070" w:rsidP="00FF6070">
      <w:pPr>
        <w:widowControl/>
        <w:ind w:firstLine="567"/>
        <w:contextualSpacing/>
        <w:jc w:val="both"/>
        <w:rPr>
          <w:rFonts w:eastAsia="Calibri"/>
          <w:sz w:val="24"/>
          <w:szCs w:val="24"/>
          <w:lang w:eastAsia="en-US"/>
        </w:rPr>
      </w:pPr>
      <w:r w:rsidRPr="00993838">
        <w:rPr>
          <w:rFonts w:eastAsia="Calibri"/>
          <w:sz w:val="24"/>
          <w:szCs w:val="24"/>
          <w:lang w:eastAsia="en-US"/>
        </w:rPr>
        <w:t>- положения абзаца четырнадцатого пункта 34 и абзаца восьмого пункта 38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об установлении базового уровня операционных (подконтрольных) расходов территориальных сетевых организаций с применением метода сравнения аналогов.</w:t>
      </w:r>
    </w:p>
    <w:p w:rsidR="00FF6070" w:rsidRPr="00993838" w:rsidRDefault="00FF6070" w:rsidP="00FF6070">
      <w:pPr>
        <w:widowControl/>
        <w:ind w:firstLine="567"/>
        <w:contextualSpacing/>
        <w:jc w:val="both"/>
        <w:rPr>
          <w:rFonts w:eastAsia="Calibri"/>
          <w:sz w:val="24"/>
          <w:szCs w:val="24"/>
          <w:lang w:eastAsia="en-US"/>
        </w:rPr>
      </w:pPr>
      <w:r w:rsidRPr="00993838">
        <w:rPr>
          <w:rFonts w:eastAsia="Calibri"/>
          <w:sz w:val="24"/>
          <w:szCs w:val="24"/>
          <w:lang w:eastAsia="en-US"/>
        </w:rPr>
        <w:t>По совокупности вышеуказанных норм пересмотр базового уровня операционных (подконтрольных) расходов с 2023 года должен производит</w:t>
      </w:r>
      <w:r w:rsidR="00207C1F" w:rsidRPr="00993838">
        <w:rPr>
          <w:rFonts w:eastAsia="Calibri"/>
          <w:sz w:val="24"/>
          <w:szCs w:val="24"/>
          <w:lang w:eastAsia="en-US"/>
        </w:rPr>
        <w:t>ь</w:t>
      </w:r>
      <w:r w:rsidRPr="00993838">
        <w:rPr>
          <w:rFonts w:eastAsia="Calibri"/>
          <w:sz w:val="24"/>
          <w:szCs w:val="24"/>
          <w:lang w:eastAsia="en-US"/>
        </w:rPr>
        <w:t>ся регулирующими органами с использованием соответствующих методических указаний методом экономически обоснованных затрат.</w:t>
      </w:r>
    </w:p>
    <w:p w:rsidR="0058180F" w:rsidRPr="0058180F" w:rsidRDefault="0058180F" w:rsidP="0058180F">
      <w:pPr>
        <w:widowControl/>
        <w:ind w:firstLine="567"/>
        <w:jc w:val="both"/>
        <w:rPr>
          <w:bCs/>
          <w:sz w:val="24"/>
          <w:szCs w:val="24"/>
        </w:rPr>
      </w:pPr>
      <w:r w:rsidRPr="0058180F">
        <w:rPr>
          <w:bCs/>
          <w:sz w:val="24"/>
          <w:szCs w:val="24"/>
        </w:rPr>
        <w:t>Филиал ПАО «Россети Центр и Приволжья» - «Ивэнерго» в рамках представления уточненных тарифных предложений на 2023 год (исх. от 21.10.2022 №МР7-ИвЭ/25-2/6174 и от 18.11.2022 №МР7-ИвЭ/25-2/6724) заявил к пересмотру базовый уровень подконтрольных расходов.</w:t>
      </w:r>
    </w:p>
    <w:p w:rsidR="0058180F" w:rsidRPr="0058180F" w:rsidRDefault="0058180F" w:rsidP="0058180F">
      <w:pPr>
        <w:widowControl/>
        <w:ind w:firstLine="567"/>
        <w:jc w:val="both"/>
        <w:rPr>
          <w:bCs/>
          <w:sz w:val="24"/>
          <w:szCs w:val="24"/>
        </w:rPr>
      </w:pPr>
      <w:proofErr w:type="gramStart"/>
      <w:r w:rsidRPr="0058180F">
        <w:rPr>
          <w:bCs/>
          <w:sz w:val="24"/>
          <w:szCs w:val="24"/>
        </w:rPr>
        <w:t>Заявленный к пересмотру базовый уровень подконтрольных расходов определен филиалом, исходя из расходов, рассчитанных на 2022 год методом экономически обоснованных затрат (1 720 462 тыс. руб.) с учетом актуальных индексов потребительских цен в соответствии с Прогнозом социально-экономического развития, одобренного на заседании Правительства РФ от 22.09.2022, а также дополнительных расходов на реализацию мероприятий по импортозамещению программного обеспечения по статье расходы на ИТ.</w:t>
      </w:r>
      <w:proofErr w:type="gramEnd"/>
    </w:p>
    <w:p w:rsidR="0058180F" w:rsidRPr="0058180F" w:rsidRDefault="0058180F" w:rsidP="0058180F">
      <w:pPr>
        <w:widowControl/>
        <w:ind w:firstLine="567"/>
        <w:jc w:val="both"/>
        <w:rPr>
          <w:bCs/>
          <w:sz w:val="24"/>
          <w:szCs w:val="24"/>
        </w:rPr>
      </w:pPr>
      <w:r w:rsidRPr="0058180F">
        <w:rPr>
          <w:bCs/>
          <w:sz w:val="24"/>
          <w:szCs w:val="24"/>
        </w:rPr>
        <w:t xml:space="preserve">В части заявленных филиалом «Ивэнерго» дополнительных расходов на </w:t>
      </w:r>
      <w:proofErr w:type="spellStart"/>
      <w:r w:rsidRPr="0058180F">
        <w:rPr>
          <w:bCs/>
          <w:sz w:val="24"/>
          <w:szCs w:val="24"/>
        </w:rPr>
        <w:t>импортозамещение</w:t>
      </w:r>
      <w:proofErr w:type="spellEnd"/>
      <w:r w:rsidRPr="0058180F">
        <w:rPr>
          <w:bCs/>
          <w:sz w:val="24"/>
          <w:szCs w:val="24"/>
        </w:rPr>
        <w:t xml:space="preserve"> </w:t>
      </w:r>
      <w:proofErr w:type="gramStart"/>
      <w:r w:rsidRPr="0058180F">
        <w:rPr>
          <w:bCs/>
          <w:sz w:val="24"/>
          <w:szCs w:val="24"/>
        </w:rPr>
        <w:t>ИТ</w:t>
      </w:r>
      <w:proofErr w:type="gramEnd"/>
      <w:r w:rsidRPr="0058180F">
        <w:rPr>
          <w:bCs/>
          <w:sz w:val="24"/>
          <w:szCs w:val="24"/>
        </w:rPr>
        <w:t xml:space="preserve"> </w:t>
      </w:r>
      <w:r w:rsidR="009162A7">
        <w:rPr>
          <w:bCs/>
          <w:sz w:val="24"/>
          <w:szCs w:val="24"/>
        </w:rPr>
        <w:t>Департамент</w:t>
      </w:r>
      <w:r w:rsidRPr="0058180F">
        <w:rPr>
          <w:bCs/>
          <w:sz w:val="24"/>
          <w:szCs w:val="24"/>
        </w:rPr>
        <w:t xml:space="preserve"> отмечает, что в материалы тарифного дела не предоставлены заключенные договоры на приобретение и обслуживание отечественного ПО, позволяющие оценить экономическую обоснованность превышения ранее учтенных в базовом уровне подконтрольных расходов на 2022 год соответствующих расходов на ИТ по данной статье.</w:t>
      </w:r>
    </w:p>
    <w:p w:rsidR="0058180F" w:rsidRPr="0058180F" w:rsidRDefault="0058180F" w:rsidP="0058180F">
      <w:pPr>
        <w:widowControl/>
        <w:ind w:firstLine="567"/>
        <w:jc w:val="both"/>
        <w:rPr>
          <w:bCs/>
          <w:sz w:val="24"/>
          <w:szCs w:val="24"/>
        </w:rPr>
      </w:pPr>
      <w:r w:rsidRPr="0058180F">
        <w:rPr>
          <w:bCs/>
          <w:sz w:val="24"/>
          <w:szCs w:val="24"/>
        </w:rPr>
        <w:lastRenderedPageBreak/>
        <w:t xml:space="preserve">При этом </w:t>
      </w:r>
      <w:r w:rsidR="00C25B38">
        <w:rPr>
          <w:bCs/>
          <w:sz w:val="24"/>
          <w:szCs w:val="24"/>
        </w:rPr>
        <w:t xml:space="preserve">Департамент </w:t>
      </w:r>
      <w:r w:rsidRPr="0058180F">
        <w:rPr>
          <w:bCs/>
          <w:sz w:val="24"/>
          <w:szCs w:val="24"/>
        </w:rPr>
        <w:t>отмечает, что по итогам анализа фактических подконтрольных расходов филиала «Ивэнерго» за 9 месяцев 2022 года наблюдается существенная экономия данных расходов по ряду статей и в целом относительно плановых значений.</w:t>
      </w:r>
    </w:p>
    <w:p w:rsidR="0058180F" w:rsidRPr="0058180F" w:rsidRDefault="0058180F" w:rsidP="0058180F">
      <w:pPr>
        <w:widowControl/>
        <w:ind w:firstLine="567"/>
        <w:jc w:val="both"/>
        <w:rPr>
          <w:bCs/>
          <w:sz w:val="24"/>
          <w:szCs w:val="24"/>
        </w:rPr>
      </w:pPr>
      <w:proofErr w:type="gramStart"/>
      <w:r w:rsidRPr="0058180F">
        <w:rPr>
          <w:bCs/>
          <w:sz w:val="24"/>
          <w:szCs w:val="24"/>
        </w:rPr>
        <w:t xml:space="preserve">Вместе с тем, </w:t>
      </w:r>
      <w:r w:rsidR="00C25B38">
        <w:rPr>
          <w:bCs/>
          <w:sz w:val="24"/>
          <w:szCs w:val="24"/>
        </w:rPr>
        <w:t>Департамент</w:t>
      </w:r>
      <w:r w:rsidRPr="0058180F">
        <w:rPr>
          <w:bCs/>
          <w:sz w:val="24"/>
          <w:szCs w:val="24"/>
        </w:rPr>
        <w:t xml:space="preserve"> отмечает, что согласно принятым параметрам Прогноза социально-экономического развития РФ на 2023 год и на плановый период 2024-2025 гг. фактический уровень инфляции за 2021 год, а также ожидаемый за 2022 год сложился выше плановых значений, учтенных при установлении НВВ и долгосрочных параметров регулирования деятельности филиала «Ивэнерго» на 2022-2026гг., что, в свою очередь, может привести к возникновению экономически</w:t>
      </w:r>
      <w:proofErr w:type="gramEnd"/>
      <w:r w:rsidRPr="0058180F">
        <w:rPr>
          <w:bCs/>
          <w:sz w:val="24"/>
          <w:szCs w:val="24"/>
        </w:rPr>
        <w:t xml:space="preserve"> обоснованных выпадающих доходов организации, в том числе, по причине </w:t>
      </w:r>
      <w:proofErr w:type="gramStart"/>
      <w:r w:rsidRPr="0058180F">
        <w:rPr>
          <w:bCs/>
          <w:sz w:val="24"/>
          <w:szCs w:val="24"/>
        </w:rPr>
        <w:t>превышения фактического фонда оплаты труда персонала</w:t>
      </w:r>
      <w:proofErr w:type="gramEnd"/>
      <w:r w:rsidRPr="0058180F">
        <w:rPr>
          <w:bCs/>
          <w:sz w:val="24"/>
          <w:szCs w:val="24"/>
        </w:rPr>
        <w:t xml:space="preserve"> над плановым, учтенным при установлении базового уровня подконтрольных расходов, с учетом экономически обоснованного роста фактической среднемесячной заработной платы на 1 работника. Данная статья расходов является существенной составляющей общего уровня подконтрольных расходов организации и при этом объективно должна учитывать фактические показатели инфляции.</w:t>
      </w:r>
    </w:p>
    <w:p w:rsidR="0058180F" w:rsidRPr="0058180F" w:rsidRDefault="0058180F" w:rsidP="0058180F">
      <w:pPr>
        <w:widowControl/>
        <w:ind w:firstLine="567"/>
        <w:jc w:val="both"/>
        <w:rPr>
          <w:bCs/>
          <w:sz w:val="24"/>
          <w:szCs w:val="24"/>
        </w:rPr>
      </w:pPr>
      <w:proofErr w:type="gramStart"/>
      <w:r w:rsidRPr="0058180F">
        <w:rPr>
          <w:bCs/>
          <w:sz w:val="24"/>
          <w:szCs w:val="24"/>
        </w:rPr>
        <w:t>В соответствии с п. 7 Основ ценообразования,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учитываются регулирующими органами при установлении регулируемых цен (тарифов) на следующий период регулирования.</w:t>
      </w:r>
      <w:proofErr w:type="gramEnd"/>
    </w:p>
    <w:p w:rsidR="0058180F" w:rsidRPr="0058180F" w:rsidRDefault="0058180F" w:rsidP="0058180F">
      <w:pPr>
        <w:widowControl/>
        <w:ind w:firstLine="567"/>
        <w:jc w:val="both"/>
        <w:rPr>
          <w:bCs/>
          <w:sz w:val="24"/>
          <w:szCs w:val="24"/>
        </w:rPr>
      </w:pPr>
      <w:proofErr w:type="gramStart"/>
      <w:r w:rsidRPr="0058180F">
        <w:rPr>
          <w:bCs/>
          <w:sz w:val="24"/>
          <w:szCs w:val="24"/>
        </w:rPr>
        <w:t xml:space="preserve">На основании изложенного, </w:t>
      </w:r>
      <w:r w:rsidR="00F62C64">
        <w:rPr>
          <w:bCs/>
          <w:sz w:val="24"/>
          <w:szCs w:val="24"/>
        </w:rPr>
        <w:t>Департаментом</w:t>
      </w:r>
      <w:r w:rsidRPr="0058180F">
        <w:rPr>
          <w:bCs/>
          <w:sz w:val="24"/>
          <w:szCs w:val="24"/>
        </w:rPr>
        <w:t xml:space="preserve"> будет осуществлен ежегодный анализ фактических подконтрольных расходов, понесенных филиалом «Ивэнерго» за период 2022-2026гг., и, в целях соблюдения требований п. 7 Основ ценообразования, экономически обоснованные выпадающие доходы филиала «Ивэнерго» будут подлежать возмещению, в т.ч. по статье «Расходы на оплату труда» с учетом фактической среднемесячной заработной платы на 1 работника.</w:t>
      </w:r>
      <w:proofErr w:type="gramEnd"/>
    </w:p>
    <w:p w:rsidR="006629F6" w:rsidRPr="00993838" w:rsidRDefault="006629F6" w:rsidP="00340099">
      <w:pPr>
        <w:widowControl/>
        <w:ind w:firstLine="567"/>
        <w:contextualSpacing/>
        <w:jc w:val="both"/>
        <w:rPr>
          <w:rFonts w:eastAsia="Calibri"/>
          <w:sz w:val="24"/>
          <w:szCs w:val="24"/>
          <w:lang w:eastAsia="en-US"/>
        </w:rPr>
      </w:pPr>
    </w:p>
    <w:p w:rsidR="005657C9" w:rsidRPr="00FE2D78" w:rsidRDefault="005657C9" w:rsidP="005657C9">
      <w:pPr>
        <w:widowControl/>
        <w:numPr>
          <w:ilvl w:val="0"/>
          <w:numId w:val="35"/>
        </w:numPr>
        <w:tabs>
          <w:tab w:val="left" w:pos="993"/>
        </w:tabs>
        <w:suppressAutoHyphens/>
        <w:spacing w:after="200"/>
        <w:ind w:left="0" w:firstLine="567"/>
        <w:contextualSpacing/>
        <w:rPr>
          <w:rFonts w:eastAsia="Calibri"/>
          <w:i/>
          <w:sz w:val="24"/>
          <w:szCs w:val="24"/>
          <w:lang w:eastAsia="en-US"/>
        </w:rPr>
      </w:pPr>
      <w:r w:rsidRPr="00FE2D78">
        <w:rPr>
          <w:rFonts w:eastAsia="Calibri"/>
          <w:i/>
          <w:sz w:val="24"/>
          <w:szCs w:val="24"/>
          <w:lang w:eastAsia="en-US"/>
        </w:rPr>
        <w:t>Неподконтрольные расходы</w:t>
      </w:r>
      <w:r w:rsidR="00B55ABA" w:rsidRPr="00FE2D78">
        <w:rPr>
          <w:rFonts w:eastAsia="Calibri"/>
          <w:i/>
          <w:sz w:val="24"/>
          <w:szCs w:val="24"/>
          <w:lang w:eastAsia="en-US"/>
        </w:rPr>
        <w:t>.</w:t>
      </w:r>
    </w:p>
    <w:p w:rsidR="005657C9" w:rsidRPr="0095422B" w:rsidRDefault="005657C9" w:rsidP="005657C9">
      <w:pPr>
        <w:widowControl/>
        <w:ind w:firstLine="567"/>
        <w:contextualSpacing/>
        <w:jc w:val="both"/>
        <w:rPr>
          <w:rFonts w:eastAsia="Calibri"/>
          <w:sz w:val="24"/>
          <w:szCs w:val="24"/>
          <w:lang w:eastAsia="en-US"/>
        </w:rPr>
      </w:pPr>
      <w:r w:rsidRPr="0095422B">
        <w:rPr>
          <w:rFonts w:eastAsia="Calibri"/>
          <w:sz w:val="24"/>
          <w:szCs w:val="24"/>
          <w:lang w:eastAsia="en-US"/>
        </w:rPr>
        <w:t>Неподконтрольные расходы филиала «Ивэнерго» на 2023 гг. определены Департаментом в размере 2 054 971 тыс. руб.</w:t>
      </w:r>
      <w:r w:rsidR="0095422B" w:rsidRPr="0095422B">
        <w:rPr>
          <w:rFonts w:eastAsia="Calibri"/>
          <w:sz w:val="24"/>
          <w:szCs w:val="24"/>
          <w:lang w:eastAsia="en-US"/>
        </w:rPr>
        <w:t>,</w:t>
      </w:r>
      <w:r w:rsidRPr="0095422B">
        <w:rPr>
          <w:rFonts w:eastAsia="Calibri"/>
          <w:sz w:val="24"/>
          <w:szCs w:val="24"/>
          <w:lang w:eastAsia="en-US"/>
        </w:rPr>
        <w:t xml:space="preserve"> против заявленных 2 462 362,88 тыс. руб.</w:t>
      </w:r>
    </w:p>
    <w:p w:rsidR="005657C9" w:rsidRPr="0095422B" w:rsidRDefault="005657C9" w:rsidP="005657C9">
      <w:pPr>
        <w:widowControl/>
        <w:ind w:firstLine="567"/>
        <w:contextualSpacing/>
        <w:jc w:val="both"/>
        <w:rPr>
          <w:rFonts w:eastAsia="Calibri"/>
          <w:sz w:val="24"/>
          <w:szCs w:val="24"/>
          <w:lang w:eastAsia="en-US"/>
        </w:rPr>
      </w:pPr>
      <w:r w:rsidRPr="0095422B">
        <w:rPr>
          <w:rFonts w:eastAsia="Calibri"/>
          <w:sz w:val="24"/>
          <w:szCs w:val="24"/>
          <w:lang w:eastAsia="en-US"/>
        </w:rPr>
        <w:t>Филиал не согласен с позицией Департамента по следующим статьям неподконтрольных расходов:</w:t>
      </w:r>
    </w:p>
    <w:p w:rsidR="005657C9" w:rsidRPr="00FE2D78" w:rsidRDefault="005657C9" w:rsidP="005657C9">
      <w:pPr>
        <w:widowControl/>
        <w:ind w:firstLine="567"/>
        <w:contextualSpacing/>
        <w:jc w:val="both"/>
        <w:rPr>
          <w:rFonts w:eastAsia="Calibri"/>
          <w:i/>
          <w:sz w:val="24"/>
          <w:szCs w:val="24"/>
          <w:lang w:eastAsia="en-US"/>
        </w:rPr>
      </w:pPr>
      <w:r w:rsidRPr="00FE2D78">
        <w:rPr>
          <w:rFonts w:eastAsia="Calibri"/>
          <w:i/>
          <w:sz w:val="24"/>
          <w:szCs w:val="24"/>
          <w:lang w:eastAsia="en-US"/>
        </w:rPr>
        <w:t>- Аренда транспорта, машин и механизмов.</w:t>
      </w:r>
    </w:p>
    <w:p w:rsidR="005657C9" w:rsidRPr="0095422B" w:rsidRDefault="005657C9" w:rsidP="005657C9">
      <w:pPr>
        <w:widowControl/>
        <w:ind w:firstLine="567"/>
        <w:contextualSpacing/>
        <w:jc w:val="both"/>
        <w:rPr>
          <w:rFonts w:eastAsia="Calibri"/>
          <w:sz w:val="24"/>
          <w:szCs w:val="24"/>
          <w:lang w:eastAsia="en-US"/>
        </w:rPr>
      </w:pPr>
      <w:r w:rsidRPr="0095422B">
        <w:rPr>
          <w:rFonts w:eastAsia="Calibri"/>
          <w:sz w:val="24"/>
          <w:szCs w:val="24"/>
          <w:lang w:eastAsia="en-US"/>
        </w:rPr>
        <w:t xml:space="preserve">Департаментом исключены расходы на аренду легкового автомобиля KIA K5 GT Line+ в размере 1 006 тыс. руб. в соответствии с договором </w:t>
      </w:r>
      <w:r w:rsidR="0095422B" w:rsidRPr="0095422B">
        <w:rPr>
          <w:rFonts w:eastAsia="Calibri"/>
          <w:sz w:val="24"/>
          <w:szCs w:val="24"/>
          <w:lang w:eastAsia="en-US"/>
        </w:rPr>
        <w:t>от 17.10.2022 № 372002281 с АО «</w:t>
      </w:r>
      <w:r w:rsidRPr="0095422B">
        <w:rPr>
          <w:rFonts w:eastAsia="Calibri"/>
          <w:sz w:val="24"/>
          <w:szCs w:val="24"/>
          <w:lang w:eastAsia="en-US"/>
        </w:rPr>
        <w:t>АТХ</w:t>
      </w:r>
      <w:r w:rsidR="0095422B" w:rsidRPr="0095422B">
        <w:rPr>
          <w:rFonts w:eastAsia="Calibri"/>
          <w:sz w:val="24"/>
          <w:szCs w:val="24"/>
          <w:lang w:eastAsia="en-US"/>
        </w:rPr>
        <w:t>»</w:t>
      </w:r>
      <w:r w:rsidRPr="0095422B">
        <w:rPr>
          <w:rFonts w:eastAsia="Calibri"/>
          <w:sz w:val="24"/>
          <w:szCs w:val="24"/>
          <w:lang w:eastAsia="en-US"/>
        </w:rPr>
        <w:t xml:space="preserve"> по причине отсутствия экономического обоснования использования данного легкового автомобиля в регулируемой деятельности по передаче электрической энергии, в том числе с учетом фактического класса заявленного автомобиля.</w:t>
      </w:r>
    </w:p>
    <w:p w:rsidR="005657C9" w:rsidRPr="0095422B" w:rsidRDefault="005657C9" w:rsidP="005657C9">
      <w:pPr>
        <w:widowControl/>
        <w:ind w:firstLine="567"/>
        <w:contextualSpacing/>
        <w:jc w:val="both"/>
        <w:rPr>
          <w:rFonts w:eastAsia="Calibri"/>
          <w:sz w:val="24"/>
          <w:szCs w:val="24"/>
          <w:lang w:eastAsia="en-US"/>
        </w:rPr>
      </w:pPr>
      <w:r w:rsidRPr="0095422B">
        <w:rPr>
          <w:rFonts w:eastAsia="Calibri"/>
          <w:sz w:val="24"/>
          <w:szCs w:val="24"/>
          <w:lang w:eastAsia="en-US"/>
        </w:rPr>
        <w:t>Для обоснования заявленных расходов филиалом «Ивэнерго» в составе материалов тарифного дела (Заявление от 21.10.2022 № МР7-ИвЭ/25-2/6174)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 (п.31-32 реестра материалов тарифного дела от 21.10.2022).</w:t>
      </w:r>
    </w:p>
    <w:p w:rsidR="005657C9" w:rsidRPr="0095422B" w:rsidRDefault="005657C9" w:rsidP="005657C9">
      <w:pPr>
        <w:widowControl/>
        <w:ind w:firstLine="567"/>
        <w:contextualSpacing/>
        <w:jc w:val="both"/>
        <w:rPr>
          <w:rFonts w:eastAsia="Calibri"/>
          <w:sz w:val="24"/>
          <w:szCs w:val="24"/>
          <w:lang w:eastAsia="en-US"/>
        </w:rPr>
      </w:pPr>
      <w:r w:rsidRPr="0095422B">
        <w:rPr>
          <w:rFonts w:eastAsia="Calibri"/>
          <w:sz w:val="24"/>
          <w:szCs w:val="24"/>
          <w:lang w:eastAsia="en-US"/>
        </w:rPr>
        <w:t>Филиал «Ивэнерго» считает необходимым в случае несогласия Департамента с расходами в договорах, заключенных с использованием конкурсных процедур, предложить альтернативную величину расходов, поскольку данный автомобиль используется в рамках основного вида деятельности.</w:t>
      </w:r>
    </w:p>
    <w:p w:rsidR="005657C9" w:rsidRPr="0095422B" w:rsidRDefault="0095422B" w:rsidP="005657C9">
      <w:pPr>
        <w:widowControl/>
        <w:ind w:firstLine="567"/>
        <w:contextualSpacing/>
        <w:jc w:val="both"/>
        <w:rPr>
          <w:rFonts w:eastAsia="Calibri"/>
          <w:sz w:val="24"/>
          <w:szCs w:val="24"/>
          <w:lang w:eastAsia="en-US"/>
        </w:rPr>
      </w:pPr>
      <w:r w:rsidRPr="0095422B">
        <w:rPr>
          <w:rFonts w:eastAsia="Calibri"/>
          <w:sz w:val="24"/>
          <w:szCs w:val="24"/>
          <w:lang w:eastAsia="en-US"/>
        </w:rPr>
        <w:t xml:space="preserve">Департамент отмечает, </w:t>
      </w:r>
      <w:r w:rsidR="00387F99" w:rsidRPr="00387F99">
        <w:rPr>
          <w:rFonts w:eastAsia="Calibri"/>
          <w:sz w:val="24"/>
          <w:szCs w:val="24"/>
          <w:lang w:eastAsia="en-US"/>
        </w:rPr>
        <w:t xml:space="preserve">что </w:t>
      </w:r>
      <w:r w:rsidR="00387F99">
        <w:rPr>
          <w:rFonts w:eastAsia="Calibri"/>
          <w:sz w:val="24"/>
          <w:szCs w:val="24"/>
          <w:lang w:eastAsia="en-US"/>
        </w:rPr>
        <w:t xml:space="preserve">организацией </w:t>
      </w:r>
      <w:r w:rsidR="00387F99" w:rsidRPr="00387F99">
        <w:rPr>
          <w:rFonts w:eastAsia="Calibri"/>
          <w:sz w:val="24"/>
          <w:szCs w:val="24"/>
          <w:lang w:eastAsia="en-US"/>
        </w:rPr>
        <w:t>не обоснована целесообразность использования авто «премиум» класса с данной мощностью в регулируемой деятельности</w:t>
      </w:r>
      <w:r w:rsidR="00387F99">
        <w:rPr>
          <w:rFonts w:eastAsia="Calibri"/>
          <w:sz w:val="24"/>
          <w:szCs w:val="24"/>
          <w:lang w:eastAsia="en-US"/>
        </w:rPr>
        <w:t>,</w:t>
      </w:r>
      <w:r w:rsidRPr="0095422B">
        <w:rPr>
          <w:rFonts w:eastAsia="Calibri"/>
          <w:sz w:val="24"/>
          <w:szCs w:val="24"/>
          <w:lang w:eastAsia="en-US"/>
        </w:rPr>
        <w:t xml:space="preserve"> </w:t>
      </w:r>
      <w:r w:rsidR="00F81A89">
        <w:rPr>
          <w:rFonts w:eastAsia="Calibri"/>
          <w:sz w:val="24"/>
          <w:szCs w:val="24"/>
          <w:lang w:eastAsia="en-US"/>
        </w:rPr>
        <w:t xml:space="preserve">а </w:t>
      </w:r>
      <w:r w:rsidRPr="0095422B">
        <w:rPr>
          <w:rFonts w:eastAsia="Calibri"/>
          <w:sz w:val="24"/>
          <w:szCs w:val="24"/>
          <w:lang w:eastAsia="en-US"/>
        </w:rPr>
        <w:t xml:space="preserve">согласно п. 22 Правил государственного регулирования № 1178 регулирующий орган проводит экспертизу предложений об установлении цен (тарифов) и (или) их предельных уровней, представленных непосредственно регулируемыми организациями. При этом полномочия производить за регулируемые организации дополнительные расчеты, не представленные в материалы тарифного дела, и тем самым </w:t>
      </w:r>
      <w:r w:rsidRPr="0095422B">
        <w:rPr>
          <w:rFonts w:eastAsia="Calibri"/>
          <w:sz w:val="24"/>
          <w:szCs w:val="24"/>
          <w:lang w:eastAsia="en-US"/>
        </w:rPr>
        <w:lastRenderedPageBreak/>
        <w:t>обосновывать заявленные данными организациями расходы, относимые на регулируемый вид деятельности, у Департамента отсутствуют.</w:t>
      </w:r>
    </w:p>
    <w:p w:rsidR="005657C9" w:rsidRPr="00D22BDC" w:rsidRDefault="005657C9" w:rsidP="005657C9">
      <w:pPr>
        <w:widowControl/>
        <w:ind w:firstLine="567"/>
        <w:contextualSpacing/>
        <w:jc w:val="both"/>
        <w:rPr>
          <w:rFonts w:eastAsia="Calibri"/>
          <w:sz w:val="24"/>
          <w:szCs w:val="24"/>
          <w:lang w:eastAsia="en-US"/>
        </w:rPr>
      </w:pPr>
      <w:r w:rsidRPr="00D22BDC">
        <w:rPr>
          <w:rFonts w:eastAsia="Calibri"/>
          <w:i/>
          <w:sz w:val="24"/>
          <w:szCs w:val="24"/>
          <w:lang w:eastAsia="en-US"/>
        </w:rPr>
        <w:t>- Обязательные страховые взносы в федеральные социальные внебюджетные фонды, Обязательное социальное страхование от несчастных случаев на производстве и профессиональных заболеваний</w:t>
      </w:r>
      <w:r w:rsidRPr="00D22BDC">
        <w:rPr>
          <w:rFonts w:eastAsia="Calibri"/>
          <w:sz w:val="24"/>
          <w:szCs w:val="24"/>
          <w:lang w:eastAsia="en-US"/>
        </w:rPr>
        <w:t xml:space="preserve"> на 36 981 тыс. руб.</w:t>
      </w:r>
    </w:p>
    <w:p w:rsidR="005657C9" w:rsidRPr="00D22BDC" w:rsidRDefault="005657C9" w:rsidP="005657C9">
      <w:pPr>
        <w:widowControl/>
        <w:ind w:firstLine="567"/>
        <w:contextualSpacing/>
        <w:jc w:val="both"/>
        <w:rPr>
          <w:rFonts w:eastAsia="Calibri"/>
          <w:sz w:val="24"/>
          <w:szCs w:val="24"/>
          <w:lang w:eastAsia="en-US"/>
        </w:rPr>
      </w:pPr>
      <w:r w:rsidRPr="00D22BDC">
        <w:rPr>
          <w:rFonts w:eastAsia="Calibri"/>
          <w:sz w:val="24"/>
          <w:szCs w:val="24"/>
          <w:lang w:eastAsia="en-US"/>
        </w:rPr>
        <w:t xml:space="preserve">Департаментом расходы на отчисления на социальное страхование определены в размере 30,4% от уровня фонда оплаты труда в составе подконтрольных расходов 2023 года. Филиал «Ивэнерго» считает заниженным предложенный Департаментом уровень подконтрольных расходов на 2023 год и, соответственно, заниженными расходы по обязательным страховым взносам. </w:t>
      </w:r>
    </w:p>
    <w:p w:rsidR="005657C9" w:rsidRPr="00AE592F" w:rsidRDefault="00463003" w:rsidP="005657C9">
      <w:pPr>
        <w:widowControl/>
        <w:ind w:firstLine="567"/>
        <w:contextualSpacing/>
        <w:jc w:val="both"/>
        <w:rPr>
          <w:rFonts w:eastAsia="Calibri"/>
          <w:sz w:val="24"/>
          <w:szCs w:val="24"/>
          <w:lang w:eastAsia="en-US"/>
        </w:rPr>
      </w:pPr>
      <w:r w:rsidRPr="00463003">
        <w:rPr>
          <w:rFonts w:eastAsia="Calibri"/>
          <w:sz w:val="24"/>
          <w:szCs w:val="24"/>
          <w:lang w:eastAsia="en-US"/>
        </w:rPr>
        <w:t>Департамент</w:t>
      </w:r>
      <w:r>
        <w:rPr>
          <w:rFonts w:eastAsia="Calibri"/>
          <w:sz w:val="24"/>
          <w:szCs w:val="24"/>
          <w:lang w:eastAsia="en-US"/>
        </w:rPr>
        <w:t xml:space="preserve"> отмечает, что</w:t>
      </w:r>
      <w:r w:rsidRPr="00463003">
        <w:rPr>
          <w:rFonts w:eastAsia="Calibri"/>
          <w:sz w:val="24"/>
          <w:szCs w:val="24"/>
          <w:lang w:eastAsia="en-US"/>
        </w:rPr>
        <w:t xml:space="preserve"> расходы на отчисления на социальное страхование определены в размере 30,4% от уровня фонда оплаты труда в составе подконтрольных расходов 2023 года</w:t>
      </w:r>
      <w:r w:rsidR="00AE592F">
        <w:rPr>
          <w:rFonts w:eastAsia="Calibri"/>
          <w:sz w:val="24"/>
          <w:szCs w:val="24"/>
          <w:lang w:eastAsia="en-US"/>
        </w:rPr>
        <w:t xml:space="preserve"> в сумме 338 910,31 тыс. руб.</w:t>
      </w:r>
      <w:r w:rsidR="00504AFD">
        <w:rPr>
          <w:rFonts w:eastAsia="Calibri"/>
          <w:sz w:val="24"/>
          <w:szCs w:val="24"/>
          <w:lang w:eastAsia="en-US"/>
        </w:rPr>
        <w:t>, что соответствует положениям действующего законодательства</w:t>
      </w:r>
      <w:r w:rsidR="00AE592F">
        <w:rPr>
          <w:rFonts w:eastAsia="Calibri"/>
          <w:sz w:val="24"/>
          <w:szCs w:val="24"/>
          <w:lang w:eastAsia="en-US"/>
        </w:rPr>
        <w:t>.</w:t>
      </w:r>
    </w:p>
    <w:p w:rsidR="005657C9" w:rsidRPr="00D22BDC" w:rsidRDefault="005657C9" w:rsidP="005657C9">
      <w:pPr>
        <w:widowControl/>
        <w:ind w:firstLine="567"/>
        <w:contextualSpacing/>
        <w:jc w:val="both"/>
        <w:rPr>
          <w:rFonts w:eastAsia="Calibri"/>
          <w:i/>
          <w:sz w:val="24"/>
          <w:szCs w:val="24"/>
          <w:lang w:eastAsia="en-US"/>
        </w:rPr>
      </w:pPr>
      <w:r w:rsidRPr="00D22BDC">
        <w:rPr>
          <w:rFonts w:eastAsia="Calibri"/>
          <w:i/>
          <w:sz w:val="24"/>
          <w:szCs w:val="24"/>
          <w:lang w:eastAsia="en-US"/>
        </w:rPr>
        <w:t>- Дефицит средств на реализацию мероприятий по организации коммерческого учета (в соответств</w:t>
      </w:r>
      <w:r w:rsidR="00D22BDC" w:rsidRPr="00D22BDC">
        <w:rPr>
          <w:rFonts w:eastAsia="Calibri"/>
          <w:i/>
          <w:sz w:val="24"/>
          <w:szCs w:val="24"/>
          <w:lang w:eastAsia="en-US"/>
        </w:rPr>
        <w:t>ии с требованиями п.5 ст.37 ФЗ «</w:t>
      </w:r>
      <w:r w:rsidRPr="00D22BDC">
        <w:rPr>
          <w:rFonts w:eastAsia="Calibri"/>
          <w:i/>
          <w:sz w:val="24"/>
          <w:szCs w:val="24"/>
          <w:lang w:eastAsia="en-US"/>
        </w:rPr>
        <w:t>Об электроэнергетике</w:t>
      </w:r>
      <w:r w:rsidR="00D22BDC" w:rsidRPr="00D22BDC">
        <w:rPr>
          <w:rFonts w:eastAsia="Calibri"/>
          <w:i/>
          <w:sz w:val="24"/>
          <w:szCs w:val="24"/>
          <w:lang w:eastAsia="en-US"/>
        </w:rPr>
        <w:t>»</w:t>
      </w:r>
      <w:r w:rsidRPr="00D22BDC">
        <w:rPr>
          <w:rFonts w:eastAsia="Calibri"/>
          <w:i/>
          <w:sz w:val="24"/>
          <w:szCs w:val="24"/>
          <w:lang w:eastAsia="en-US"/>
        </w:rPr>
        <w:t xml:space="preserve"> №35-ФЗ с учетом изменений от 27.12.2018 №522-ФЗ).</w:t>
      </w:r>
    </w:p>
    <w:p w:rsidR="005657C9" w:rsidRPr="00D22BDC" w:rsidRDefault="005657C9" w:rsidP="005657C9">
      <w:pPr>
        <w:widowControl/>
        <w:ind w:firstLine="567"/>
        <w:contextualSpacing/>
        <w:jc w:val="both"/>
        <w:rPr>
          <w:rFonts w:eastAsia="Calibri"/>
          <w:sz w:val="24"/>
          <w:szCs w:val="24"/>
          <w:lang w:eastAsia="en-US"/>
        </w:rPr>
      </w:pPr>
      <w:r w:rsidRPr="00D22BDC">
        <w:rPr>
          <w:rFonts w:eastAsia="Calibri"/>
          <w:sz w:val="24"/>
          <w:szCs w:val="24"/>
          <w:lang w:eastAsia="en-US"/>
        </w:rPr>
        <w:t>Дефицит средств на реализацию мероприятий по организации коммерческого учета исключен Департаментом из состава неподконтрольных расходов в полном объеме - 293 937,35 тыс. руб.</w:t>
      </w:r>
    </w:p>
    <w:p w:rsidR="005657C9" w:rsidRPr="00D22BDC" w:rsidRDefault="005657C9" w:rsidP="005657C9">
      <w:pPr>
        <w:widowControl/>
        <w:ind w:firstLine="567"/>
        <w:contextualSpacing/>
        <w:jc w:val="both"/>
        <w:rPr>
          <w:rFonts w:eastAsia="Calibri"/>
          <w:sz w:val="24"/>
          <w:szCs w:val="24"/>
          <w:lang w:eastAsia="en-US"/>
        </w:rPr>
      </w:pPr>
      <w:r w:rsidRPr="00D22BDC">
        <w:rPr>
          <w:rFonts w:eastAsia="Calibri"/>
          <w:sz w:val="24"/>
          <w:szCs w:val="24"/>
          <w:lang w:eastAsia="en-US"/>
        </w:rPr>
        <w:t xml:space="preserve">Позиция Департамента: средства на реализацию мероприятий по организации коммерческого учета учтены в полном объеме в составе подконтрольных </w:t>
      </w:r>
      <w:r w:rsidR="00D22BDC" w:rsidRPr="00D22BDC">
        <w:rPr>
          <w:rFonts w:eastAsia="Calibri"/>
          <w:sz w:val="24"/>
          <w:szCs w:val="24"/>
          <w:lang w:eastAsia="en-US"/>
        </w:rPr>
        <w:t>расходов на 2022 год по статье «</w:t>
      </w:r>
      <w:r w:rsidRPr="00D22BDC">
        <w:rPr>
          <w:rFonts w:eastAsia="Calibri"/>
          <w:sz w:val="24"/>
          <w:szCs w:val="24"/>
          <w:lang w:eastAsia="en-US"/>
        </w:rPr>
        <w:t xml:space="preserve">Расходы, связанные с организацией коммерческого учета (в соответствии с п.5 ст.37 ФЗ </w:t>
      </w:r>
      <w:r w:rsidR="00D22BDC" w:rsidRPr="00D22BDC">
        <w:rPr>
          <w:rFonts w:eastAsia="Calibri"/>
          <w:sz w:val="24"/>
          <w:szCs w:val="24"/>
          <w:lang w:eastAsia="en-US"/>
        </w:rPr>
        <w:t>«</w:t>
      </w:r>
      <w:r w:rsidRPr="00D22BDC">
        <w:rPr>
          <w:rFonts w:eastAsia="Calibri"/>
          <w:sz w:val="24"/>
          <w:szCs w:val="24"/>
          <w:lang w:eastAsia="en-US"/>
        </w:rPr>
        <w:t>Об электроэнергетике</w:t>
      </w:r>
      <w:r w:rsidR="00D22BDC" w:rsidRPr="00D22BDC">
        <w:rPr>
          <w:rFonts w:eastAsia="Calibri"/>
          <w:sz w:val="24"/>
          <w:szCs w:val="24"/>
          <w:lang w:eastAsia="en-US"/>
        </w:rPr>
        <w:t>»</w:t>
      </w:r>
      <w:r w:rsidRPr="00D22BDC">
        <w:rPr>
          <w:rFonts w:eastAsia="Calibri"/>
          <w:sz w:val="24"/>
          <w:szCs w:val="24"/>
          <w:lang w:eastAsia="en-US"/>
        </w:rPr>
        <w:t xml:space="preserve"> №35-ФЗ с учетом и</w:t>
      </w:r>
      <w:r w:rsidR="00D22BDC" w:rsidRPr="00D22BDC">
        <w:rPr>
          <w:rFonts w:eastAsia="Calibri"/>
          <w:sz w:val="24"/>
          <w:szCs w:val="24"/>
          <w:lang w:eastAsia="en-US"/>
        </w:rPr>
        <w:t>зменений от 27.12.2018 №522-ФЗ)»</w:t>
      </w:r>
      <w:r w:rsidRPr="00D22BDC">
        <w:rPr>
          <w:rFonts w:eastAsia="Calibri"/>
          <w:sz w:val="24"/>
          <w:szCs w:val="24"/>
          <w:lang w:eastAsia="en-US"/>
        </w:rPr>
        <w:t xml:space="preserve"> в размере 166 239 тыс. руб., а также в составе мероприятий ИПР на 2023 год. По факту 2021 года заложенные средства на эти цели в размере 105 047 тыс. руб. не были израсходованы, фактические расходы составили 0. </w:t>
      </w:r>
    </w:p>
    <w:p w:rsidR="005657C9" w:rsidRPr="00D22BDC" w:rsidRDefault="005657C9" w:rsidP="005657C9">
      <w:pPr>
        <w:widowControl/>
        <w:ind w:firstLine="567"/>
        <w:contextualSpacing/>
        <w:jc w:val="both"/>
        <w:rPr>
          <w:rFonts w:eastAsia="Calibri"/>
          <w:sz w:val="24"/>
          <w:szCs w:val="24"/>
          <w:lang w:eastAsia="en-US"/>
        </w:rPr>
      </w:pPr>
      <w:r w:rsidRPr="00D22BDC">
        <w:rPr>
          <w:rFonts w:eastAsia="Calibri"/>
          <w:sz w:val="24"/>
          <w:szCs w:val="24"/>
          <w:lang w:eastAsia="en-US"/>
        </w:rPr>
        <w:t>Филиал «Ивэнерго» не согласен с данной позицией. Данная потребность не предусмотрена в рамках ИПР и не учтена в составе подконтрольных расходов при утверждении долгосрочных параметров регулирования на 2022-2026 гг. Расчеты с обосновывающими документами представлены в составе материалов тарифного дела (Заявление от 29.04.2022 № МР7-ИвЭ/25-2/2424, п.204-210 реес</w:t>
      </w:r>
      <w:r w:rsidR="00D22BDC" w:rsidRPr="00D22BDC">
        <w:rPr>
          <w:rFonts w:eastAsia="Calibri"/>
          <w:sz w:val="24"/>
          <w:szCs w:val="24"/>
          <w:lang w:eastAsia="en-US"/>
        </w:rPr>
        <w:t>тра материалов тарифного дела).</w:t>
      </w:r>
    </w:p>
    <w:p w:rsidR="00D22BDC" w:rsidRPr="000803B1" w:rsidRDefault="00D22BDC" w:rsidP="005657C9">
      <w:pPr>
        <w:widowControl/>
        <w:ind w:firstLine="567"/>
        <w:contextualSpacing/>
        <w:jc w:val="both"/>
        <w:rPr>
          <w:rFonts w:eastAsia="Calibri"/>
          <w:sz w:val="24"/>
          <w:szCs w:val="24"/>
          <w:lang w:eastAsia="en-US"/>
        </w:rPr>
      </w:pPr>
      <w:r w:rsidRPr="000803B1">
        <w:rPr>
          <w:rFonts w:eastAsia="Calibri"/>
          <w:sz w:val="24"/>
          <w:szCs w:val="24"/>
          <w:lang w:eastAsia="en-US"/>
        </w:rPr>
        <w:t>Департамент по вышеперечисленным доводам отмечает следующее.</w:t>
      </w:r>
    </w:p>
    <w:p w:rsidR="000803B1" w:rsidRPr="000803B1" w:rsidRDefault="00D22BDC" w:rsidP="005657C9">
      <w:pPr>
        <w:widowControl/>
        <w:ind w:firstLine="567"/>
        <w:contextualSpacing/>
        <w:jc w:val="both"/>
        <w:rPr>
          <w:rFonts w:eastAsia="Calibri"/>
          <w:sz w:val="24"/>
          <w:szCs w:val="24"/>
          <w:lang w:eastAsia="en-US"/>
        </w:rPr>
      </w:pPr>
      <w:proofErr w:type="gramStart"/>
      <w:r w:rsidRPr="000803B1">
        <w:rPr>
          <w:rFonts w:eastAsia="Calibri"/>
          <w:sz w:val="24"/>
          <w:szCs w:val="24"/>
          <w:lang w:eastAsia="en-US"/>
        </w:rPr>
        <w:t>Средства на реализацию мероприятий по организации коммерческого учета учтены Департаментом в составе подконтрольных расходов филиала «Ивэнерго» по статье «Расходы, связанные с организацией коммерческого учета (в соответствии с п.5 ст.37 ФЗ «Об электроэнергетике» №35-ФЗ с учетом изменений от 27.12.2018 №522-ФЗ)» (на базовый 2022 год в размере 159 652,67 тыс. руб. (с учетом применения метода сравнения аналогов)</w:t>
      </w:r>
      <w:r w:rsidR="000803B1" w:rsidRPr="000803B1">
        <w:rPr>
          <w:rFonts w:eastAsia="Calibri"/>
          <w:sz w:val="24"/>
          <w:szCs w:val="24"/>
          <w:lang w:eastAsia="en-US"/>
        </w:rPr>
        <w:t>)</w:t>
      </w:r>
      <w:r w:rsidRPr="000803B1">
        <w:rPr>
          <w:rFonts w:eastAsia="Calibri"/>
          <w:sz w:val="24"/>
          <w:szCs w:val="24"/>
          <w:lang w:eastAsia="en-US"/>
        </w:rPr>
        <w:t>, а также в</w:t>
      </w:r>
      <w:proofErr w:type="gramEnd"/>
      <w:r w:rsidRPr="000803B1">
        <w:rPr>
          <w:rFonts w:eastAsia="Calibri"/>
          <w:sz w:val="24"/>
          <w:szCs w:val="24"/>
          <w:lang w:eastAsia="en-US"/>
        </w:rPr>
        <w:t xml:space="preserve"> </w:t>
      </w:r>
      <w:proofErr w:type="gramStart"/>
      <w:r w:rsidRPr="000803B1">
        <w:rPr>
          <w:rFonts w:eastAsia="Calibri"/>
          <w:sz w:val="24"/>
          <w:szCs w:val="24"/>
          <w:lang w:eastAsia="en-US"/>
        </w:rPr>
        <w:t>составе</w:t>
      </w:r>
      <w:proofErr w:type="gramEnd"/>
      <w:r w:rsidRPr="000803B1">
        <w:rPr>
          <w:rFonts w:eastAsia="Calibri"/>
          <w:sz w:val="24"/>
          <w:szCs w:val="24"/>
          <w:lang w:eastAsia="en-US"/>
        </w:rPr>
        <w:t xml:space="preserve"> мероприятий ИПР на 2023 год</w:t>
      </w:r>
      <w:r w:rsidR="000803B1" w:rsidRPr="000803B1">
        <w:rPr>
          <w:rFonts w:eastAsia="Calibri"/>
          <w:sz w:val="24"/>
          <w:szCs w:val="24"/>
          <w:lang w:eastAsia="en-US"/>
        </w:rPr>
        <w:t xml:space="preserve"> с источником финансирования – амортизация основных средств</w:t>
      </w:r>
      <w:r w:rsidRPr="000803B1">
        <w:rPr>
          <w:rFonts w:eastAsia="Calibri"/>
          <w:sz w:val="24"/>
          <w:szCs w:val="24"/>
          <w:lang w:eastAsia="en-US"/>
        </w:rPr>
        <w:t xml:space="preserve">. </w:t>
      </w:r>
    </w:p>
    <w:p w:rsidR="005657C9" w:rsidRPr="000803B1" w:rsidRDefault="00D22BDC" w:rsidP="005657C9">
      <w:pPr>
        <w:widowControl/>
        <w:ind w:firstLine="567"/>
        <w:contextualSpacing/>
        <w:jc w:val="both"/>
        <w:rPr>
          <w:rFonts w:eastAsia="Calibri"/>
          <w:sz w:val="24"/>
          <w:szCs w:val="24"/>
          <w:lang w:eastAsia="en-US"/>
        </w:rPr>
      </w:pPr>
      <w:r w:rsidRPr="000803B1">
        <w:rPr>
          <w:rFonts w:eastAsia="Calibri"/>
          <w:sz w:val="24"/>
          <w:szCs w:val="24"/>
          <w:lang w:eastAsia="en-US"/>
        </w:rPr>
        <w:t xml:space="preserve">При этом Департамент отмечает, что исходя из фактических показателей </w:t>
      </w:r>
      <w:r w:rsidR="000803B1" w:rsidRPr="000803B1">
        <w:rPr>
          <w:rFonts w:eastAsia="Calibri"/>
          <w:sz w:val="24"/>
          <w:szCs w:val="24"/>
          <w:lang w:eastAsia="en-US"/>
        </w:rPr>
        <w:t xml:space="preserve">деятельности </w:t>
      </w:r>
      <w:r w:rsidRPr="000803B1">
        <w:rPr>
          <w:rFonts w:eastAsia="Calibri"/>
          <w:sz w:val="24"/>
          <w:szCs w:val="24"/>
          <w:lang w:eastAsia="en-US"/>
        </w:rPr>
        <w:t>за 2021 год заложенные в составе неподконтрольных расходов филиала «Ивэнерго» плановые расходы на данные цели в размере 105 047 тыс. руб. не были израсходованы, фактические расходы составили 0</w:t>
      </w:r>
      <w:r w:rsidR="000803B1" w:rsidRPr="000803B1">
        <w:rPr>
          <w:rFonts w:eastAsia="Calibri"/>
          <w:sz w:val="24"/>
          <w:szCs w:val="24"/>
          <w:lang w:eastAsia="en-US"/>
        </w:rPr>
        <w:t>,00 тыс. руб</w:t>
      </w:r>
      <w:r w:rsidRPr="000803B1">
        <w:rPr>
          <w:rFonts w:eastAsia="Calibri"/>
          <w:sz w:val="24"/>
          <w:szCs w:val="24"/>
          <w:lang w:eastAsia="en-US"/>
        </w:rPr>
        <w:t>.</w:t>
      </w:r>
      <w:r w:rsidR="000803B1" w:rsidRPr="000803B1">
        <w:rPr>
          <w:rFonts w:eastAsia="Calibri"/>
          <w:sz w:val="24"/>
          <w:szCs w:val="24"/>
          <w:lang w:eastAsia="en-US"/>
        </w:rPr>
        <w:t xml:space="preserve"> С учетом фактических показателей деятельности филиала «Ивэнерго» за 9 мес. 2022 года фактические подконтрольные расходы по данной статье также составили 0,00 тыс. руб. В связи с чем, учитывая сложившуюся экономию по данной статье за истекший период 2022 года, Департамент считает экономически необоснованным учет дополнительных средств по данной статье в составе неподконтрольных расходов филиала «Ивэнерго» на 2023 год. </w:t>
      </w:r>
    </w:p>
    <w:p w:rsidR="005657C9" w:rsidRPr="000803B1" w:rsidRDefault="005657C9" w:rsidP="005657C9">
      <w:pPr>
        <w:widowControl/>
        <w:ind w:firstLine="567"/>
        <w:contextualSpacing/>
        <w:jc w:val="both"/>
        <w:rPr>
          <w:rFonts w:eastAsia="Calibri"/>
          <w:i/>
          <w:sz w:val="24"/>
          <w:szCs w:val="24"/>
          <w:lang w:eastAsia="en-US"/>
        </w:rPr>
      </w:pPr>
      <w:r w:rsidRPr="000803B1">
        <w:rPr>
          <w:rFonts w:eastAsia="Calibri"/>
          <w:i/>
          <w:sz w:val="24"/>
          <w:szCs w:val="24"/>
          <w:lang w:eastAsia="en-US"/>
        </w:rPr>
        <w:t>- Утилизация отходов I и II класса опасности</w:t>
      </w:r>
      <w:r w:rsidR="000803B1" w:rsidRPr="000803B1">
        <w:rPr>
          <w:rFonts w:eastAsia="Calibri"/>
          <w:i/>
          <w:sz w:val="24"/>
          <w:szCs w:val="24"/>
          <w:lang w:eastAsia="en-US"/>
        </w:rPr>
        <w:t>.</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t>Расходы по данной статье не приняты Департаментом по причине не предоставления заключенного договора с ФГУП «ФЭО».</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t xml:space="preserve">Филиал «Ивэнерго» отмечает, что типовая форма не предусматривает заключение договора с отлагательным действием, что подтверждается положениями Федерального закона от 24.06.1998 </w:t>
      </w:r>
      <w:r w:rsidR="000803B1" w:rsidRPr="000803B1">
        <w:rPr>
          <w:rFonts w:eastAsia="Calibri"/>
          <w:sz w:val="24"/>
          <w:szCs w:val="24"/>
          <w:lang w:eastAsia="en-US"/>
        </w:rPr>
        <w:t xml:space="preserve">   </w:t>
      </w:r>
      <w:r w:rsidRPr="000803B1">
        <w:rPr>
          <w:rFonts w:eastAsia="Calibri"/>
          <w:sz w:val="24"/>
          <w:szCs w:val="24"/>
          <w:lang w:eastAsia="en-US"/>
        </w:rPr>
        <w:t>№ 89-ФЗ «Об отходах производства и потребления».</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t>Утилизация полихлорированных бифенилов в соответствии с представленным филиалом «Ивэнерго» графиком вывода из эксплуатации ПХБ-содержащего оборудования (далее по тексту – График) запланирована на 2023 год.</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lastRenderedPageBreak/>
        <w:t>В настоящий момент оборудование на подстанции «Ивановская-7» находится в составе работающих установок.</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t xml:space="preserve">Организационное и информационное обеспечение деятельности по обращению с отходами I и II классов осуществляется на площадке единой цифровой платформы – федеральной государственной информационной системы учета и </w:t>
      </w:r>
      <w:proofErr w:type="gramStart"/>
      <w:r w:rsidRPr="000803B1">
        <w:rPr>
          <w:rFonts w:eastAsia="Calibri"/>
          <w:sz w:val="24"/>
          <w:szCs w:val="24"/>
          <w:lang w:eastAsia="en-US"/>
        </w:rPr>
        <w:t>контроля за</w:t>
      </w:r>
      <w:proofErr w:type="gramEnd"/>
      <w:r w:rsidRPr="000803B1">
        <w:rPr>
          <w:rFonts w:eastAsia="Calibri"/>
          <w:sz w:val="24"/>
          <w:szCs w:val="24"/>
          <w:lang w:eastAsia="en-US"/>
        </w:rPr>
        <w:t xml:space="preserve"> обращением с отходами I и II классов опасности (ФГИС ОПВК). </w:t>
      </w:r>
    </w:p>
    <w:p w:rsidR="005657C9" w:rsidRPr="000803B1" w:rsidRDefault="005657C9" w:rsidP="005657C9">
      <w:pPr>
        <w:widowControl/>
        <w:ind w:firstLine="567"/>
        <w:contextualSpacing/>
        <w:jc w:val="both"/>
        <w:rPr>
          <w:rFonts w:eastAsia="Calibri"/>
          <w:sz w:val="24"/>
          <w:szCs w:val="24"/>
          <w:lang w:eastAsia="en-US"/>
        </w:rPr>
      </w:pPr>
      <w:r w:rsidRPr="000803B1">
        <w:rPr>
          <w:rFonts w:eastAsia="Calibri"/>
          <w:sz w:val="24"/>
          <w:szCs w:val="24"/>
          <w:lang w:eastAsia="en-US"/>
        </w:rPr>
        <w:t>Заключение договора в 2022 году предусматривает исполнение обязательств в текущем году. Поскольку в соответствии с Графиком вывод и утилизация отходов запланирован</w:t>
      </w:r>
      <w:r w:rsidR="000803B1" w:rsidRPr="000803B1">
        <w:rPr>
          <w:rFonts w:eastAsia="Calibri"/>
          <w:sz w:val="24"/>
          <w:szCs w:val="24"/>
          <w:lang w:eastAsia="en-US"/>
        </w:rPr>
        <w:t>ы</w:t>
      </w:r>
      <w:r w:rsidRPr="000803B1">
        <w:rPr>
          <w:rFonts w:eastAsia="Calibri"/>
          <w:sz w:val="24"/>
          <w:szCs w:val="24"/>
          <w:lang w:eastAsia="en-US"/>
        </w:rPr>
        <w:t xml:space="preserve"> на 2023 год, заключение договора возможно только в 2023 году.</w:t>
      </w:r>
    </w:p>
    <w:p w:rsidR="005657C9" w:rsidRPr="002E3372" w:rsidRDefault="005657C9" w:rsidP="005657C9">
      <w:pPr>
        <w:widowControl/>
        <w:ind w:firstLine="567"/>
        <w:contextualSpacing/>
        <w:jc w:val="both"/>
        <w:rPr>
          <w:rFonts w:eastAsia="Calibri"/>
          <w:sz w:val="24"/>
          <w:szCs w:val="24"/>
          <w:lang w:eastAsia="en-US"/>
        </w:rPr>
      </w:pPr>
      <w:r w:rsidRPr="002E3372">
        <w:rPr>
          <w:rFonts w:eastAsia="Calibri"/>
          <w:sz w:val="24"/>
          <w:szCs w:val="24"/>
          <w:lang w:eastAsia="en-US"/>
        </w:rPr>
        <w:t>В предложениях филиала «Ивэнерго» по расчету тарифов на 2023 год представлена информация о сроках и последствиях невыполнения обязательств по соблюдению экологических требований при обращении с отходами производства и потребления, а значительный объем выпадающих доходов по факту деятельности за 2016-2021 гг., не учитываемых в составе необходимой валовой выручки филиала «Ивэнерго» на 2023 год, не позволит компенсировать значительный объем расходов по данной статье в короткие сроки.</w:t>
      </w:r>
    </w:p>
    <w:p w:rsidR="005657C9" w:rsidRPr="002E3372" w:rsidRDefault="005657C9" w:rsidP="005657C9">
      <w:pPr>
        <w:widowControl/>
        <w:ind w:firstLine="567"/>
        <w:contextualSpacing/>
        <w:jc w:val="both"/>
        <w:rPr>
          <w:rFonts w:eastAsia="Calibri"/>
          <w:b/>
          <w:sz w:val="24"/>
          <w:szCs w:val="24"/>
          <w:lang w:eastAsia="en-US"/>
        </w:rPr>
      </w:pPr>
      <w:r w:rsidRPr="002E3372">
        <w:rPr>
          <w:rFonts w:eastAsia="Calibri"/>
          <w:sz w:val="24"/>
          <w:szCs w:val="24"/>
          <w:lang w:eastAsia="en-US"/>
        </w:rPr>
        <w:t>Учитывая данные обстоятельства, филиал «Ивэнерго» считает необходимым учесть в необходимой валовой выручке на 2023 год заявленные расходы по утилизации отходов I и II класса опасности в размере 2 910 тыс. руб.</w:t>
      </w:r>
    </w:p>
    <w:p w:rsidR="005657C9" w:rsidRPr="002E3372" w:rsidRDefault="002E3372" w:rsidP="005657C9">
      <w:pPr>
        <w:widowControl/>
        <w:ind w:firstLine="567"/>
        <w:contextualSpacing/>
        <w:jc w:val="both"/>
        <w:rPr>
          <w:rFonts w:eastAsia="Calibri"/>
          <w:sz w:val="24"/>
          <w:szCs w:val="24"/>
          <w:lang w:eastAsia="en-US"/>
        </w:rPr>
      </w:pPr>
      <w:r w:rsidRPr="002E3372">
        <w:rPr>
          <w:rFonts w:eastAsia="Calibri"/>
          <w:sz w:val="24"/>
          <w:szCs w:val="24"/>
          <w:lang w:eastAsia="en-US"/>
        </w:rPr>
        <w:t>Департамент по вышеперечисленным доводам отмечает следующее.</w:t>
      </w:r>
    </w:p>
    <w:p w:rsidR="005657C9" w:rsidRPr="00CF4FEE" w:rsidRDefault="00CF4FEE" w:rsidP="005657C9">
      <w:pPr>
        <w:widowControl/>
        <w:ind w:firstLine="567"/>
        <w:contextualSpacing/>
        <w:jc w:val="both"/>
        <w:rPr>
          <w:rFonts w:eastAsia="Calibri"/>
          <w:sz w:val="24"/>
          <w:szCs w:val="24"/>
          <w:lang w:eastAsia="en-US"/>
        </w:rPr>
      </w:pPr>
      <w:proofErr w:type="gramStart"/>
      <w:r w:rsidRPr="00CF4FEE">
        <w:rPr>
          <w:rFonts w:eastAsia="Calibri"/>
          <w:sz w:val="24"/>
          <w:szCs w:val="24"/>
          <w:lang w:eastAsia="en-US"/>
        </w:rPr>
        <w:t>В связи с отсутствием у филиала «Ивэнерго» фактических расходов по данной статье в предыдущие периоды регулирования, в том числе за истекший период 2022 года, а также отсутствием заключенных договоров с ФГУП «ФЭО» Департамент считает целесообразным и экономически обоснованным учет данных расходов в последующих периодах регулирования на основании анализа фактических расходов филиала «Ивэнерго» по данной статье.</w:t>
      </w:r>
      <w:proofErr w:type="gramEnd"/>
    </w:p>
    <w:p w:rsidR="00CF4FEE" w:rsidRPr="00CF4FEE" w:rsidRDefault="00CF4FEE" w:rsidP="005657C9">
      <w:pPr>
        <w:widowControl/>
        <w:ind w:firstLine="567"/>
        <w:contextualSpacing/>
        <w:jc w:val="both"/>
        <w:rPr>
          <w:rFonts w:eastAsia="Calibri"/>
          <w:sz w:val="24"/>
          <w:szCs w:val="24"/>
          <w:lang w:eastAsia="en-US"/>
        </w:rPr>
      </w:pPr>
    </w:p>
    <w:p w:rsidR="005657C9" w:rsidRPr="00CF4FEE" w:rsidRDefault="005657C9" w:rsidP="00CF4FEE">
      <w:pPr>
        <w:widowControl/>
        <w:numPr>
          <w:ilvl w:val="0"/>
          <w:numId w:val="35"/>
        </w:numPr>
        <w:tabs>
          <w:tab w:val="left" w:pos="993"/>
        </w:tabs>
        <w:suppressAutoHyphens/>
        <w:spacing w:after="200"/>
        <w:ind w:left="0" w:firstLine="567"/>
        <w:contextualSpacing/>
        <w:jc w:val="both"/>
        <w:rPr>
          <w:rFonts w:eastAsia="Calibri"/>
          <w:i/>
          <w:sz w:val="24"/>
          <w:szCs w:val="24"/>
          <w:lang w:eastAsia="en-US"/>
        </w:rPr>
      </w:pPr>
      <w:r w:rsidRPr="00CF4FEE">
        <w:rPr>
          <w:rFonts w:eastAsia="Calibri"/>
          <w:i/>
          <w:sz w:val="24"/>
          <w:szCs w:val="24"/>
          <w:lang w:eastAsia="en-US"/>
        </w:rPr>
        <w:t>Корректировка по неисполнению (изменению) инвестиционной программы за 202</w:t>
      </w:r>
      <w:r w:rsidR="00CF4FEE" w:rsidRPr="00CF4FEE">
        <w:rPr>
          <w:rFonts w:eastAsia="Calibri"/>
          <w:i/>
          <w:sz w:val="24"/>
          <w:szCs w:val="24"/>
          <w:lang w:eastAsia="en-US"/>
        </w:rPr>
        <w:t xml:space="preserve">1 </w:t>
      </w:r>
      <w:r w:rsidRPr="00CF4FEE">
        <w:rPr>
          <w:rFonts w:eastAsia="Calibri"/>
          <w:i/>
          <w:sz w:val="24"/>
          <w:szCs w:val="24"/>
          <w:lang w:eastAsia="en-US"/>
        </w:rPr>
        <w:t>год</w:t>
      </w:r>
    </w:p>
    <w:p w:rsidR="005657C9" w:rsidRPr="001C6E2F" w:rsidRDefault="001C6E2F" w:rsidP="00CF4FEE">
      <w:pPr>
        <w:widowControl/>
        <w:ind w:firstLine="567"/>
        <w:contextualSpacing/>
        <w:jc w:val="both"/>
        <w:rPr>
          <w:rFonts w:eastAsia="Calibri"/>
          <w:sz w:val="24"/>
          <w:szCs w:val="24"/>
          <w:lang w:eastAsia="en-US"/>
        </w:rPr>
      </w:pPr>
      <w:r w:rsidRPr="001C6E2F">
        <w:rPr>
          <w:rFonts w:eastAsia="Calibri"/>
          <w:sz w:val="24"/>
          <w:szCs w:val="24"/>
          <w:lang w:eastAsia="en-US"/>
        </w:rPr>
        <w:t>Департамент</w:t>
      </w:r>
      <w:r w:rsidR="005657C9" w:rsidRPr="001C6E2F">
        <w:rPr>
          <w:rFonts w:eastAsia="Calibri"/>
          <w:sz w:val="24"/>
          <w:szCs w:val="24"/>
          <w:lang w:eastAsia="en-US"/>
        </w:rPr>
        <w:t xml:space="preserve"> в предложениях от 23.11.2022 года определил величину корректировки НВВ по факту неисполнения (изменения) инвестиционной программы за 2021 год в размере (-) 13 129,71 тыс. руб. с учетом ИПЦ</w:t>
      </w:r>
      <w:r w:rsidRPr="001C6E2F">
        <w:rPr>
          <w:rFonts w:eastAsia="Calibri"/>
          <w:sz w:val="24"/>
          <w:szCs w:val="24"/>
          <w:lang w:eastAsia="en-US"/>
        </w:rPr>
        <w:t>,</w:t>
      </w:r>
      <w:r w:rsidR="005657C9" w:rsidRPr="001C6E2F">
        <w:rPr>
          <w:rFonts w:eastAsia="Calibri"/>
          <w:sz w:val="24"/>
          <w:szCs w:val="24"/>
          <w:lang w:eastAsia="en-US"/>
        </w:rPr>
        <w:t xml:space="preserve"> вместо заявленных филиалом </w:t>
      </w:r>
      <w:r w:rsidRPr="001C6E2F">
        <w:rPr>
          <w:rFonts w:eastAsia="Calibri"/>
          <w:sz w:val="24"/>
          <w:szCs w:val="24"/>
          <w:lang w:eastAsia="en-US"/>
        </w:rPr>
        <w:t xml:space="preserve">- </w:t>
      </w:r>
      <w:r w:rsidR="005657C9" w:rsidRPr="001C6E2F">
        <w:rPr>
          <w:rFonts w:eastAsia="Calibri"/>
          <w:sz w:val="24"/>
          <w:szCs w:val="24"/>
          <w:lang w:eastAsia="en-US"/>
        </w:rPr>
        <w:t>36 519,38 тыс. руб.</w:t>
      </w:r>
    </w:p>
    <w:p w:rsidR="005657C9" w:rsidRPr="00473BF9" w:rsidRDefault="00473BF9" w:rsidP="005657C9">
      <w:pPr>
        <w:widowControl/>
        <w:ind w:firstLine="567"/>
        <w:contextualSpacing/>
        <w:jc w:val="both"/>
        <w:rPr>
          <w:rFonts w:eastAsia="Calibri"/>
          <w:sz w:val="24"/>
          <w:szCs w:val="24"/>
          <w:lang w:eastAsia="en-US"/>
        </w:rPr>
      </w:pPr>
      <w:r w:rsidRPr="00473BF9">
        <w:rPr>
          <w:rFonts w:eastAsia="Calibri"/>
          <w:sz w:val="24"/>
          <w:szCs w:val="24"/>
          <w:lang w:eastAsia="en-US"/>
        </w:rPr>
        <w:t>Филиал «Ивэнерго»</w:t>
      </w:r>
      <w:r w:rsidR="005657C9" w:rsidRPr="00473BF9">
        <w:rPr>
          <w:rFonts w:eastAsia="Calibri"/>
          <w:sz w:val="24"/>
          <w:szCs w:val="24"/>
          <w:lang w:eastAsia="en-US"/>
        </w:rPr>
        <w:t>, отмечае</w:t>
      </w:r>
      <w:r w:rsidRPr="00473BF9">
        <w:rPr>
          <w:rFonts w:eastAsia="Calibri"/>
          <w:sz w:val="24"/>
          <w:szCs w:val="24"/>
          <w:lang w:eastAsia="en-US"/>
        </w:rPr>
        <w:t>т,</w:t>
      </w:r>
      <w:r w:rsidR="005657C9" w:rsidRPr="00473BF9">
        <w:rPr>
          <w:rFonts w:eastAsia="Calibri"/>
          <w:sz w:val="24"/>
          <w:szCs w:val="24"/>
          <w:lang w:eastAsia="en-US"/>
        </w:rPr>
        <w:t xml:space="preserve"> что при проведении оценки исполнения инвестиционной программы </w:t>
      </w:r>
      <w:r w:rsidRPr="00473BF9">
        <w:rPr>
          <w:rFonts w:eastAsia="Calibri"/>
          <w:sz w:val="24"/>
          <w:szCs w:val="24"/>
          <w:lang w:eastAsia="en-US"/>
        </w:rPr>
        <w:t>Департамент</w:t>
      </w:r>
      <w:r w:rsidR="005657C9" w:rsidRPr="00473BF9">
        <w:rPr>
          <w:rFonts w:eastAsia="Calibri"/>
          <w:sz w:val="24"/>
          <w:szCs w:val="24"/>
          <w:lang w:eastAsia="en-US"/>
        </w:rPr>
        <w:t xml:space="preserve"> неверно применяет формулу (9) Метод</w:t>
      </w:r>
      <w:r w:rsidRPr="00473BF9">
        <w:rPr>
          <w:rFonts w:eastAsia="Calibri"/>
          <w:sz w:val="24"/>
          <w:szCs w:val="24"/>
          <w:lang w:eastAsia="en-US"/>
        </w:rPr>
        <w:t>ических указаний, утвержденных п</w:t>
      </w:r>
      <w:r w:rsidR="005657C9" w:rsidRPr="00473BF9">
        <w:rPr>
          <w:rFonts w:eastAsia="Calibri"/>
          <w:sz w:val="24"/>
          <w:szCs w:val="24"/>
          <w:lang w:eastAsia="en-US"/>
        </w:rPr>
        <w:t>риказом ФСТ России от 17.02.2012 № 98-э, а именно:</w:t>
      </w:r>
    </w:p>
    <w:p w:rsidR="005657C9" w:rsidRPr="00876CAB" w:rsidRDefault="005657C9" w:rsidP="005657C9">
      <w:pPr>
        <w:widowControl/>
        <w:ind w:firstLine="567"/>
        <w:contextualSpacing/>
        <w:jc w:val="both"/>
        <w:rPr>
          <w:rFonts w:eastAsia="Calibri"/>
          <w:sz w:val="24"/>
          <w:szCs w:val="24"/>
          <w:lang w:eastAsia="en-US"/>
        </w:rPr>
      </w:pPr>
      <w:r w:rsidRPr="00876CAB">
        <w:rPr>
          <w:rFonts w:eastAsia="Calibri"/>
          <w:sz w:val="24"/>
          <w:szCs w:val="24"/>
          <w:lang w:eastAsia="en-US"/>
        </w:rPr>
        <w:t>в качестве планового размера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(254 528 тыс. руб.) Департамент принимает расчетную величину собственных средств для финансирования инвестиционной программы, учтенную при установлении тарифов в году i-2 (257 302 тыс. руб.).</w:t>
      </w:r>
    </w:p>
    <w:p w:rsidR="005657C9" w:rsidRPr="00876CAB" w:rsidRDefault="005657C9" w:rsidP="005657C9">
      <w:pPr>
        <w:widowControl/>
        <w:ind w:firstLine="567"/>
        <w:contextualSpacing/>
        <w:jc w:val="both"/>
        <w:rPr>
          <w:rFonts w:eastAsia="Calibri"/>
          <w:sz w:val="24"/>
          <w:szCs w:val="24"/>
          <w:lang w:eastAsia="en-US"/>
        </w:rPr>
      </w:pPr>
      <w:r w:rsidRPr="00876CAB">
        <w:rPr>
          <w:rFonts w:eastAsia="Calibri"/>
          <w:sz w:val="24"/>
          <w:szCs w:val="24"/>
          <w:lang w:eastAsia="en-US"/>
        </w:rPr>
        <w:t>При этом орган регулирования ссылается на решение ФАС России от 27.07.2022 года, в соответствии с которым ФАС России указала на недопустимость принятия в расчет корректировки НВВ по факту неисполнения инвестиционной программы в качестве показателя «Плановый размер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регулируемым ценам (тарифам)) без НДС» суммы собственных средств выше, учтенной регулятором в составе необходимой валовой выручки по тарифно-балансовому решению на отчетный год.</w:t>
      </w:r>
    </w:p>
    <w:p w:rsidR="005657C9" w:rsidRPr="00876CAB" w:rsidRDefault="005657C9" w:rsidP="005657C9">
      <w:pPr>
        <w:widowControl/>
        <w:ind w:firstLine="567"/>
        <w:contextualSpacing/>
        <w:jc w:val="both"/>
        <w:rPr>
          <w:rFonts w:eastAsia="Calibri"/>
          <w:sz w:val="24"/>
          <w:szCs w:val="24"/>
          <w:lang w:eastAsia="en-US"/>
        </w:rPr>
      </w:pPr>
      <w:r w:rsidRPr="00876CAB">
        <w:rPr>
          <w:rFonts w:eastAsia="Calibri"/>
          <w:sz w:val="24"/>
          <w:szCs w:val="24"/>
          <w:lang w:eastAsia="en-US"/>
        </w:rPr>
        <w:t>Вместе с тем, отмечаем, что ФАС России в своем решении не указала на необходимость применения аналогичного подхода в случае, если плановый размер финансирования инвестиционной программы ниже размера амортизационных отчислений, учтенных органом регулирования при установлении тарифов на соответствующий отчетный год.</w:t>
      </w:r>
    </w:p>
    <w:p w:rsidR="005657C9" w:rsidRPr="00F16252" w:rsidRDefault="005657C9" w:rsidP="005657C9">
      <w:pPr>
        <w:widowControl/>
        <w:ind w:firstLine="567"/>
        <w:contextualSpacing/>
        <w:jc w:val="both"/>
        <w:rPr>
          <w:rFonts w:eastAsia="Calibri"/>
          <w:sz w:val="24"/>
          <w:szCs w:val="24"/>
          <w:lang w:eastAsia="en-US"/>
        </w:rPr>
      </w:pPr>
      <w:r w:rsidRPr="00F16252">
        <w:rPr>
          <w:rFonts w:eastAsia="Calibri"/>
          <w:sz w:val="24"/>
          <w:szCs w:val="24"/>
          <w:lang w:eastAsia="en-US"/>
        </w:rPr>
        <w:t>Учитывая, что величина собственных сре</w:t>
      </w:r>
      <w:proofErr w:type="gramStart"/>
      <w:r w:rsidRPr="00F16252">
        <w:rPr>
          <w:rFonts w:eastAsia="Calibri"/>
          <w:sz w:val="24"/>
          <w:szCs w:val="24"/>
          <w:lang w:eastAsia="en-US"/>
        </w:rPr>
        <w:t>дств пр</w:t>
      </w:r>
      <w:proofErr w:type="gramEnd"/>
      <w:r w:rsidRPr="00F16252">
        <w:rPr>
          <w:rFonts w:eastAsia="Calibri"/>
          <w:sz w:val="24"/>
          <w:szCs w:val="24"/>
          <w:lang w:eastAsia="en-US"/>
        </w:rPr>
        <w:t xml:space="preserve">евышает плановый размер финансирования инвестиционной программы, </w:t>
      </w:r>
      <w:r w:rsidR="00876CAB" w:rsidRPr="00F16252">
        <w:rPr>
          <w:rFonts w:eastAsia="Calibri"/>
          <w:sz w:val="24"/>
          <w:szCs w:val="24"/>
          <w:lang w:eastAsia="en-US"/>
        </w:rPr>
        <w:t>утвержденной (скорректированной) в установленном порядке на год (i-</w:t>
      </w:r>
      <w:r w:rsidR="00876CAB" w:rsidRPr="00F16252">
        <w:rPr>
          <w:rFonts w:eastAsia="Calibri"/>
          <w:sz w:val="24"/>
          <w:szCs w:val="24"/>
          <w:lang w:eastAsia="en-US"/>
        </w:rPr>
        <w:lastRenderedPageBreak/>
        <w:t xml:space="preserve">2) до его начала, </w:t>
      </w:r>
      <w:r w:rsidRPr="00F16252">
        <w:rPr>
          <w:rFonts w:eastAsia="Calibri"/>
          <w:sz w:val="24"/>
          <w:szCs w:val="24"/>
          <w:lang w:eastAsia="en-US"/>
        </w:rPr>
        <w:t>подход регулятора приводит к необоснованному увеличению отрицательной корректировки НВВ филиала.</w:t>
      </w:r>
    </w:p>
    <w:p w:rsidR="005657C9" w:rsidRPr="00F16252" w:rsidRDefault="005657C9" w:rsidP="005657C9">
      <w:pPr>
        <w:widowControl/>
        <w:ind w:firstLine="567"/>
        <w:contextualSpacing/>
        <w:jc w:val="both"/>
        <w:rPr>
          <w:rFonts w:eastAsia="Calibri"/>
          <w:sz w:val="24"/>
          <w:szCs w:val="24"/>
          <w:lang w:eastAsia="en-US"/>
        </w:rPr>
      </w:pPr>
      <w:proofErr w:type="gramStart"/>
      <w:r w:rsidRPr="00F16252">
        <w:rPr>
          <w:rFonts w:eastAsia="Calibri"/>
          <w:sz w:val="24"/>
          <w:szCs w:val="24"/>
          <w:lang w:eastAsia="en-US"/>
        </w:rPr>
        <w:t xml:space="preserve">На основании изложенного, </w:t>
      </w:r>
      <w:r w:rsidR="00F16252" w:rsidRPr="00F16252">
        <w:rPr>
          <w:rFonts w:eastAsia="Calibri"/>
          <w:sz w:val="24"/>
          <w:szCs w:val="24"/>
          <w:lang w:eastAsia="en-US"/>
        </w:rPr>
        <w:t xml:space="preserve">филиал «Ивэнерго» </w:t>
      </w:r>
      <w:r w:rsidRPr="00F16252">
        <w:rPr>
          <w:rFonts w:eastAsia="Calibri"/>
          <w:sz w:val="24"/>
          <w:szCs w:val="24"/>
          <w:lang w:eastAsia="en-US"/>
        </w:rPr>
        <w:t>считае</w:t>
      </w:r>
      <w:r w:rsidR="00F16252" w:rsidRPr="00F16252">
        <w:rPr>
          <w:rFonts w:eastAsia="Calibri"/>
          <w:sz w:val="24"/>
          <w:szCs w:val="24"/>
          <w:lang w:eastAsia="en-US"/>
        </w:rPr>
        <w:t>т</w:t>
      </w:r>
      <w:r w:rsidRPr="00F16252">
        <w:rPr>
          <w:rFonts w:eastAsia="Calibri"/>
          <w:sz w:val="24"/>
          <w:szCs w:val="24"/>
          <w:lang w:eastAsia="en-US"/>
        </w:rPr>
        <w:t xml:space="preserve"> правомерным использование в расчете корректировки по факту неисполнения инвестиционной программы по факту 2021 года в качестве показателя «Плановый размер финансирования инвестиционной программы, представляющей собой совокупность инвестиционных проектов, утвержденной (скорректированной) в установленном порядке на год (i-2) до его начала, за счет собственных средств (выручки от реализации товаров (услуг) по регулиру</w:t>
      </w:r>
      <w:r w:rsidR="00F16252" w:rsidRPr="00F16252">
        <w:rPr>
          <w:rFonts w:eastAsia="Calibri"/>
          <w:sz w:val="24"/>
          <w:szCs w:val="24"/>
          <w:lang w:eastAsia="en-US"/>
        </w:rPr>
        <w:t xml:space="preserve">емым ценам (тарифам)) без НДС» </w:t>
      </w:r>
      <w:r w:rsidRPr="00F16252">
        <w:rPr>
          <w:rFonts w:eastAsia="Calibri"/>
          <w:sz w:val="24"/>
          <w:szCs w:val="24"/>
          <w:lang w:eastAsia="en-US"/>
        </w:rPr>
        <w:t>величину</w:t>
      </w:r>
      <w:proofErr w:type="gramEnd"/>
      <w:r w:rsidRPr="00F16252">
        <w:rPr>
          <w:rFonts w:eastAsia="Calibri"/>
          <w:sz w:val="24"/>
          <w:szCs w:val="24"/>
          <w:lang w:eastAsia="en-US"/>
        </w:rPr>
        <w:t xml:space="preserve"> собственных сре</w:t>
      </w:r>
      <w:proofErr w:type="gramStart"/>
      <w:r w:rsidRPr="00F16252">
        <w:rPr>
          <w:rFonts w:eastAsia="Calibri"/>
          <w:sz w:val="24"/>
          <w:szCs w:val="24"/>
          <w:lang w:eastAsia="en-US"/>
        </w:rPr>
        <w:t>дств в с</w:t>
      </w:r>
      <w:proofErr w:type="gramEnd"/>
      <w:r w:rsidRPr="00F16252">
        <w:rPr>
          <w:rFonts w:eastAsia="Calibri"/>
          <w:sz w:val="24"/>
          <w:szCs w:val="24"/>
          <w:lang w:eastAsia="en-US"/>
        </w:rPr>
        <w:t xml:space="preserve">оответствии с приказом Минэнерго России от 14.12.2020 №12@, действующего на момент принятия тарифно-балансового решения на 2021 год. </w:t>
      </w:r>
    </w:p>
    <w:p w:rsidR="005657C9" w:rsidRPr="00EF043D" w:rsidRDefault="00F16252" w:rsidP="005657C9">
      <w:pPr>
        <w:widowControl/>
        <w:ind w:firstLine="567"/>
        <w:contextualSpacing/>
        <w:jc w:val="both"/>
        <w:rPr>
          <w:rFonts w:eastAsia="Calibri"/>
          <w:sz w:val="24"/>
          <w:szCs w:val="24"/>
          <w:lang w:eastAsia="en-US"/>
        </w:rPr>
      </w:pPr>
      <w:r w:rsidRPr="00EF043D">
        <w:rPr>
          <w:rFonts w:eastAsia="Calibri"/>
          <w:sz w:val="24"/>
          <w:szCs w:val="24"/>
          <w:lang w:eastAsia="en-US"/>
        </w:rPr>
        <w:t>Департамент по вышеперечисленным доводам отмечает</w:t>
      </w:r>
      <w:r w:rsidR="00236CD7">
        <w:rPr>
          <w:rFonts w:eastAsia="Calibri"/>
          <w:sz w:val="24"/>
          <w:szCs w:val="24"/>
          <w:lang w:eastAsia="en-US"/>
        </w:rPr>
        <w:t xml:space="preserve">, что </w:t>
      </w:r>
      <w:r w:rsidR="00796DE0">
        <w:rPr>
          <w:rFonts w:eastAsia="Calibri"/>
          <w:sz w:val="24"/>
          <w:szCs w:val="24"/>
          <w:lang w:eastAsia="en-US"/>
        </w:rPr>
        <w:t>вышеуказанная</w:t>
      </w:r>
      <w:r w:rsidR="00236CD7">
        <w:rPr>
          <w:rFonts w:eastAsia="Calibri"/>
          <w:sz w:val="24"/>
          <w:szCs w:val="24"/>
          <w:lang w:eastAsia="en-US"/>
        </w:rPr>
        <w:t xml:space="preserve"> позиция филиала «Ивэнерго» не соответствует подходу, изложенному в Решении ФАС России </w:t>
      </w:r>
      <w:r w:rsidR="00236CD7" w:rsidRPr="00236CD7">
        <w:rPr>
          <w:rFonts w:eastAsia="Calibri"/>
          <w:sz w:val="24"/>
          <w:szCs w:val="24"/>
          <w:lang w:eastAsia="en-US"/>
        </w:rPr>
        <w:t>от 27.07.2022 года</w:t>
      </w:r>
      <w:r w:rsidR="00796DE0">
        <w:rPr>
          <w:rFonts w:eastAsia="Calibri"/>
          <w:sz w:val="24"/>
          <w:szCs w:val="24"/>
          <w:lang w:eastAsia="en-US"/>
        </w:rPr>
        <w:t>, является экономически необоснованной и не соответствует действующему законодательству.</w:t>
      </w:r>
    </w:p>
    <w:p w:rsidR="00412FA2" w:rsidRPr="000034F9" w:rsidRDefault="00796DE0" w:rsidP="009C2D1B">
      <w:pPr>
        <w:widowControl/>
        <w:ind w:firstLine="567"/>
        <w:contextualSpacing/>
        <w:jc w:val="both"/>
        <w:rPr>
          <w:rFonts w:eastAsia="Calibri"/>
          <w:sz w:val="24"/>
          <w:szCs w:val="24"/>
          <w:lang w:eastAsia="en-US"/>
        </w:rPr>
      </w:pPr>
      <w:proofErr w:type="gramStart"/>
      <w:r w:rsidRPr="000034F9">
        <w:rPr>
          <w:rFonts w:eastAsia="Calibri"/>
          <w:sz w:val="24"/>
          <w:szCs w:val="24"/>
          <w:lang w:eastAsia="en-US"/>
        </w:rPr>
        <w:t>Так, в</w:t>
      </w:r>
      <w:r w:rsidR="00236CD7" w:rsidRPr="000034F9">
        <w:rPr>
          <w:rFonts w:eastAsia="Calibri"/>
          <w:sz w:val="24"/>
          <w:szCs w:val="24"/>
          <w:lang w:eastAsia="en-US"/>
        </w:rPr>
        <w:t xml:space="preserve"> случае применения Департаментом предлагаемого филиалом «Ивэнерго» подхода по определению планового размера финансирования инвестиционной программы, представляющей собой совокупность инвестиционных проектов, на 2021 год подлежит иной оценке </w:t>
      </w:r>
      <w:r w:rsidR="00503415" w:rsidRPr="000034F9">
        <w:rPr>
          <w:rFonts w:eastAsia="Calibri"/>
          <w:sz w:val="24"/>
          <w:szCs w:val="24"/>
          <w:lang w:eastAsia="en-US"/>
        </w:rPr>
        <w:t>и объем фактического финансирования инвестиционной программы, представляющей собой совокупность инвестиционных проектов, а именно анализу должны будут подлежать только инвестиционные проекты и их объем финансирования, указанные в утвержденной (скорректированной) в установленном порядке на год</w:t>
      </w:r>
      <w:proofErr w:type="gramEnd"/>
      <w:r w:rsidR="00503415" w:rsidRPr="000034F9">
        <w:rPr>
          <w:rFonts w:eastAsia="Calibri"/>
          <w:sz w:val="24"/>
          <w:szCs w:val="24"/>
          <w:lang w:eastAsia="en-US"/>
        </w:rPr>
        <w:t xml:space="preserve"> (</w:t>
      </w:r>
      <w:proofErr w:type="gramStart"/>
      <w:r w:rsidR="00503415" w:rsidRPr="000034F9">
        <w:rPr>
          <w:rFonts w:eastAsia="Calibri"/>
          <w:sz w:val="24"/>
          <w:szCs w:val="24"/>
          <w:lang w:eastAsia="en-US"/>
        </w:rPr>
        <w:t>i-2) до его начала инвестиционной программе (приказ Минэнерго России от 14.12.2020 №12@), без учета инвестиционных проектов и объемов их фактического финансирования, указ</w:t>
      </w:r>
      <w:r w:rsidR="00EB1E8D" w:rsidRPr="000034F9">
        <w:rPr>
          <w:rFonts w:eastAsia="Calibri"/>
          <w:sz w:val="24"/>
          <w:szCs w:val="24"/>
          <w:lang w:eastAsia="en-US"/>
        </w:rPr>
        <w:t>а</w:t>
      </w:r>
      <w:r w:rsidR="00503415" w:rsidRPr="000034F9">
        <w:rPr>
          <w:rFonts w:eastAsia="Calibri"/>
          <w:sz w:val="24"/>
          <w:szCs w:val="24"/>
          <w:lang w:eastAsia="en-US"/>
        </w:rPr>
        <w:t xml:space="preserve">нных в утвержденной инвестиционной программе в соответствии с приказом Минэнерго России </w:t>
      </w:r>
      <w:r w:rsidR="004271A1" w:rsidRPr="000034F9">
        <w:rPr>
          <w:rFonts w:eastAsia="Calibri"/>
          <w:sz w:val="24"/>
          <w:szCs w:val="24"/>
          <w:lang w:eastAsia="en-US"/>
        </w:rPr>
        <w:t xml:space="preserve">от 22.12.2021 </w:t>
      </w:r>
      <w:r w:rsidRPr="000034F9">
        <w:rPr>
          <w:rFonts w:eastAsia="Calibri"/>
          <w:sz w:val="24"/>
          <w:szCs w:val="24"/>
          <w:lang w:eastAsia="en-US"/>
        </w:rPr>
        <w:t>№24@</w:t>
      </w:r>
      <w:r w:rsidR="004271A1" w:rsidRPr="000034F9">
        <w:rPr>
          <w:rFonts w:eastAsia="Calibri"/>
          <w:sz w:val="24"/>
          <w:szCs w:val="24"/>
          <w:lang w:eastAsia="en-US"/>
        </w:rPr>
        <w:t xml:space="preserve"> (данная позиция подтверждена решением Ивановского областного суда </w:t>
      </w:r>
      <w:r w:rsidR="00015145" w:rsidRPr="000034F9">
        <w:rPr>
          <w:rFonts w:eastAsia="Calibri"/>
          <w:sz w:val="24"/>
          <w:szCs w:val="24"/>
          <w:lang w:eastAsia="en-US"/>
        </w:rPr>
        <w:t>по делу</w:t>
      </w:r>
      <w:r w:rsidR="004271A1" w:rsidRPr="000034F9">
        <w:rPr>
          <w:rFonts w:eastAsia="Calibri"/>
          <w:sz w:val="24"/>
          <w:szCs w:val="24"/>
          <w:lang w:eastAsia="en-US"/>
        </w:rPr>
        <w:t xml:space="preserve"> </w:t>
      </w:r>
      <w:r w:rsidR="00015145" w:rsidRPr="000034F9">
        <w:rPr>
          <w:rFonts w:eastAsia="Calibri"/>
          <w:sz w:val="24"/>
          <w:szCs w:val="24"/>
          <w:lang w:eastAsia="en-US"/>
        </w:rPr>
        <w:t>№ 3а-8/2022</w:t>
      </w:r>
      <w:r w:rsidR="004271A1" w:rsidRPr="000034F9">
        <w:rPr>
          <w:rFonts w:eastAsia="Calibri"/>
          <w:sz w:val="24"/>
          <w:szCs w:val="24"/>
          <w:lang w:eastAsia="en-US"/>
        </w:rPr>
        <w:t>).</w:t>
      </w:r>
      <w:proofErr w:type="gramEnd"/>
      <w:r w:rsidR="004271A1" w:rsidRPr="000034F9">
        <w:rPr>
          <w:rFonts w:eastAsia="Calibri"/>
          <w:sz w:val="24"/>
          <w:szCs w:val="24"/>
          <w:lang w:eastAsia="en-US"/>
        </w:rPr>
        <w:t xml:space="preserve"> </w:t>
      </w:r>
      <w:r w:rsidR="00412FA2" w:rsidRPr="000034F9">
        <w:rPr>
          <w:rFonts w:eastAsia="Calibri"/>
          <w:sz w:val="24"/>
          <w:szCs w:val="24"/>
          <w:lang w:eastAsia="en-US"/>
        </w:rPr>
        <w:t>При этом</w:t>
      </w:r>
      <w:r w:rsidR="000034F9" w:rsidRPr="000034F9">
        <w:rPr>
          <w:rFonts w:eastAsia="Calibri"/>
          <w:sz w:val="24"/>
          <w:szCs w:val="24"/>
          <w:lang w:eastAsia="en-US"/>
        </w:rPr>
        <w:t xml:space="preserve"> Департамент план финансирования инвестиционной программы принимает не выше учтенной при установлении тарифов суммы источников ее финансирования.</w:t>
      </w:r>
    </w:p>
    <w:p w:rsidR="00796DE0" w:rsidRPr="009C2D1B" w:rsidRDefault="00414B01" w:rsidP="009C2D1B">
      <w:pPr>
        <w:widowControl/>
        <w:ind w:firstLine="567"/>
        <w:contextualSpacing/>
        <w:jc w:val="both"/>
        <w:rPr>
          <w:rFonts w:eastAsia="Calibri"/>
          <w:sz w:val="24"/>
          <w:szCs w:val="24"/>
          <w:lang w:eastAsia="en-US"/>
        </w:rPr>
      </w:pPr>
      <w:r w:rsidRPr="000034F9">
        <w:rPr>
          <w:rFonts w:eastAsia="Calibri"/>
          <w:sz w:val="24"/>
          <w:szCs w:val="24"/>
          <w:lang w:eastAsia="en-US"/>
        </w:rPr>
        <w:t>Итоговый п</w:t>
      </w:r>
      <w:r w:rsidR="00796DE0" w:rsidRPr="000034F9">
        <w:rPr>
          <w:rFonts w:eastAsia="Calibri"/>
          <w:sz w:val="24"/>
          <w:szCs w:val="24"/>
          <w:lang w:eastAsia="en-US"/>
        </w:rPr>
        <w:t xml:space="preserve">одробный анализ и </w:t>
      </w:r>
      <w:r w:rsidR="00796DE0" w:rsidRPr="009C2D1B">
        <w:rPr>
          <w:rFonts w:eastAsia="Calibri"/>
          <w:sz w:val="24"/>
          <w:szCs w:val="24"/>
          <w:lang w:eastAsia="en-US"/>
        </w:rPr>
        <w:t>расчет вышеуказанной корректировки НВВ приведен в экспертном заключении Департамента от 24</w:t>
      </w:r>
      <w:r w:rsidR="004271A1" w:rsidRPr="009C2D1B">
        <w:rPr>
          <w:rFonts w:eastAsia="Calibri"/>
          <w:sz w:val="24"/>
          <w:szCs w:val="24"/>
          <w:lang w:eastAsia="en-US"/>
        </w:rPr>
        <w:t>.</w:t>
      </w:r>
      <w:r w:rsidRPr="009C2D1B">
        <w:rPr>
          <w:rFonts w:eastAsia="Calibri"/>
          <w:sz w:val="24"/>
          <w:szCs w:val="24"/>
          <w:lang w:eastAsia="en-US"/>
        </w:rPr>
        <w:t>11.2022:</w:t>
      </w:r>
    </w:p>
    <w:p w:rsidR="00414B01" w:rsidRPr="009C2D1B" w:rsidRDefault="00414B01" w:rsidP="00414B01">
      <w:pPr>
        <w:widowControl/>
        <w:ind w:firstLine="567"/>
        <w:jc w:val="both"/>
        <w:rPr>
          <w:sz w:val="24"/>
          <w:szCs w:val="24"/>
        </w:rPr>
      </w:pPr>
    </w:p>
    <w:p w:rsidR="00414B01" w:rsidRPr="009C2D1B" w:rsidRDefault="00414B01" w:rsidP="00414B01">
      <w:pPr>
        <w:widowControl/>
        <w:ind w:left="2410" w:firstLine="851"/>
        <w:jc w:val="both"/>
        <w:rPr>
          <w:sz w:val="24"/>
          <w:szCs w:val="24"/>
        </w:rPr>
      </w:pPr>
      <w:r w:rsidRPr="009C2D1B">
        <w:rPr>
          <w:noProof/>
          <w:sz w:val="24"/>
          <w:szCs w:val="24"/>
        </w:rPr>
        <w:drawing>
          <wp:anchor distT="0" distB="0" distL="114300" distR="114300" simplePos="0" relativeHeight="251662336" behindDoc="0" locked="0" layoutInCell="1" allowOverlap="1" wp14:anchorId="1950556F" wp14:editId="39EA32AE">
            <wp:simplePos x="0" y="0"/>
            <wp:positionH relativeFrom="column">
              <wp:align>left</wp:align>
            </wp:positionH>
            <wp:positionV relativeFrom="paragraph">
              <wp:posOffset>1270</wp:posOffset>
            </wp:positionV>
            <wp:extent cx="2638425" cy="485775"/>
            <wp:effectExtent l="0" t="0" r="0" b="9525"/>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B01" w:rsidRPr="009C2D1B" w:rsidRDefault="00414B01" w:rsidP="00414B01">
      <w:pPr>
        <w:widowControl/>
        <w:ind w:firstLine="567"/>
        <w:jc w:val="both"/>
        <w:rPr>
          <w:sz w:val="24"/>
          <w:szCs w:val="24"/>
        </w:rPr>
      </w:pPr>
    </w:p>
    <w:p w:rsidR="00414B01" w:rsidRPr="009C2D1B" w:rsidRDefault="00414B01" w:rsidP="00414B01">
      <w:pPr>
        <w:widowControl/>
        <w:ind w:firstLine="567"/>
        <w:jc w:val="both"/>
        <w:rPr>
          <w:sz w:val="24"/>
          <w:szCs w:val="24"/>
        </w:rPr>
      </w:pPr>
    </w:p>
    <w:p w:rsidR="00414B01" w:rsidRPr="009C2D1B" w:rsidRDefault="00414B01" w:rsidP="00414B01">
      <w:pPr>
        <w:widowControl/>
        <w:jc w:val="both"/>
        <w:rPr>
          <w:sz w:val="24"/>
          <w:szCs w:val="24"/>
        </w:rPr>
      </w:pPr>
      <w:r w:rsidRPr="009C2D1B">
        <w:rPr>
          <w:sz w:val="24"/>
          <w:szCs w:val="24"/>
        </w:rPr>
        <w:t xml:space="preserve">= </w:t>
      </w:r>
      <w:r w:rsidR="001C1817" w:rsidRPr="009C2D1B">
        <w:rPr>
          <w:sz w:val="24"/>
          <w:szCs w:val="24"/>
        </w:rPr>
        <w:t xml:space="preserve">257 302,02 </w:t>
      </w:r>
      <w:r w:rsidRPr="009C2D1B">
        <w:rPr>
          <w:sz w:val="24"/>
          <w:szCs w:val="24"/>
        </w:rPr>
        <w:t>тыс. руб. (источник «амортизация»)*((</w:t>
      </w:r>
      <w:r w:rsidR="001C1817" w:rsidRPr="009C2D1B">
        <w:rPr>
          <w:sz w:val="24"/>
          <w:szCs w:val="24"/>
        </w:rPr>
        <w:t>251 686,85</w:t>
      </w:r>
      <w:r w:rsidRPr="009C2D1B">
        <w:rPr>
          <w:sz w:val="24"/>
          <w:szCs w:val="24"/>
        </w:rPr>
        <w:t xml:space="preserve"> / </w:t>
      </w:r>
      <w:r w:rsidR="001C1817" w:rsidRPr="009C2D1B">
        <w:rPr>
          <w:sz w:val="24"/>
          <w:szCs w:val="24"/>
        </w:rPr>
        <w:t>257 302,02</w:t>
      </w:r>
      <w:r w:rsidRPr="009C2D1B">
        <w:rPr>
          <w:sz w:val="24"/>
          <w:szCs w:val="24"/>
        </w:rPr>
        <w:t xml:space="preserve">) – 1) = - </w:t>
      </w:r>
      <w:r w:rsidR="001C1817" w:rsidRPr="009C2D1B">
        <w:rPr>
          <w:sz w:val="24"/>
          <w:szCs w:val="24"/>
        </w:rPr>
        <w:t>5 615,17</w:t>
      </w:r>
      <w:r w:rsidRPr="009C2D1B">
        <w:rPr>
          <w:sz w:val="24"/>
          <w:szCs w:val="24"/>
        </w:rPr>
        <w:t xml:space="preserve"> тыс. руб.,</w:t>
      </w:r>
    </w:p>
    <w:p w:rsidR="00414B01" w:rsidRPr="009C2D1B" w:rsidRDefault="00414B01" w:rsidP="00414B01">
      <w:pPr>
        <w:widowControl/>
        <w:ind w:firstLine="567"/>
        <w:jc w:val="both"/>
        <w:rPr>
          <w:sz w:val="24"/>
          <w:szCs w:val="24"/>
        </w:rPr>
      </w:pPr>
      <w:r w:rsidRPr="009C2D1B">
        <w:rPr>
          <w:sz w:val="24"/>
          <w:szCs w:val="24"/>
        </w:rPr>
        <w:t>с учетом индексов потребительских цен на 2020 и 2021 гг., предусмотренных формулой (3) Методических указаний № 98-э, = (-</w:t>
      </w:r>
      <w:r w:rsidR="00E623C2" w:rsidRPr="009C2D1B">
        <w:rPr>
          <w:sz w:val="24"/>
          <w:szCs w:val="24"/>
        </w:rPr>
        <w:t xml:space="preserve"> </w:t>
      </w:r>
      <w:r w:rsidR="001C1817" w:rsidRPr="009C2D1B">
        <w:rPr>
          <w:sz w:val="24"/>
          <w:szCs w:val="24"/>
        </w:rPr>
        <w:t>5 615,17</w:t>
      </w:r>
      <w:r w:rsidRPr="009C2D1B">
        <w:rPr>
          <w:sz w:val="24"/>
          <w:szCs w:val="24"/>
        </w:rPr>
        <w:t>) * 1,139</w:t>
      </w:r>
      <w:r w:rsidR="00E623C2" w:rsidRPr="009C2D1B">
        <w:rPr>
          <w:sz w:val="24"/>
          <w:szCs w:val="24"/>
        </w:rPr>
        <w:t xml:space="preserve"> * 1,06 = (- 6 779,42</w:t>
      </w:r>
      <w:r w:rsidRPr="009C2D1B">
        <w:rPr>
          <w:sz w:val="24"/>
          <w:szCs w:val="24"/>
        </w:rPr>
        <w:t>) тыс. руб.</w:t>
      </w:r>
    </w:p>
    <w:p w:rsidR="00414B01" w:rsidRPr="009C2D1B" w:rsidRDefault="00414B01" w:rsidP="00414B01">
      <w:pPr>
        <w:widowControl/>
        <w:ind w:firstLine="567"/>
        <w:jc w:val="both"/>
        <w:rPr>
          <w:sz w:val="24"/>
          <w:szCs w:val="24"/>
        </w:rPr>
      </w:pPr>
      <w:r w:rsidRPr="009C2D1B">
        <w:rPr>
          <w:sz w:val="24"/>
          <w:szCs w:val="24"/>
        </w:rPr>
        <w:t xml:space="preserve">В итоге величина корректировки необходимой валовой выручки в связи с изменением (неисполнением) инвестиционной программы за 2021 год определена Департаментом в размере </w:t>
      </w:r>
      <w:r w:rsidR="00E623C2" w:rsidRPr="009C2D1B">
        <w:rPr>
          <w:sz w:val="24"/>
          <w:szCs w:val="24"/>
        </w:rPr>
        <w:t xml:space="preserve">       (- 6 779,42)</w:t>
      </w:r>
      <w:r w:rsidRPr="009C2D1B">
        <w:rPr>
          <w:sz w:val="24"/>
          <w:szCs w:val="24"/>
        </w:rPr>
        <w:t xml:space="preserve"> тыс. руб.</w:t>
      </w:r>
    </w:p>
    <w:p w:rsidR="00236CD7" w:rsidRDefault="00CA63C7" w:rsidP="009C2D1B">
      <w:pPr>
        <w:widowControl/>
        <w:ind w:firstLine="567"/>
        <w:contextualSpacing/>
        <w:jc w:val="both"/>
        <w:rPr>
          <w:rFonts w:eastAsia="Calibri"/>
          <w:sz w:val="24"/>
          <w:szCs w:val="24"/>
          <w:lang w:eastAsia="en-US"/>
        </w:rPr>
      </w:pPr>
      <w:proofErr w:type="gramStart"/>
      <w:r>
        <w:rPr>
          <w:rFonts w:eastAsia="Calibri"/>
          <w:sz w:val="24"/>
          <w:szCs w:val="24"/>
          <w:lang w:eastAsia="en-US"/>
        </w:rPr>
        <w:t xml:space="preserve">Департамент отмечает, что при оценке исполнения инвестиционной программы филиала «Ивэнерго» в последующие периоды регулирования, начиная с 2022 года, дополнительному анализу подлежат </w:t>
      </w:r>
      <w:r w:rsidR="00271547">
        <w:rPr>
          <w:rFonts w:eastAsia="Calibri"/>
          <w:sz w:val="24"/>
          <w:szCs w:val="24"/>
          <w:lang w:eastAsia="en-US"/>
        </w:rPr>
        <w:t xml:space="preserve">не учтенные Департаментом при расчете вышеуказанной корректировки, но фактически </w:t>
      </w:r>
      <w:r>
        <w:rPr>
          <w:rFonts w:eastAsia="Calibri"/>
          <w:sz w:val="24"/>
          <w:szCs w:val="24"/>
          <w:lang w:eastAsia="en-US"/>
        </w:rPr>
        <w:t xml:space="preserve">профинансированные </w:t>
      </w:r>
      <w:r w:rsidR="00271547">
        <w:rPr>
          <w:rFonts w:eastAsia="Calibri"/>
          <w:sz w:val="24"/>
          <w:szCs w:val="24"/>
          <w:lang w:eastAsia="en-US"/>
        </w:rPr>
        <w:t xml:space="preserve">(без привязки к конкретным проектам) </w:t>
      </w:r>
      <w:r>
        <w:rPr>
          <w:rFonts w:eastAsia="Calibri"/>
          <w:sz w:val="24"/>
          <w:szCs w:val="24"/>
          <w:lang w:eastAsia="en-US"/>
        </w:rPr>
        <w:t xml:space="preserve">в конце 2021 года расходы на покупку материалов по договору </w:t>
      </w:r>
      <w:r w:rsidR="00271547" w:rsidRPr="00271547">
        <w:rPr>
          <w:rFonts w:eastAsia="Calibri"/>
          <w:sz w:val="24"/>
          <w:szCs w:val="24"/>
          <w:lang w:eastAsia="en-US"/>
        </w:rPr>
        <w:t xml:space="preserve">№372002008 от 07.12.2021 </w:t>
      </w:r>
      <w:r>
        <w:rPr>
          <w:rFonts w:eastAsia="Calibri"/>
          <w:sz w:val="24"/>
          <w:szCs w:val="24"/>
          <w:lang w:eastAsia="en-US"/>
        </w:rPr>
        <w:t xml:space="preserve">с АО «Ивгорэлектросеть» </w:t>
      </w:r>
      <w:r w:rsidRPr="00CA63C7">
        <w:rPr>
          <w:rFonts w:eastAsia="Calibri"/>
          <w:sz w:val="24"/>
          <w:szCs w:val="24"/>
          <w:lang w:eastAsia="en-US"/>
        </w:rPr>
        <w:t>в сумме 15 956,39 т</w:t>
      </w:r>
      <w:r w:rsidR="00271547">
        <w:rPr>
          <w:rFonts w:eastAsia="Calibri"/>
          <w:sz w:val="24"/>
          <w:szCs w:val="24"/>
          <w:lang w:eastAsia="en-US"/>
        </w:rPr>
        <w:t xml:space="preserve">ыс. </w:t>
      </w:r>
      <w:r w:rsidRPr="00CA63C7">
        <w:rPr>
          <w:rFonts w:eastAsia="Calibri"/>
          <w:sz w:val="24"/>
          <w:szCs w:val="24"/>
          <w:lang w:eastAsia="en-US"/>
        </w:rPr>
        <w:t>р</w:t>
      </w:r>
      <w:r w:rsidR="00271547">
        <w:rPr>
          <w:rFonts w:eastAsia="Calibri"/>
          <w:sz w:val="24"/>
          <w:szCs w:val="24"/>
          <w:lang w:eastAsia="en-US"/>
        </w:rPr>
        <w:t>уб.</w:t>
      </w:r>
      <w:r w:rsidRPr="00CA63C7">
        <w:rPr>
          <w:rFonts w:eastAsia="Calibri"/>
          <w:sz w:val="24"/>
          <w:szCs w:val="24"/>
          <w:lang w:eastAsia="en-US"/>
        </w:rPr>
        <w:t xml:space="preserve"> </w:t>
      </w:r>
      <w:r>
        <w:rPr>
          <w:rFonts w:eastAsia="Calibri"/>
          <w:sz w:val="24"/>
          <w:szCs w:val="24"/>
          <w:lang w:eastAsia="en-US"/>
        </w:rPr>
        <w:t>в рамках</w:t>
      </w:r>
      <w:proofErr w:type="gramEnd"/>
      <w:r>
        <w:rPr>
          <w:rFonts w:eastAsia="Calibri"/>
          <w:sz w:val="24"/>
          <w:szCs w:val="24"/>
          <w:lang w:eastAsia="en-US"/>
        </w:rPr>
        <w:t xml:space="preserve"> инвестиционного проекта «</w:t>
      </w:r>
      <w:r w:rsidR="00271547" w:rsidRPr="00271547">
        <w:rPr>
          <w:rFonts w:eastAsia="Calibri"/>
          <w:sz w:val="24"/>
          <w:szCs w:val="24"/>
          <w:lang w:eastAsia="en-US"/>
        </w:rPr>
        <w:t>Технологическое присоединение энергопринимающих устройств потребителей максимальной мощностью до 15 к</w:t>
      </w:r>
      <w:proofErr w:type="gramStart"/>
      <w:r w:rsidR="00271547" w:rsidRPr="00271547">
        <w:rPr>
          <w:rFonts w:eastAsia="Calibri"/>
          <w:sz w:val="24"/>
          <w:szCs w:val="24"/>
          <w:lang w:eastAsia="en-US"/>
        </w:rPr>
        <w:t>Вт вкл</w:t>
      </w:r>
      <w:proofErr w:type="gramEnd"/>
      <w:r w:rsidR="00271547" w:rsidRPr="00271547">
        <w:rPr>
          <w:rFonts w:eastAsia="Calibri"/>
          <w:sz w:val="24"/>
          <w:szCs w:val="24"/>
          <w:lang w:eastAsia="en-US"/>
        </w:rPr>
        <w:t>ючительно (ТПиР)</w:t>
      </w:r>
      <w:r>
        <w:rPr>
          <w:rFonts w:eastAsia="Calibri"/>
          <w:sz w:val="24"/>
          <w:szCs w:val="24"/>
          <w:lang w:eastAsia="en-US"/>
        </w:rPr>
        <w:t>»</w:t>
      </w:r>
      <w:r w:rsidR="00271547">
        <w:rPr>
          <w:rFonts w:eastAsia="Calibri"/>
          <w:sz w:val="24"/>
          <w:szCs w:val="24"/>
          <w:lang w:eastAsia="en-US"/>
        </w:rPr>
        <w:t>. Данные расходы будут оценены Департаментом в составе конкретных работ по ТП будущих периодов.</w:t>
      </w:r>
    </w:p>
    <w:p w:rsidR="00EB56EB" w:rsidRPr="00CA63C7" w:rsidRDefault="00EB56EB" w:rsidP="009C2D1B">
      <w:pPr>
        <w:widowControl/>
        <w:ind w:firstLine="567"/>
        <w:contextualSpacing/>
        <w:jc w:val="both"/>
        <w:rPr>
          <w:rFonts w:eastAsia="Calibri"/>
          <w:sz w:val="24"/>
          <w:szCs w:val="24"/>
          <w:lang w:eastAsia="en-US"/>
        </w:rPr>
      </w:pPr>
    </w:p>
    <w:p w:rsidR="005657C9" w:rsidRPr="009C2D1B" w:rsidRDefault="005657C9" w:rsidP="009C2D1B">
      <w:pPr>
        <w:widowControl/>
        <w:numPr>
          <w:ilvl w:val="0"/>
          <w:numId w:val="35"/>
        </w:numPr>
        <w:tabs>
          <w:tab w:val="left" w:pos="993"/>
        </w:tabs>
        <w:suppressAutoHyphens/>
        <w:spacing w:after="200"/>
        <w:ind w:left="0" w:firstLine="567"/>
        <w:contextualSpacing/>
        <w:jc w:val="both"/>
        <w:rPr>
          <w:rFonts w:eastAsia="Calibri"/>
          <w:i/>
          <w:sz w:val="24"/>
          <w:szCs w:val="24"/>
          <w:lang w:eastAsia="en-US"/>
        </w:rPr>
      </w:pPr>
      <w:r w:rsidRPr="009C2D1B">
        <w:rPr>
          <w:rFonts w:eastAsia="Calibri"/>
          <w:i/>
          <w:sz w:val="24"/>
          <w:szCs w:val="24"/>
          <w:lang w:eastAsia="en-US"/>
        </w:rPr>
        <w:t>Корректировка подконтрольных расходов в связи с изменением планируемых параметров расчета тарифов.</w:t>
      </w:r>
    </w:p>
    <w:p w:rsidR="005657C9" w:rsidRPr="00BC0D42" w:rsidRDefault="005657C9" w:rsidP="005657C9">
      <w:pPr>
        <w:widowControl/>
        <w:autoSpaceDE w:val="0"/>
        <w:autoSpaceDN w:val="0"/>
        <w:adjustRightInd w:val="0"/>
        <w:ind w:firstLine="567"/>
        <w:jc w:val="both"/>
        <w:rPr>
          <w:rFonts w:eastAsia="Calibri"/>
          <w:sz w:val="24"/>
          <w:szCs w:val="24"/>
          <w:lang w:eastAsia="en-US"/>
        </w:rPr>
      </w:pPr>
      <w:proofErr w:type="gramStart"/>
      <w:r w:rsidRPr="00BC0D42">
        <w:rPr>
          <w:rFonts w:eastAsia="Calibri"/>
          <w:sz w:val="24"/>
          <w:szCs w:val="24"/>
          <w:lang w:eastAsia="en-US"/>
        </w:rPr>
        <w:t xml:space="preserve">Рассчитанная Департаментом корректировка подконтрольных расходов за 2021 год в размере 21 073,28 тыс. руб. некорректна, поскольку при расчете индекса изменения количества активов фактическое количество условных единиц, относящихся к филиалу «Ивэнерго» в 2020 году </w:t>
      </w:r>
      <w:r w:rsidRPr="00BC0D42">
        <w:rPr>
          <w:rFonts w:eastAsia="Calibri"/>
          <w:noProof/>
          <w:position w:val="-10"/>
          <w:sz w:val="24"/>
          <w:szCs w:val="24"/>
        </w:rPr>
        <w:drawing>
          <wp:inline distT="0" distB="0" distL="0" distR="0" wp14:anchorId="2D014F5B" wp14:editId="264E1EAA">
            <wp:extent cx="4572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Pr="00BC0D42">
        <w:rPr>
          <w:rFonts w:eastAsia="Calibri"/>
          <w:sz w:val="24"/>
          <w:szCs w:val="24"/>
          <w:lang w:eastAsia="en-US"/>
        </w:rPr>
        <w:t xml:space="preserve">, </w:t>
      </w:r>
      <w:r w:rsidRPr="00BC0D42">
        <w:rPr>
          <w:rFonts w:eastAsia="Calibri"/>
          <w:sz w:val="24"/>
          <w:szCs w:val="24"/>
          <w:lang w:eastAsia="en-US"/>
        </w:rPr>
        <w:lastRenderedPageBreak/>
        <w:t>принимается с учетом отнесения вакуумных выключателей в системе условных единиц для распределения общей суммы тарифной выручки по классам напряжения (далее по тексту – система условных единиц), предусмотренной Методическими</w:t>
      </w:r>
      <w:proofErr w:type="gramEnd"/>
      <w:r w:rsidRPr="00BC0D42">
        <w:rPr>
          <w:rFonts w:eastAsia="Calibri"/>
          <w:sz w:val="24"/>
          <w:szCs w:val="24"/>
          <w:lang w:eastAsia="en-US"/>
        </w:rPr>
        <w:t xml:space="preserve"> </w:t>
      </w:r>
      <w:proofErr w:type="gramStart"/>
      <w:r w:rsidRPr="00BC0D42">
        <w:rPr>
          <w:rFonts w:eastAsia="Calibri"/>
          <w:sz w:val="24"/>
          <w:szCs w:val="24"/>
          <w:lang w:eastAsia="en-US"/>
        </w:rPr>
        <w:t xml:space="preserve">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к составу оборудования «воздушный выключатель», а фактическое количество условных единиц, относящихся к филиалу «Ивэнерго» в 2021 год </w:t>
      </w:r>
      <w:r w:rsidRPr="00BC0D42">
        <w:rPr>
          <w:rFonts w:eastAsia="Calibri"/>
          <w:noProof/>
          <w:position w:val="-10"/>
          <w:sz w:val="24"/>
          <w:szCs w:val="24"/>
        </w:rPr>
        <w:drawing>
          <wp:inline distT="0" distB="0" distL="0" distR="0" wp14:anchorId="4F456A01" wp14:editId="35008DAB">
            <wp:extent cx="4572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sidRPr="00BC0D42">
        <w:rPr>
          <w:rFonts w:eastAsia="Calibri"/>
          <w:sz w:val="24"/>
          <w:szCs w:val="24"/>
          <w:lang w:eastAsia="en-US"/>
        </w:rPr>
        <w:t>, принимается с учетом отнесения вакуумных выключателей в составе оборудования «масляный выключатель».</w:t>
      </w:r>
      <w:proofErr w:type="gramEnd"/>
    </w:p>
    <w:p w:rsidR="005657C9" w:rsidRPr="00BC0D42" w:rsidRDefault="005657C9" w:rsidP="005657C9">
      <w:pPr>
        <w:widowControl/>
        <w:autoSpaceDE w:val="0"/>
        <w:autoSpaceDN w:val="0"/>
        <w:adjustRightInd w:val="0"/>
        <w:ind w:firstLine="567"/>
        <w:jc w:val="both"/>
        <w:rPr>
          <w:rFonts w:eastAsia="Calibri"/>
          <w:sz w:val="24"/>
          <w:szCs w:val="24"/>
          <w:lang w:eastAsia="en-US"/>
        </w:rPr>
      </w:pPr>
      <w:proofErr w:type="gramStart"/>
      <w:r w:rsidRPr="00BC0D42">
        <w:rPr>
          <w:rFonts w:eastAsia="Calibri"/>
          <w:sz w:val="24"/>
          <w:szCs w:val="24"/>
          <w:lang w:eastAsia="en-US"/>
        </w:rPr>
        <w:t>Таким образом, один и тот же объем оборудования (36 выключателей на уровне напряжения 35 кВ и 684 выключателя на уровне напряжения 1-20 кВ в 2020 году и 36 выключателей на уровне напряжения 35 кВ и 681 выключатель на уровне напряжения</w:t>
      </w:r>
      <w:r w:rsidRPr="00BC0D42">
        <w:rPr>
          <w:rFonts w:eastAsia="Calibri"/>
          <w:sz w:val="24"/>
          <w:szCs w:val="24"/>
          <w:lang w:eastAsia="en-US"/>
        </w:rPr>
        <w:br/>
        <w:t>1-20 кВ в 2021 году) в представленном Департаментом расчете корректировки дают отличные значения по системе условных единиц: в 2020 году</w:t>
      </w:r>
      <w:proofErr w:type="gramEnd"/>
      <w:r w:rsidRPr="00BC0D42">
        <w:rPr>
          <w:rFonts w:eastAsia="Calibri"/>
          <w:sz w:val="24"/>
          <w:szCs w:val="24"/>
          <w:lang w:eastAsia="en-US"/>
        </w:rPr>
        <w:t xml:space="preserve"> – 4 158 у.е., в 2021 год</w:t>
      </w:r>
      <w:r w:rsidR="00BC0D42" w:rsidRPr="00BC0D42">
        <w:rPr>
          <w:rFonts w:eastAsia="Calibri"/>
          <w:sz w:val="24"/>
          <w:szCs w:val="24"/>
          <w:lang w:eastAsia="en-US"/>
        </w:rPr>
        <w:t>у</w:t>
      </w:r>
      <w:r w:rsidRPr="00BC0D42">
        <w:rPr>
          <w:rFonts w:eastAsia="Calibri"/>
          <w:sz w:val="24"/>
          <w:szCs w:val="24"/>
          <w:lang w:eastAsia="en-US"/>
        </w:rPr>
        <w:t xml:space="preserve"> – 2 350,8 у.е. и занижают размер обоснованной корректировки, предусмотренной Методическими указаниями № 98-э.</w:t>
      </w:r>
    </w:p>
    <w:p w:rsidR="005657C9" w:rsidRPr="00D330F6" w:rsidRDefault="005657C9" w:rsidP="005631A6">
      <w:pPr>
        <w:widowControl/>
        <w:autoSpaceDE w:val="0"/>
        <w:autoSpaceDN w:val="0"/>
        <w:adjustRightInd w:val="0"/>
        <w:ind w:firstLine="567"/>
        <w:jc w:val="both"/>
        <w:rPr>
          <w:rFonts w:eastAsia="Calibri"/>
          <w:sz w:val="24"/>
          <w:szCs w:val="24"/>
          <w:lang w:eastAsia="en-US"/>
        </w:rPr>
      </w:pPr>
      <w:proofErr w:type="gramStart"/>
      <w:r w:rsidRPr="00BC0D42">
        <w:rPr>
          <w:rFonts w:eastAsia="Calibri"/>
          <w:sz w:val="24"/>
          <w:szCs w:val="24"/>
          <w:lang w:eastAsia="en-US"/>
        </w:rPr>
        <w:t>С учетом реального увеличения объема условных единиц, относящихся к филиалу «Ивэнерго», в результате реализации мероприятий инвестиционной программы</w:t>
      </w:r>
      <w:r w:rsidR="00BC0D42" w:rsidRPr="00BC0D42">
        <w:rPr>
          <w:rFonts w:eastAsia="Calibri"/>
          <w:sz w:val="24"/>
          <w:szCs w:val="24"/>
          <w:lang w:eastAsia="en-US"/>
        </w:rPr>
        <w:t>,</w:t>
      </w:r>
      <w:r w:rsidRPr="00BC0D42">
        <w:rPr>
          <w:rFonts w:eastAsia="Calibri"/>
          <w:sz w:val="24"/>
          <w:szCs w:val="24"/>
          <w:lang w:eastAsia="en-US"/>
        </w:rPr>
        <w:t xml:space="preserve"> и дополнительных условных единиц, обусловленных арендой электросетевого имущества у АО «Ивгорэлектросеть», в 2021 году по сравнению с 2020 годом, в расчете Департамента предусмотрена отрицательная динамика объема условных единиц: с 60 866,71 у.е. в 2020 году (без прироста условных единиц, обусловленных реализацией инвестиционной</w:t>
      </w:r>
      <w:proofErr w:type="gramEnd"/>
      <w:r w:rsidRPr="00BC0D42">
        <w:rPr>
          <w:rFonts w:eastAsia="Calibri"/>
          <w:sz w:val="24"/>
          <w:szCs w:val="24"/>
          <w:lang w:eastAsia="en-US"/>
        </w:rPr>
        <w:t xml:space="preserve"> программы и аренды электросетевого комплекса АО «Ивгорэлектросеть») до 60 400,86 у.е. в 2021 году (с учетом прироста условных единиц, обусловленных реализацией инвестиционной программы и арендой электросетевого комплекса АО «Ивгорэлектросеть»).</w:t>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sz w:val="24"/>
          <w:szCs w:val="24"/>
          <w:lang w:eastAsia="en-US"/>
        </w:rPr>
        <w:t>Учитывая некорректность расчета, произведенного Департаментом, величина корректировки должна быть произведена с учетом приведения одного из двух регулируемых периодов (2020 год или 2021 год) к сопоставимым значениям по объему оборудования:</w:t>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i/>
          <w:sz w:val="24"/>
          <w:szCs w:val="24"/>
          <w:u w:val="single"/>
          <w:lang w:eastAsia="en-US"/>
        </w:rPr>
        <w:t>1 вариант</w:t>
      </w:r>
      <w:r w:rsidRPr="00D330F6">
        <w:rPr>
          <w:rFonts w:eastAsia="Calibri"/>
          <w:sz w:val="24"/>
          <w:szCs w:val="24"/>
          <w:lang w:eastAsia="en-US"/>
        </w:rPr>
        <w:t xml:space="preserve">: приведение объема оборудования в 2020 году в соответствии </w:t>
      </w:r>
      <w:proofErr w:type="gramStart"/>
      <w:r w:rsidRPr="00D330F6">
        <w:rPr>
          <w:rFonts w:eastAsia="Calibri"/>
          <w:sz w:val="24"/>
          <w:szCs w:val="24"/>
          <w:lang w:eastAsia="en-US"/>
        </w:rPr>
        <w:t>с</w:t>
      </w:r>
      <w:proofErr w:type="gramEnd"/>
      <w:r w:rsidRPr="00D330F6">
        <w:rPr>
          <w:rFonts w:eastAsia="Calibri"/>
          <w:sz w:val="24"/>
          <w:szCs w:val="24"/>
          <w:lang w:eastAsia="en-US"/>
        </w:rPr>
        <w:t xml:space="preserve"> сложившимся подходом Департамента по определению объема условных единиц в 2021 году:</w:t>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noProof/>
          <w:sz w:val="24"/>
          <w:szCs w:val="24"/>
        </w:rPr>
        <w:drawing>
          <wp:anchor distT="0" distB="0" distL="114300" distR="114300" simplePos="0" relativeHeight="251659264" behindDoc="0" locked="0" layoutInCell="1" allowOverlap="1" wp14:anchorId="07E263CF" wp14:editId="131BB4B3">
            <wp:simplePos x="0" y="0"/>
            <wp:positionH relativeFrom="column">
              <wp:posOffset>-38100</wp:posOffset>
            </wp:positionH>
            <wp:positionV relativeFrom="paragraph">
              <wp:posOffset>184150</wp:posOffset>
            </wp:positionV>
            <wp:extent cx="443865" cy="273050"/>
            <wp:effectExtent l="0" t="0" r="0" b="0"/>
            <wp:wrapSquare wrapText="bothSides"/>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865" cy="273050"/>
                    </a:xfrm>
                    <a:prstGeom prst="rect">
                      <a:avLst/>
                    </a:prstGeom>
                    <a:noFill/>
                  </pic:spPr>
                </pic:pic>
              </a:graphicData>
            </a:graphic>
            <wp14:sizeRelH relativeFrom="page">
              <wp14:pctWidth>0</wp14:pctWidth>
            </wp14:sizeRelH>
            <wp14:sizeRelV relativeFrom="page">
              <wp14:pctHeight>0</wp14:pctHeight>
            </wp14:sizeRelV>
          </wp:anchor>
        </w:drawing>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sz w:val="24"/>
          <w:szCs w:val="24"/>
          <w:lang w:eastAsia="en-US"/>
        </w:rPr>
        <w:t xml:space="preserve"> = 1 159 997,80 * (1 - 2 %) * (1 + 6,7 %) * (1 + 0,75 * (60 400,86 – 59 059,51) /  59 059,51)) – 1 184 927,36 = 48 697,41 тыс. руб.</w:t>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i/>
          <w:sz w:val="24"/>
          <w:szCs w:val="24"/>
          <w:u w:val="single"/>
          <w:lang w:eastAsia="en-US"/>
        </w:rPr>
        <w:t>2 вариант</w:t>
      </w:r>
      <w:r w:rsidRPr="00D330F6">
        <w:rPr>
          <w:rFonts w:eastAsia="Calibri"/>
          <w:sz w:val="24"/>
          <w:szCs w:val="24"/>
          <w:lang w:eastAsia="en-US"/>
        </w:rPr>
        <w:t>: приведение объема оборудования в 2021 году в соответствии с подходом по определению условных единиц, действующим в филиале «Ивэнерго» и отраженным в отчетности за 2020 год:</w:t>
      </w:r>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noProof/>
          <w:sz w:val="24"/>
          <w:szCs w:val="24"/>
        </w:rPr>
        <w:drawing>
          <wp:anchor distT="0" distB="0" distL="114300" distR="114300" simplePos="0" relativeHeight="251660288" behindDoc="0" locked="0" layoutInCell="1" allowOverlap="1" wp14:anchorId="28EFE8DB" wp14:editId="16C4EB62">
            <wp:simplePos x="0" y="0"/>
            <wp:positionH relativeFrom="column">
              <wp:posOffset>76835</wp:posOffset>
            </wp:positionH>
            <wp:positionV relativeFrom="paragraph">
              <wp:posOffset>133985</wp:posOffset>
            </wp:positionV>
            <wp:extent cx="443865" cy="273050"/>
            <wp:effectExtent l="0" t="0" r="0" b="0"/>
            <wp:wrapSquare wrapText="bothSides"/>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865" cy="273050"/>
                    </a:xfrm>
                    <a:prstGeom prst="rect">
                      <a:avLst/>
                    </a:prstGeom>
                    <a:noFill/>
                  </pic:spPr>
                </pic:pic>
              </a:graphicData>
            </a:graphic>
            <wp14:sizeRelH relativeFrom="page">
              <wp14:pctWidth>0</wp14:pctWidth>
            </wp14:sizeRelH>
            <wp14:sizeRelV relativeFrom="page">
              <wp14:pctHeight>0</wp14:pctHeight>
            </wp14:sizeRelV>
          </wp:anchor>
        </w:drawing>
      </w:r>
    </w:p>
    <w:p w:rsidR="005657C9" w:rsidRPr="00D330F6" w:rsidRDefault="005657C9" w:rsidP="005631A6">
      <w:pPr>
        <w:widowControl/>
        <w:autoSpaceDE w:val="0"/>
        <w:autoSpaceDN w:val="0"/>
        <w:adjustRightInd w:val="0"/>
        <w:ind w:firstLine="567"/>
        <w:jc w:val="both"/>
        <w:rPr>
          <w:rFonts w:eastAsia="Calibri"/>
          <w:sz w:val="24"/>
          <w:szCs w:val="24"/>
          <w:lang w:eastAsia="en-US"/>
        </w:rPr>
      </w:pPr>
      <w:proofErr w:type="gramStart"/>
      <w:r w:rsidRPr="00D330F6">
        <w:rPr>
          <w:rFonts w:eastAsia="Calibri"/>
          <w:sz w:val="24"/>
          <w:szCs w:val="24"/>
          <w:lang w:eastAsia="en-US"/>
        </w:rPr>
        <w:t>= 1 159 997,80 * (1 - 2 %) * (1 + 6,7 %) * (1 + 0,75 * (62 251,26 – 60 866,71) / 60 866,71)) – 1 184 927,36 = 48 729,62 тыс. руб.</w:t>
      </w:r>
      <w:proofErr w:type="gramEnd"/>
    </w:p>
    <w:p w:rsidR="005657C9" w:rsidRPr="00D330F6" w:rsidRDefault="005657C9" w:rsidP="005631A6">
      <w:pPr>
        <w:widowControl/>
        <w:autoSpaceDE w:val="0"/>
        <w:autoSpaceDN w:val="0"/>
        <w:adjustRightInd w:val="0"/>
        <w:ind w:firstLine="567"/>
        <w:jc w:val="both"/>
        <w:rPr>
          <w:rFonts w:eastAsia="Calibri"/>
          <w:sz w:val="24"/>
          <w:szCs w:val="24"/>
          <w:lang w:eastAsia="en-US"/>
        </w:rPr>
      </w:pPr>
      <w:r w:rsidRPr="00D330F6">
        <w:rPr>
          <w:rFonts w:eastAsia="Calibri"/>
          <w:sz w:val="24"/>
          <w:szCs w:val="24"/>
          <w:lang w:eastAsia="en-US"/>
        </w:rPr>
        <w:t>Расчет условных единиц по двум вариантам прилагаются к особому мнению.</w:t>
      </w:r>
    </w:p>
    <w:p w:rsidR="005657C9" w:rsidRPr="00D330F6" w:rsidRDefault="00A6055A" w:rsidP="005631A6">
      <w:pPr>
        <w:widowControl/>
        <w:autoSpaceDE w:val="0"/>
        <w:autoSpaceDN w:val="0"/>
        <w:adjustRightInd w:val="0"/>
        <w:ind w:firstLine="567"/>
        <w:jc w:val="both"/>
        <w:rPr>
          <w:rFonts w:eastAsia="Calibri"/>
          <w:sz w:val="24"/>
          <w:szCs w:val="24"/>
          <w:lang w:eastAsia="en-US"/>
        </w:rPr>
      </w:pPr>
      <w:r w:rsidRPr="00D330F6">
        <w:rPr>
          <w:rFonts w:eastAsia="Calibri"/>
          <w:sz w:val="24"/>
          <w:szCs w:val="24"/>
          <w:lang w:eastAsia="en-US"/>
        </w:rPr>
        <w:t>Департамент по вышеперечисленным доводам отмечает следующее.</w:t>
      </w:r>
    </w:p>
    <w:p w:rsidR="00A6055A" w:rsidRPr="00463003" w:rsidRDefault="00A6055A" w:rsidP="005631A6">
      <w:pPr>
        <w:widowControl/>
        <w:autoSpaceDE w:val="0"/>
        <w:autoSpaceDN w:val="0"/>
        <w:adjustRightInd w:val="0"/>
        <w:ind w:firstLine="567"/>
        <w:jc w:val="both"/>
        <w:rPr>
          <w:rFonts w:eastAsia="Calibri"/>
          <w:sz w:val="24"/>
          <w:szCs w:val="24"/>
          <w:lang w:eastAsia="en-US"/>
        </w:rPr>
      </w:pPr>
      <w:r w:rsidRPr="00D330F6">
        <w:rPr>
          <w:rFonts w:eastAsia="Calibri"/>
          <w:sz w:val="24"/>
          <w:szCs w:val="24"/>
          <w:lang w:eastAsia="en-US"/>
        </w:rPr>
        <w:t xml:space="preserve">При определении вышеуказанной корректировки НВВ Департаментом использовались фактические отчетные данные по объему условных единиц за 2020 год и за 2021 год, предоставленные филиалом «Ивэнерго» в </w:t>
      </w:r>
      <w:r w:rsidRPr="005631A6">
        <w:rPr>
          <w:rFonts w:eastAsia="Calibri"/>
          <w:sz w:val="24"/>
          <w:szCs w:val="24"/>
          <w:lang w:eastAsia="en-US"/>
        </w:rPr>
        <w:t>материалы тарифного дела. При этом несопоставимость данных значений была изначально допущена непосредственно филиалом «Ивэнерго» при расчете и предоставлении отчетных данных. По итогам дополнительного анализа Департаментом данная корректировка НВВ принимается в следующем размере:</w:t>
      </w:r>
    </w:p>
    <w:p w:rsidR="006923ED" w:rsidRPr="00D330F6" w:rsidRDefault="006923ED" w:rsidP="006923ED">
      <w:pPr>
        <w:widowControl/>
        <w:autoSpaceDE w:val="0"/>
        <w:autoSpaceDN w:val="0"/>
        <w:adjustRightInd w:val="0"/>
        <w:ind w:firstLine="567"/>
        <w:jc w:val="both"/>
        <w:rPr>
          <w:rFonts w:eastAsia="Calibri"/>
          <w:sz w:val="24"/>
          <w:szCs w:val="24"/>
          <w:lang w:eastAsia="en-US"/>
        </w:rPr>
      </w:pPr>
    </w:p>
    <w:p w:rsidR="006923ED" w:rsidRPr="00D330F6" w:rsidRDefault="006923ED" w:rsidP="006923ED">
      <w:pPr>
        <w:widowControl/>
        <w:autoSpaceDE w:val="0"/>
        <w:autoSpaceDN w:val="0"/>
        <w:adjustRightInd w:val="0"/>
        <w:ind w:firstLine="567"/>
        <w:jc w:val="both"/>
        <w:rPr>
          <w:rFonts w:eastAsia="Calibri"/>
          <w:sz w:val="24"/>
          <w:szCs w:val="24"/>
          <w:lang w:eastAsia="en-US"/>
        </w:rPr>
      </w:pPr>
      <w:r>
        <w:rPr>
          <w:rFonts w:eastAsia="Calibri"/>
          <w:noProof/>
          <w:sz w:val="24"/>
          <w:szCs w:val="24"/>
        </w:rPr>
        <w:drawing>
          <wp:inline distT="0" distB="0" distL="0" distR="0" wp14:anchorId="0EA0873D">
            <wp:extent cx="445135" cy="267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267970"/>
                    </a:xfrm>
                    <a:prstGeom prst="rect">
                      <a:avLst/>
                    </a:prstGeom>
                    <a:noFill/>
                  </pic:spPr>
                </pic:pic>
              </a:graphicData>
            </a:graphic>
          </wp:inline>
        </w:drawing>
      </w:r>
      <w:proofErr w:type="gramStart"/>
      <w:r w:rsidRPr="00D330F6">
        <w:rPr>
          <w:rFonts w:eastAsia="Calibri"/>
          <w:sz w:val="24"/>
          <w:szCs w:val="24"/>
          <w:lang w:eastAsia="en-US"/>
        </w:rPr>
        <w:t>= 1 159 997,80 * (1 - 2 %) * (1 + 6,7 %) * (1 + 0,75 * (62 251,26 – 60 866,71) / 60 866,71)) – 1 184 927,36 = 48 729,62 тыс. руб.</w:t>
      </w:r>
      <w:proofErr w:type="gramEnd"/>
    </w:p>
    <w:p w:rsidR="00A6055A" w:rsidRPr="005631A6" w:rsidRDefault="00A6055A" w:rsidP="005631A6">
      <w:pPr>
        <w:widowControl/>
        <w:autoSpaceDE w:val="0"/>
        <w:autoSpaceDN w:val="0"/>
        <w:adjustRightInd w:val="0"/>
        <w:ind w:firstLine="567"/>
        <w:jc w:val="both"/>
        <w:rPr>
          <w:rFonts w:eastAsia="Calibri"/>
          <w:sz w:val="24"/>
          <w:szCs w:val="24"/>
          <w:lang w:eastAsia="en-US"/>
        </w:rPr>
      </w:pPr>
    </w:p>
    <w:p w:rsidR="005657C9" w:rsidRPr="006923ED" w:rsidRDefault="005657C9" w:rsidP="005631A6">
      <w:pPr>
        <w:widowControl/>
        <w:numPr>
          <w:ilvl w:val="0"/>
          <w:numId w:val="35"/>
        </w:numPr>
        <w:tabs>
          <w:tab w:val="left" w:pos="993"/>
        </w:tabs>
        <w:suppressAutoHyphens/>
        <w:spacing w:after="200"/>
        <w:ind w:left="0" w:firstLine="567"/>
        <w:contextualSpacing/>
        <w:jc w:val="both"/>
        <w:rPr>
          <w:rFonts w:eastAsia="Calibri"/>
          <w:i/>
          <w:sz w:val="24"/>
          <w:szCs w:val="24"/>
          <w:lang w:eastAsia="en-US"/>
        </w:rPr>
      </w:pPr>
      <w:r w:rsidRPr="006923ED">
        <w:rPr>
          <w:rFonts w:eastAsia="Calibri"/>
          <w:i/>
          <w:sz w:val="24"/>
          <w:szCs w:val="24"/>
          <w:lang w:eastAsia="en-US"/>
        </w:rPr>
        <w:t xml:space="preserve"> Корректировка неподконтрольных расходов (в части ряда статей) (формула 7.1 Методических указаний № 98)</w:t>
      </w:r>
      <w:r w:rsidR="006923ED">
        <w:rPr>
          <w:rFonts w:eastAsia="Calibri"/>
          <w:i/>
          <w:sz w:val="24"/>
          <w:szCs w:val="24"/>
          <w:lang w:eastAsia="en-US"/>
        </w:rPr>
        <w:t>.</w:t>
      </w:r>
    </w:p>
    <w:p w:rsidR="005657C9" w:rsidRPr="006923ED" w:rsidRDefault="005657C9" w:rsidP="005657C9">
      <w:pPr>
        <w:widowControl/>
        <w:ind w:firstLine="567"/>
        <w:contextualSpacing/>
        <w:jc w:val="both"/>
        <w:rPr>
          <w:rFonts w:eastAsia="Calibri"/>
          <w:i/>
          <w:sz w:val="24"/>
          <w:szCs w:val="24"/>
          <w:lang w:eastAsia="en-US"/>
        </w:rPr>
      </w:pPr>
      <w:r w:rsidRPr="006923ED">
        <w:rPr>
          <w:rFonts w:eastAsia="Calibri"/>
          <w:i/>
          <w:sz w:val="24"/>
          <w:szCs w:val="24"/>
          <w:lang w:eastAsia="en-US"/>
        </w:rPr>
        <w:t xml:space="preserve">- Корректировка по статье «Выпадающие доходы по </w:t>
      </w:r>
      <w:proofErr w:type="gramStart"/>
      <w:r w:rsidRPr="006923ED">
        <w:rPr>
          <w:rFonts w:eastAsia="Calibri"/>
          <w:i/>
          <w:sz w:val="24"/>
          <w:szCs w:val="24"/>
          <w:lang w:eastAsia="en-US"/>
        </w:rPr>
        <w:t>льготному</w:t>
      </w:r>
      <w:proofErr w:type="gramEnd"/>
      <w:r w:rsidRPr="006923ED">
        <w:rPr>
          <w:rFonts w:eastAsia="Calibri"/>
          <w:i/>
          <w:sz w:val="24"/>
          <w:szCs w:val="24"/>
          <w:lang w:eastAsia="en-US"/>
        </w:rPr>
        <w:t xml:space="preserve"> ТП» </w:t>
      </w:r>
    </w:p>
    <w:p w:rsidR="005657C9" w:rsidRPr="006923ED" w:rsidRDefault="005657C9" w:rsidP="005657C9">
      <w:pPr>
        <w:widowControl/>
        <w:ind w:firstLine="567"/>
        <w:contextualSpacing/>
        <w:jc w:val="both"/>
        <w:rPr>
          <w:rFonts w:eastAsia="Calibri"/>
          <w:sz w:val="24"/>
          <w:szCs w:val="24"/>
          <w:lang w:eastAsia="en-US"/>
        </w:rPr>
      </w:pPr>
      <w:proofErr w:type="gramStart"/>
      <w:r w:rsidRPr="006923ED">
        <w:rPr>
          <w:rFonts w:eastAsia="Calibri"/>
          <w:sz w:val="24"/>
          <w:szCs w:val="24"/>
          <w:lang w:eastAsia="en-US"/>
        </w:rPr>
        <w:lastRenderedPageBreak/>
        <w:t>Департаментом предложена корректировка по статье «Выпадающие доходы от льготного ТП» в размере (-) 34 002,72 тыс. руб.</w:t>
      </w:r>
      <w:r w:rsidR="006923ED" w:rsidRPr="006923ED">
        <w:rPr>
          <w:rFonts w:eastAsia="Calibri"/>
          <w:sz w:val="24"/>
          <w:szCs w:val="24"/>
          <w:lang w:eastAsia="en-US"/>
        </w:rPr>
        <w:t>,</w:t>
      </w:r>
      <w:r w:rsidRPr="006923ED">
        <w:rPr>
          <w:rFonts w:eastAsia="Calibri"/>
          <w:sz w:val="24"/>
          <w:szCs w:val="24"/>
          <w:lang w:eastAsia="en-US"/>
        </w:rPr>
        <w:t xml:space="preserve"> вместо заявленной филиалом «Ивэнерго» (-) 2 077,75 тыс. руб.</w:t>
      </w:r>
      <w:proofErr w:type="gramEnd"/>
    </w:p>
    <w:p w:rsidR="005657C9" w:rsidRPr="006923ED" w:rsidRDefault="005657C9" w:rsidP="005657C9">
      <w:pPr>
        <w:widowControl/>
        <w:ind w:firstLine="567"/>
        <w:contextualSpacing/>
        <w:jc w:val="both"/>
        <w:rPr>
          <w:rFonts w:eastAsia="Calibri"/>
          <w:sz w:val="24"/>
          <w:szCs w:val="24"/>
          <w:lang w:eastAsia="en-US"/>
        </w:rPr>
      </w:pPr>
      <w:r w:rsidRPr="006923ED">
        <w:rPr>
          <w:rFonts w:eastAsia="Calibri"/>
          <w:sz w:val="24"/>
          <w:szCs w:val="24"/>
          <w:lang w:eastAsia="en-US"/>
        </w:rPr>
        <w:t xml:space="preserve">Филиал «Ивэнерго» не согласен с указанным подходом </w:t>
      </w:r>
      <w:r w:rsidR="006923ED">
        <w:rPr>
          <w:rFonts w:eastAsia="Calibri"/>
          <w:sz w:val="24"/>
          <w:szCs w:val="24"/>
          <w:lang w:eastAsia="en-US"/>
        </w:rPr>
        <w:t>Департамента</w:t>
      </w:r>
      <w:r w:rsidRPr="006923ED">
        <w:rPr>
          <w:rFonts w:eastAsia="Calibri"/>
          <w:sz w:val="24"/>
          <w:szCs w:val="24"/>
          <w:lang w:eastAsia="en-US"/>
        </w:rPr>
        <w:t xml:space="preserve"> по следующим основаниям.</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Фактические выпадающие доходы по технологическому присоединению за 2021 год по расчету филиала составили 58 567,14 тыс. руб., расчетный факт, выполненный с применен</w:t>
      </w:r>
      <w:r w:rsidR="000B292B" w:rsidRPr="000B292B">
        <w:rPr>
          <w:rFonts w:eastAsia="Calibri"/>
          <w:sz w:val="24"/>
          <w:szCs w:val="24"/>
          <w:lang w:eastAsia="en-US"/>
        </w:rPr>
        <w:t xml:space="preserve">ием стандартизированных ставок </w:t>
      </w:r>
      <w:r w:rsidRPr="000B292B">
        <w:rPr>
          <w:rFonts w:eastAsia="Calibri"/>
          <w:sz w:val="24"/>
          <w:szCs w:val="24"/>
          <w:lang w:eastAsia="en-US"/>
        </w:rPr>
        <w:t>48 622,37 тыс. руб. В этой связи</w:t>
      </w:r>
      <w:r w:rsidR="000B292B" w:rsidRPr="000B292B">
        <w:rPr>
          <w:rFonts w:eastAsia="Calibri"/>
          <w:sz w:val="24"/>
          <w:szCs w:val="24"/>
          <w:lang w:eastAsia="en-US"/>
        </w:rPr>
        <w:t>,</w:t>
      </w:r>
      <w:r w:rsidRPr="000B292B">
        <w:rPr>
          <w:rFonts w:eastAsia="Calibri"/>
          <w:sz w:val="24"/>
          <w:szCs w:val="24"/>
          <w:lang w:eastAsia="en-US"/>
        </w:rPr>
        <w:t xml:space="preserve">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утвержденны</w:t>
      </w:r>
      <w:r w:rsidR="000B292B" w:rsidRPr="000B292B">
        <w:rPr>
          <w:rFonts w:eastAsia="Calibri"/>
          <w:sz w:val="24"/>
          <w:szCs w:val="24"/>
          <w:lang w:eastAsia="en-US"/>
        </w:rPr>
        <w:t>ми п</w:t>
      </w:r>
      <w:r w:rsidRPr="000B292B">
        <w:rPr>
          <w:rFonts w:eastAsia="Calibri"/>
          <w:sz w:val="24"/>
          <w:szCs w:val="24"/>
          <w:lang w:eastAsia="en-US"/>
        </w:rPr>
        <w:t>риказом ФСТ России от 11.09.2014 №</w:t>
      </w:r>
      <w:r w:rsidR="000B292B" w:rsidRPr="000B292B">
        <w:rPr>
          <w:rFonts w:eastAsia="Calibri"/>
          <w:sz w:val="24"/>
          <w:szCs w:val="24"/>
          <w:lang w:eastAsia="en-US"/>
        </w:rPr>
        <w:t xml:space="preserve"> </w:t>
      </w:r>
      <w:r w:rsidRPr="000B292B">
        <w:rPr>
          <w:rFonts w:eastAsia="Calibri"/>
          <w:sz w:val="24"/>
          <w:szCs w:val="24"/>
          <w:lang w:eastAsia="en-US"/>
        </w:rPr>
        <w:t>215-э/</w:t>
      </w:r>
      <w:r w:rsidR="000B292B" w:rsidRPr="000B292B">
        <w:rPr>
          <w:rFonts w:eastAsia="Calibri"/>
          <w:sz w:val="24"/>
          <w:szCs w:val="24"/>
          <w:lang w:eastAsia="en-US"/>
        </w:rPr>
        <w:t>1</w:t>
      </w:r>
      <w:r w:rsidRPr="000B292B">
        <w:rPr>
          <w:rFonts w:eastAsia="Calibri"/>
          <w:sz w:val="24"/>
          <w:szCs w:val="24"/>
          <w:lang w:eastAsia="en-US"/>
        </w:rPr>
        <w:t>, в целях компенсации выпадающих доходов по технологическому присоедине</w:t>
      </w:r>
      <w:r w:rsidR="000B292B" w:rsidRPr="000B292B">
        <w:rPr>
          <w:rFonts w:eastAsia="Calibri"/>
          <w:sz w:val="24"/>
          <w:szCs w:val="24"/>
          <w:lang w:eastAsia="en-US"/>
        </w:rPr>
        <w:t>нию принимается расчетный факт.</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xml:space="preserve">Департаментом на 2021 год утверждены плановые выпадающие доходы в размере 50 700,12 тыс. руб. Отсюда следует корректировка выпадающих доходов по итогам 2021 года: </w:t>
      </w:r>
    </w:p>
    <w:p w:rsidR="005657C9" w:rsidRPr="000B292B" w:rsidRDefault="005657C9" w:rsidP="005657C9">
      <w:pPr>
        <w:widowControl/>
        <w:ind w:firstLine="567"/>
        <w:contextualSpacing/>
        <w:jc w:val="center"/>
        <w:rPr>
          <w:rFonts w:eastAsia="Calibri"/>
          <w:sz w:val="24"/>
          <w:szCs w:val="24"/>
          <w:lang w:eastAsia="en-US"/>
        </w:rPr>
      </w:pPr>
    </w:p>
    <w:p w:rsidR="005657C9" w:rsidRPr="000B292B" w:rsidRDefault="005657C9" w:rsidP="005657C9">
      <w:pPr>
        <w:widowControl/>
        <w:ind w:firstLine="567"/>
        <w:contextualSpacing/>
        <w:jc w:val="center"/>
        <w:rPr>
          <w:rFonts w:eastAsia="Calibri"/>
          <w:sz w:val="24"/>
          <w:szCs w:val="24"/>
          <w:lang w:eastAsia="en-US"/>
        </w:rPr>
      </w:pPr>
      <w:r w:rsidRPr="000B292B">
        <w:rPr>
          <w:rFonts w:eastAsia="Calibri"/>
          <w:sz w:val="24"/>
          <w:szCs w:val="24"/>
          <w:lang w:eastAsia="en-US"/>
        </w:rPr>
        <w:t>48 622,37 - 50 700,12 = - 2 077,75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Вместе с тем выпадающие доходы по технологическому присоединению за 2021 год по данным Департамента учтены на уровне фактических затрат филиала «Ивэнерго» и составили</w:t>
      </w:r>
      <w:r w:rsidR="000B292B" w:rsidRPr="000B292B">
        <w:rPr>
          <w:rFonts w:eastAsia="Calibri"/>
          <w:sz w:val="24"/>
          <w:szCs w:val="24"/>
          <w:lang w:eastAsia="en-US"/>
        </w:rPr>
        <w:t xml:space="preserve">        </w:t>
      </w:r>
      <w:r w:rsidRPr="000B292B">
        <w:rPr>
          <w:rFonts w:eastAsia="Calibri"/>
          <w:sz w:val="24"/>
          <w:szCs w:val="24"/>
          <w:lang w:eastAsia="en-US"/>
        </w:rPr>
        <w:t xml:space="preserve"> 16 697,40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расходы по подготовке и выдаче сетевой организацией технических условий (ТУ) Заявителю - 8 041,62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расходы на обеспечение на обеспечение средствами коммерческого учета электрической энергии (мощности) - 8 616,64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расходы на выплату процентов по кредитным договорам, связанным с рассрочкой по оплате технологического присоединения - 39,14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По результатам расчетов Департаментом предложена корректировка:</w:t>
      </w:r>
    </w:p>
    <w:p w:rsidR="005657C9" w:rsidRPr="000B292B" w:rsidRDefault="005657C9" w:rsidP="005657C9">
      <w:pPr>
        <w:widowControl/>
        <w:ind w:firstLine="567"/>
        <w:contextualSpacing/>
        <w:jc w:val="center"/>
        <w:rPr>
          <w:rFonts w:eastAsia="Calibri"/>
          <w:sz w:val="24"/>
          <w:szCs w:val="24"/>
          <w:lang w:eastAsia="en-US"/>
        </w:rPr>
      </w:pPr>
    </w:p>
    <w:p w:rsidR="005657C9" w:rsidRPr="000B292B" w:rsidRDefault="005657C9" w:rsidP="005657C9">
      <w:pPr>
        <w:widowControl/>
        <w:ind w:firstLine="567"/>
        <w:contextualSpacing/>
        <w:jc w:val="center"/>
        <w:rPr>
          <w:rFonts w:eastAsia="Calibri"/>
          <w:sz w:val="24"/>
          <w:szCs w:val="24"/>
          <w:lang w:eastAsia="en-US"/>
        </w:rPr>
      </w:pPr>
      <w:r w:rsidRPr="000B292B">
        <w:rPr>
          <w:rFonts w:eastAsia="Calibri"/>
          <w:sz w:val="24"/>
          <w:szCs w:val="24"/>
          <w:lang w:eastAsia="en-US"/>
        </w:rPr>
        <w:t>16 697,40 - 50 700,12 = - 34 002,72 (тыс. руб.)</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xml:space="preserve">Департамент не принимает к учету в полном объеме расходы на проверку выполнения сетевой организацией технических условий заявителем. </w:t>
      </w:r>
      <w:proofErr w:type="gramStart"/>
      <w:r w:rsidRPr="000B292B">
        <w:rPr>
          <w:rFonts w:eastAsia="Calibri"/>
          <w:sz w:val="24"/>
          <w:szCs w:val="24"/>
          <w:lang w:eastAsia="en-US"/>
        </w:rPr>
        <w:t>Это объясняется изменениями, внесенными постановлением Правительства РФ от 10.03.2020 №262,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постановление, утвержденные постановлением Правительства РФ от 27.12.2004 №861 (далее – Правила), в которых в отношении заявителей, указанных в п. 12(1) и п</w:t>
      </w:r>
      <w:proofErr w:type="gramEnd"/>
      <w:r w:rsidRPr="000B292B">
        <w:rPr>
          <w:rFonts w:eastAsia="Calibri"/>
          <w:sz w:val="24"/>
          <w:szCs w:val="24"/>
          <w:lang w:eastAsia="en-US"/>
        </w:rPr>
        <w:t>. 14 Правил</w:t>
      </w:r>
      <w:r w:rsidR="000B292B" w:rsidRPr="000B292B">
        <w:rPr>
          <w:rFonts w:eastAsia="Calibri"/>
          <w:sz w:val="24"/>
          <w:szCs w:val="24"/>
          <w:lang w:eastAsia="en-US"/>
        </w:rPr>
        <w:t>,</w:t>
      </w:r>
      <w:r w:rsidRPr="000B292B">
        <w:rPr>
          <w:rFonts w:eastAsia="Calibri"/>
          <w:sz w:val="24"/>
          <w:szCs w:val="24"/>
          <w:lang w:eastAsia="en-US"/>
        </w:rPr>
        <w:t xml:space="preserve"> на уровне напряжения 0,4 кВ и ниже с 1 июля 2020 года не выполняются мероприятия по проверке выполнения сетевой организацией технических условий заявителем.</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Филиал «Ивэнерго» считает такое прочтение НПА некорректным, так как в то же время указанными изменениями в Правила согласно п. 7 (1) Правил в отношении заявителей, указанных в пунктах 12(1), 13(2) - 13(5) и 14 Правил, введен раздел X. «Особенности технологического присоединения заявителей, указанных в пунктах 12(1), 13(2) - 13(5) и 14 Правил».</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В соответствии с указанным разделом предусматривается выполнение следующих работ: оформление акта об осуществлении ТП (с 01.07.2022 уведомление), акта допуска прибора учета в эксплуатацию, сопровождение безопасного присоединения к электросети, создание личного кабинета потребителя и обеспечение к нему доступа гарантирующего поставщика, размещение в личном кабинете договора ТП, ТУ и других документов, предоставление по требованию заявителя док</w:t>
      </w:r>
      <w:r w:rsidR="000B292B" w:rsidRPr="000B292B">
        <w:rPr>
          <w:rFonts w:eastAsia="Calibri"/>
          <w:sz w:val="24"/>
          <w:szCs w:val="24"/>
          <w:lang w:eastAsia="en-US"/>
        </w:rPr>
        <w:t>ументов в бумажном носителе.</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Все указанные мероприятия в 2021 году выполнялись филиалом «Ивэнерго» в соответствии с Правилами. Фактические расходы составили 31 117,96 тыс. руб., что подтверждено бухгалтерской справкой, предоставленной в адрес Департамента в составе материалов тарифного дела по передаче электрической энергии к 01.05.2022 (заявление от 29.04.2022 №МР7-ИвЭ/25-2/2424).</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 xml:space="preserve">В подтверждение позиции филиала </w:t>
      </w:r>
      <w:r w:rsidR="000B292B" w:rsidRPr="000B292B">
        <w:rPr>
          <w:rFonts w:eastAsia="Calibri"/>
          <w:sz w:val="24"/>
          <w:szCs w:val="24"/>
          <w:lang w:eastAsia="en-US"/>
        </w:rPr>
        <w:t>«Ивэнерго» о том, что расходы п</w:t>
      </w:r>
      <w:r w:rsidRPr="000B292B">
        <w:rPr>
          <w:rFonts w:eastAsia="Calibri"/>
          <w:sz w:val="24"/>
          <w:szCs w:val="24"/>
          <w:lang w:eastAsia="en-US"/>
        </w:rPr>
        <w:t>о проверке не могут быть нулевыми для указанных заявителей ФАС</w:t>
      </w:r>
      <w:r w:rsidR="000B292B" w:rsidRPr="000B292B">
        <w:rPr>
          <w:rFonts w:eastAsia="Calibri"/>
          <w:sz w:val="24"/>
          <w:szCs w:val="24"/>
          <w:lang w:eastAsia="en-US"/>
        </w:rPr>
        <w:t xml:space="preserve"> России п</w:t>
      </w:r>
      <w:r w:rsidRPr="000B292B">
        <w:rPr>
          <w:rFonts w:eastAsia="Calibri"/>
          <w:sz w:val="24"/>
          <w:szCs w:val="24"/>
          <w:lang w:eastAsia="en-US"/>
        </w:rPr>
        <w:t xml:space="preserve">риказом от 21.04.2021 №373/21 внесены </w:t>
      </w:r>
      <w:r w:rsidRPr="000B292B">
        <w:rPr>
          <w:rFonts w:eastAsia="Calibri"/>
          <w:sz w:val="24"/>
          <w:szCs w:val="24"/>
          <w:lang w:eastAsia="en-US"/>
        </w:rPr>
        <w:lastRenderedPageBreak/>
        <w:t>изменения в Методические указания (от 29.08.2017 №</w:t>
      </w:r>
      <w:r w:rsidR="000B292B" w:rsidRPr="000B292B">
        <w:rPr>
          <w:rFonts w:eastAsia="Calibri"/>
          <w:sz w:val="24"/>
          <w:szCs w:val="24"/>
          <w:lang w:eastAsia="en-US"/>
        </w:rPr>
        <w:t xml:space="preserve"> </w:t>
      </w:r>
      <w:r w:rsidRPr="000B292B">
        <w:rPr>
          <w:rFonts w:eastAsia="Calibri"/>
          <w:sz w:val="24"/>
          <w:szCs w:val="24"/>
          <w:lang w:eastAsia="en-US"/>
        </w:rPr>
        <w:t>1135/17, которые вступают в силу 01.0</w:t>
      </w:r>
      <w:r w:rsidR="000B292B" w:rsidRPr="000B292B">
        <w:rPr>
          <w:rFonts w:eastAsia="Calibri"/>
          <w:sz w:val="24"/>
          <w:szCs w:val="24"/>
          <w:lang w:eastAsia="en-US"/>
        </w:rPr>
        <w:t>6</w:t>
      </w:r>
      <w:r w:rsidRPr="000B292B">
        <w:rPr>
          <w:rFonts w:eastAsia="Calibri"/>
          <w:sz w:val="24"/>
          <w:szCs w:val="24"/>
          <w:lang w:eastAsia="en-US"/>
        </w:rPr>
        <w:t>.2021) предусматривающие дифференциацию ставки С</w:t>
      </w:r>
      <w:proofErr w:type="gramStart"/>
      <w:r w:rsidRPr="000B292B">
        <w:rPr>
          <w:rFonts w:eastAsia="Calibri"/>
          <w:sz w:val="24"/>
          <w:szCs w:val="24"/>
          <w:lang w:eastAsia="en-US"/>
        </w:rPr>
        <w:t>1</w:t>
      </w:r>
      <w:proofErr w:type="gramEnd"/>
      <w:r w:rsidRPr="000B292B">
        <w:rPr>
          <w:rFonts w:eastAsia="Calibri"/>
          <w:sz w:val="24"/>
          <w:szCs w:val="24"/>
          <w:lang w:eastAsia="en-US"/>
        </w:rPr>
        <w:t>.2: ставка С1.2.1. «Выдача акта об осуществлении технологического присоединения Заявителям» (с 1.07.2022 «Выдача сетевой организацией уведомления об обеспечении сетевой организацией возможности присоединения к электрическим сетям Заявителям») и ставка С</w:t>
      </w:r>
      <w:proofErr w:type="gramStart"/>
      <w:r w:rsidRPr="000B292B">
        <w:rPr>
          <w:rFonts w:eastAsia="Calibri"/>
          <w:sz w:val="24"/>
          <w:szCs w:val="24"/>
          <w:lang w:eastAsia="en-US"/>
        </w:rPr>
        <w:t>1</w:t>
      </w:r>
      <w:proofErr w:type="gramEnd"/>
      <w:r w:rsidRPr="000B292B">
        <w:rPr>
          <w:rFonts w:eastAsia="Calibri"/>
          <w:sz w:val="24"/>
          <w:szCs w:val="24"/>
          <w:lang w:eastAsia="en-US"/>
        </w:rPr>
        <w:t>.2.2 «Проверка сетевой организацией выполнения технических условий Заявителями».</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Филиал «Ивэнерго» письмом от 30.06.2021 №</w:t>
      </w:r>
      <w:r w:rsidR="000B292B" w:rsidRPr="000B292B">
        <w:rPr>
          <w:rFonts w:eastAsia="Calibri"/>
          <w:sz w:val="24"/>
          <w:szCs w:val="24"/>
          <w:lang w:eastAsia="en-US"/>
        </w:rPr>
        <w:t xml:space="preserve"> </w:t>
      </w:r>
      <w:r w:rsidRPr="000B292B">
        <w:rPr>
          <w:rFonts w:eastAsia="Calibri"/>
          <w:sz w:val="24"/>
          <w:szCs w:val="24"/>
          <w:lang w:eastAsia="en-US"/>
        </w:rPr>
        <w:t>МР7-ИвЭ/25-2/3365 обращался в Департамент за установлением дифференцированных ставок С</w:t>
      </w:r>
      <w:proofErr w:type="gramStart"/>
      <w:r w:rsidRPr="000B292B">
        <w:rPr>
          <w:rFonts w:eastAsia="Calibri"/>
          <w:sz w:val="24"/>
          <w:szCs w:val="24"/>
          <w:lang w:eastAsia="en-US"/>
        </w:rPr>
        <w:t>1</w:t>
      </w:r>
      <w:proofErr w:type="gramEnd"/>
      <w:r w:rsidRPr="000B292B">
        <w:rPr>
          <w:rFonts w:eastAsia="Calibri"/>
          <w:sz w:val="24"/>
          <w:szCs w:val="24"/>
          <w:lang w:eastAsia="en-US"/>
        </w:rPr>
        <w:t>.2.1 и С1.2.2. с предоставлением расчета, сведений о фактических расходах на выполнение мероприятий по технологическому присоединению, предусмотренных подпунктами «а» и «в» пункта 16 Методических указаний, за 2017-2019 гг. в формате приложений 2-3 МУ, обосновывающих материалов.</w:t>
      </w:r>
    </w:p>
    <w:p w:rsidR="005657C9" w:rsidRPr="000B292B" w:rsidRDefault="005657C9" w:rsidP="005657C9">
      <w:pPr>
        <w:widowControl/>
        <w:ind w:firstLine="567"/>
        <w:contextualSpacing/>
        <w:jc w:val="both"/>
        <w:rPr>
          <w:rFonts w:eastAsia="Calibri"/>
          <w:sz w:val="24"/>
          <w:szCs w:val="24"/>
          <w:lang w:eastAsia="en-US"/>
        </w:rPr>
      </w:pPr>
      <w:r w:rsidRPr="000B292B">
        <w:rPr>
          <w:rFonts w:eastAsia="Calibri"/>
          <w:sz w:val="24"/>
          <w:szCs w:val="24"/>
          <w:lang w:eastAsia="en-US"/>
        </w:rPr>
        <w:t>При этом Департаментом в 2021 году ставки С</w:t>
      </w:r>
      <w:proofErr w:type="gramStart"/>
      <w:r w:rsidRPr="000B292B">
        <w:rPr>
          <w:rFonts w:eastAsia="Calibri"/>
          <w:sz w:val="24"/>
          <w:szCs w:val="24"/>
          <w:lang w:eastAsia="en-US"/>
        </w:rPr>
        <w:t>1</w:t>
      </w:r>
      <w:proofErr w:type="gramEnd"/>
      <w:r w:rsidRPr="000B292B">
        <w:rPr>
          <w:rFonts w:eastAsia="Calibri"/>
          <w:sz w:val="24"/>
          <w:szCs w:val="24"/>
          <w:lang w:eastAsia="en-US"/>
        </w:rPr>
        <w:t>.2.1 и С1.2.2 утверждены не были. Плановые выпадающие доходы на 2021 год по мероприятию «Проверка сетевой организацией выполнения технических условий Заявителями» для указанных заявителей были рассчи</w:t>
      </w:r>
      <w:r w:rsidR="000B292B">
        <w:rPr>
          <w:rFonts w:eastAsia="Calibri"/>
          <w:sz w:val="24"/>
          <w:szCs w:val="24"/>
          <w:lang w:eastAsia="en-US"/>
        </w:rPr>
        <w:t>таны с применением ставки С</w:t>
      </w:r>
      <w:proofErr w:type="gramStart"/>
      <w:r w:rsidR="000B292B">
        <w:rPr>
          <w:rFonts w:eastAsia="Calibri"/>
          <w:sz w:val="24"/>
          <w:szCs w:val="24"/>
          <w:lang w:eastAsia="en-US"/>
        </w:rPr>
        <w:t>1</w:t>
      </w:r>
      <w:proofErr w:type="gramEnd"/>
      <w:r w:rsidR="000B292B">
        <w:rPr>
          <w:rFonts w:eastAsia="Calibri"/>
          <w:sz w:val="24"/>
          <w:szCs w:val="24"/>
          <w:lang w:eastAsia="en-US"/>
        </w:rPr>
        <w:t>.2.</w:t>
      </w:r>
    </w:p>
    <w:p w:rsidR="005657C9" w:rsidRPr="000B292B" w:rsidRDefault="005657C9" w:rsidP="005657C9">
      <w:pPr>
        <w:widowControl/>
        <w:ind w:firstLine="567"/>
        <w:jc w:val="both"/>
        <w:rPr>
          <w:rFonts w:eastAsia="Calibri"/>
          <w:sz w:val="24"/>
          <w:szCs w:val="24"/>
          <w:lang w:eastAsia="en-US"/>
        </w:rPr>
      </w:pPr>
      <w:r w:rsidRPr="000B292B">
        <w:rPr>
          <w:rFonts w:eastAsia="Calibri"/>
          <w:sz w:val="24"/>
          <w:szCs w:val="24"/>
          <w:lang w:eastAsia="en-US"/>
        </w:rPr>
        <w:t xml:space="preserve">Таким образом, филиал «Ивэнерго» выполнил расчетный факт 2021 года </w:t>
      </w:r>
      <w:r w:rsidRPr="000B292B">
        <w:rPr>
          <w:rFonts w:eastAsia="Calibri"/>
          <w:sz w:val="24"/>
          <w:szCs w:val="24"/>
          <w:u w:val="single"/>
          <w:lang w:eastAsia="en-US"/>
        </w:rPr>
        <w:t>аналогичным способом</w:t>
      </w:r>
      <w:r w:rsidRPr="000B292B">
        <w:rPr>
          <w:rFonts w:eastAsia="Calibri"/>
          <w:sz w:val="24"/>
          <w:szCs w:val="24"/>
          <w:lang w:eastAsia="en-US"/>
        </w:rPr>
        <w:t>.</w:t>
      </w:r>
    </w:p>
    <w:p w:rsidR="005657C9" w:rsidRPr="000B292B" w:rsidRDefault="005657C9" w:rsidP="005657C9">
      <w:pPr>
        <w:widowControl/>
        <w:ind w:firstLine="567"/>
        <w:jc w:val="both"/>
        <w:rPr>
          <w:rFonts w:eastAsia="Calibri"/>
          <w:sz w:val="24"/>
          <w:szCs w:val="24"/>
          <w:lang w:eastAsia="en-US"/>
        </w:rPr>
      </w:pPr>
      <w:r w:rsidRPr="000B292B">
        <w:rPr>
          <w:rFonts w:eastAsia="Calibri"/>
          <w:sz w:val="24"/>
          <w:szCs w:val="24"/>
          <w:lang w:eastAsia="en-US"/>
        </w:rPr>
        <w:t>Филиал «Ивэнерго» не согласен с позицией Департамента об исключении выпадающих доходов в части расходов на выдачу сетевой организацией акта об осуществлении технологического присоединения и просит принять указанные расходы на уровне расчетного факта с применением ставки</w:t>
      </w:r>
      <w:proofErr w:type="gramStart"/>
      <w:r w:rsidRPr="000B292B">
        <w:rPr>
          <w:rFonts w:eastAsia="Calibri"/>
          <w:sz w:val="24"/>
          <w:szCs w:val="24"/>
          <w:lang w:eastAsia="en-US"/>
        </w:rPr>
        <w:t xml:space="preserve"> С</w:t>
      </w:r>
      <w:proofErr w:type="gramEnd"/>
      <w:r w:rsidRPr="000B292B">
        <w:rPr>
          <w:rFonts w:eastAsia="Calibri"/>
          <w:sz w:val="24"/>
          <w:szCs w:val="24"/>
          <w:lang w:eastAsia="en-US"/>
        </w:rPr>
        <w:t xml:space="preserve"> 1.2. в размере 48 622,37 тыс. руб.</w:t>
      </w:r>
    </w:p>
    <w:p w:rsidR="005657C9" w:rsidRPr="000B292B" w:rsidRDefault="000B292B" w:rsidP="005657C9">
      <w:pPr>
        <w:widowControl/>
        <w:ind w:firstLine="567"/>
        <w:contextualSpacing/>
        <w:jc w:val="both"/>
        <w:rPr>
          <w:rFonts w:eastAsia="Calibri"/>
          <w:sz w:val="24"/>
          <w:szCs w:val="24"/>
          <w:lang w:eastAsia="en-US"/>
        </w:rPr>
      </w:pPr>
      <w:r w:rsidRPr="000B292B">
        <w:rPr>
          <w:rFonts w:eastAsia="Calibri"/>
          <w:sz w:val="24"/>
          <w:szCs w:val="24"/>
          <w:lang w:eastAsia="en-US"/>
        </w:rPr>
        <w:t>Департамент по вышеперечисленным доводам отмечает следующее.</w:t>
      </w:r>
    </w:p>
    <w:p w:rsidR="00AE592F" w:rsidRPr="005065A4" w:rsidRDefault="00AE592F" w:rsidP="00AE592F">
      <w:pPr>
        <w:widowControl/>
        <w:ind w:firstLine="567"/>
        <w:contextualSpacing/>
        <w:jc w:val="both"/>
        <w:rPr>
          <w:rFonts w:eastAsia="Calibri"/>
          <w:sz w:val="24"/>
          <w:szCs w:val="24"/>
          <w:lang w:eastAsia="en-US"/>
        </w:rPr>
      </w:pPr>
      <w:proofErr w:type="gramStart"/>
      <w:r w:rsidRPr="005065A4">
        <w:rPr>
          <w:rFonts w:eastAsia="Calibri"/>
          <w:sz w:val="24"/>
          <w:szCs w:val="24"/>
          <w:lang w:eastAsia="en-US"/>
        </w:rPr>
        <w:t xml:space="preserve">По статье «Выпадающие доходы от технологического присоединения льготных категорий потребителей до 15 кВт» за 2021 год Департамент считает экономически обоснованными расходы в сумме </w:t>
      </w:r>
      <w:r w:rsidR="005065A4" w:rsidRPr="005065A4">
        <w:rPr>
          <w:rFonts w:eastAsia="Calibri"/>
          <w:sz w:val="24"/>
          <w:szCs w:val="24"/>
          <w:lang w:eastAsia="en-US"/>
        </w:rPr>
        <w:t>16 697,40</w:t>
      </w:r>
      <w:r w:rsidRPr="005065A4">
        <w:rPr>
          <w:rFonts w:eastAsia="Calibri"/>
          <w:sz w:val="24"/>
          <w:szCs w:val="24"/>
          <w:lang w:eastAsia="en-US"/>
        </w:rPr>
        <w:t xml:space="preserve"> тыс. руб., вместо заявленной величины </w:t>
      </w:r>
      <w:r w:rsidR="005065A4" w:rsidRPr="005065A4">
        <w:rPr>
          <w:rFonts w:eastAsia="Calibri"/>
          <w:sz w:val="24"/>
          <w:szCs w:val="24"/>
          <w:lang w:eastAsia="en-US"/>
        </w:rPr>
        <w:t>48 622,37</w:t>
      </w:r>
      <w:r w:rsidRPr="005065A4">
        <w:rPr>
          <w:rFonts w:eastAsia="Calibri"/>
          <w:sz w:val="24"/>
          <w:szCs w:val="24"/>
          <w:lang w:eastAsia="en-US"/>
        </w:rPr>
        <w:t xml:space="preserve"> тыс. руб., поскольку в материалы тарифного дела не предоставлены данные о количестве договоров, по которым в соответствии с действующим законодательством предусмотрено проведение проверки выполнения технических условий заявителем.</w:t>
      </w:r>
      <w:proofErr w:type="gramEnd"/>
    </w:p>
    <w:p w:rsidR="00AE592F" w:rsidRPr="005065A4" w:rsidRDefault="00AE592F" w:rsidP="00AE592F">
      <w:pPr>
        <w:widowControl/>
        <w:ind w:firstLine="567"/>
        <w:contextualSpacing/>
        <w:jc w:val="both"/>
        <w:rPr>
          <w:rFonts w:eastAsia="Calibri"/>
          <w:sz w:val="24"/>
          <w:szCs w:val="24"/>
          <w:lang w:eastAsia="en-US"/>
        </w:rPr>
      </w:pPr>
      <w:proofErr w:type="gramStart"/>
      <w:r w:rsidRPr="005065A4">
        <w:rPr>
          <w:rFonts w:eastAsia="Calibri"/>
          <w:sz w:val="24"/>
          <w:szCs w:val="24"/>
          <w:lang w:eastAsia="en-US"/>
        </w:rPr>
        <w:t>Проверка выполнения технических условий Заявителем не требуется для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если технологическое присоединение энергопринимающих устройств</w:t>
      </w:r>
      <w:proofErr w:type="gramEnd"/>
      <w:r w:rsidRPr="005065A4">
        <w:rPr>
          <w:rFonts w:eastAsia="Calibri"/>
          <w:sz w:val="24"/>
          <w:szCs w:val="24"/>
          <w:lang w:eastAsia="en-US"/>
        </w:rPr>
        <w:t xml:space="preserve"> таких заявителей осуществляется на уровне напряжения 0,4 кВ и ниже. Проведение проверки со стороны филиала «Ивэнерго» для такой группы заявителей является избыточным и Департаментом</w:t>
      </w:r>
      <w:r w:rsidR="005065A4" w:rsidRPr="005065A4">
        <w:rPr>
          <w:rFonts w:eastAsia="Calibri"/>
          <w:sz w:val="24"/>
          <w:szCs w:val="24"/>
          <w:lang w:eastAsia="en-US"/>
        </w:rPr>
        <w:t xml:space="preserve"> признается экономически не </w:t>
      </w:r>
      <w:r w:rsidRPr="005065A4">
        <w:rPr>
          <w:rFonts w:eastAsia="Calibri"/>
          <w:sz w:val="24"/>
          <w:szCs w:val="24"/>
          <w:lang w:eastAsia="en-US"/>
        </w:rPr>
        <w:t>обоснованным.</w:t>
      </w:r>
    </w:p>
    <w:p w:rsidR="005D3BD4" w:rsidRDefault="00AE592F" w:rsidP="00AE592F">
      <w:pPr>
        <w:widowControl/>
        <w:ind w:firstLine="567"/>
        <w:contextualSpacing/>
        <w:jc w:val="both"/>
        <w:rPr>
          <w:rFonts w:eastAsia="Calibri"/>
          <w:sz w:val="24"/>
          <w:szCs w:val="24"/>
          <w:lang w:eastAsia="en-US"/>
        </w:rPr>
      </w:pPr>
      <w:proofErr w:type="gramStart"/>
      <w:r w:rsidRPr="00CD2D4F">
        <w:rPr>
          <w:rFonts w:eastAsia="Calibri"/>
          <w:sz w:val="24"/>
          <w:szCs w:val="24"/>
          <w:lang w:eastAsia="en-US"/>
        </w:rPr>
        <w:t>Кроме того, Департамент не принимает используемую филиалом «Ивэнерго» в расчете ставку 22 455,11 руб. на выдачу сетевой организацией акта об осуществлении технологического присоединения, поскольку на 2021 год такой</w:t>
      </w:r>
      <w:r w:rsidR="005065A4" w:rsidRPr="00CD2D4F">
        <w:rPr>
          <w:rFonts w:eastAsia="Calibri"/>
          <w:sz w:val="24"/>
          <w:szCs w:val="24"/>
          <w:lang w:eastAsia="en-US"/>
        </w:rPr>
        <w:t xml:space="preserve"> стандартизированной </w:t>
      </w:r>
      <w:r w:rsidRPr="00CD2D4F">
        <w:rPr>
          <w:rFonts w:eastAsia="Calibri"/>
          <w:sz w:val="24"/>
          <w:szCs w:val="24"/>
          <w:lang w:eastAsia="en-US"/>
        </w:rPr>
        <w:t>ставки не установлено</w:t>
      </w:r>
      <w:r w:rsidR="005065A4" w:rsidRPr="00CD2D4F">
        <w:rPr>
          <w:rFonts w:eastAsia="Calibri"/>
          <w:sz w:val="24"/>
          <w:szCs w:val="24"/>
          <w:lang w:eastAsia="en-US"/>
        </w:rPr>
        <w:t xml:space="preserve"> (изменение в МУ вступили в силу только с 01.06.2021</w:t>
      </w:r>
      <w:r w:rsidR="00CD2D4F" w:rsidRPr="00CD2D4F">
        <w:rPr>
          <w:rFonts w:eastAsia="Calibri"/>
          <w:sz w:val="24"/>
          <w:szCs w:val="24"/>
          <w:lang w:eastAsia="en-US"/>
        </w:rPr>
        <w:t xml:space="preserve"> после установления тарифов на 2021 год</w:t>
      </w:r>
      <w:r w:rsidR="005065A4" w:rsidRPr="00CD2D4F">
        <w:rPr>
          <w:rFonts w:eastAsia="Calibri"/>
          <w:sz w:val="24"/>
          <w:szCs w:val="24"/>
          <w:lang w:eastAsia="en-US"/>
        </w:rPr>
        <w:t>, при этом в соответствии с Правилами государственного регулирования срок действия установленных</w:t>
      </w:r>
      <w:r w:rsidR="00CD2D4F" w:rsidRPr="00CD2D4F">
        <w:rPr>
          <w:rFonts w:eastAsia="Calibri"/>
          <w:sz w:val="24"/>
          <w:szCs w:val="24"/>
          <w:lang w:eastAsia="en-US"/>
        </w:rPr>
        <w:t xml:space="preserve"> </w:t>
      </w:r>
      <w:r w:rsidR="005065A4" w:rsidRPr="00CD2D4F">
        <w:rPr>
          <w:rFonts w:eastAsia="Calibri"/>
          <w:sz w:val="24"/>
          <w:szCs w:val="24"/>
          <w:lang w:eastAsia="en-US"/>
        </w:rPr>
        <w:t>тарифов не</w:t>
      </w:r>
      <w:proofErr w:type="gramEnd"/>
      <w:r w:rsidR="005065A4" w:rsidRPr="00CD2D4F">
        <w:rPr>
          <w:rFonts w:eastAsia="Calibri"/>
          <w:sz w:val="24"/>
          <w:szCs w:val="24"/>
          <w:lang w:eastAsia="en-US"/>
        </w:rPr>
        <w:t xml:space="preserve"> может</w:t>
      </w:r>
      <w:r w:rsidR="00CD2D4F" w:rsidRPr="00CD2D4F">
        <w:rPr>
          <w:rFonts w:eastAsia="Calibri"/>
          <w:sz w:val="24"/>
          <w:szCs w:val="24"/>
          <w:lang w:eastAsia="en-US"/>
        </w:rPr>
        <w:t xml:space="preserve"> </w:t>
      </w:r>
      <w:r w:rsidR="005065A4" w:rsidRPr="00CD2D4F">
        <w:rPr>
          <w:rFonts w:eastAsia="Calibri"/>
          <w:sz w:val="24"/>
          <w:szCs w:val="24"/>
          <w:lang w:eastAsia="en-US"/>
        </w:rPr>
        <w:t>быть менее 12 месяцев</w:t>
      </w:r>
      <w:r w:rsidR="00CD2D4F" w:rsidRPr="00CD2D4F">
        <w:rPr>
          <w:rFonts w:eastAsia="Calibri"/>
          <w:sz w:val="24"/>
          <w:szCs w:val="24"/>
          <w:lang w:eastAsia="en-US"/>
        </w:rPr>
        <w:t>, изменения в МУ не являются основанием для пересмотра соответствующих тарифов в течение года)</w:t>
      </w:r>
      <w:r w:rsidRPr="00CD2D4F">
        <w:rPr>
          <w:rFonts w:eastAsia="Calibri"/>
          <w:sz w:val="24"/>
          <w:szCs w:val="24"/>
          <w:lang w:eastAsia="en-US"/>
        </w:rPr>
        <w:t xml:space="preserve">. </w:t>
      </w:r>
    </w:p>
    <w:p w:rsidR="005D3BD4" w:rsidRPr="005D3BD4" w:rsidRDefault="005D3BD4" w:rsidP="005D3BD4">
      <w:pPr>
        <w:widowControl/>
        <w:ind w:firstLine="567"/>
        <w:contextualSpacing/>
        <w:jc w:val="both"/>
        <w:rPr>
          <w:rFonts w:eastAsia="Calibri"/>
          <w:sz w:val="24"/>
          <w:szCs w:val="24"/>
          <w:lang w:eastAsia="en-US"/>
        </w:rPr>
      </w:pPr>
      <w:r>
        <w:rPr>
          <w:rFonts w:eastAsia="Calibri"/>
          <w:sz w:val="24"/>
          <w:szCs w:val="24"/>
          <w:lang w:eastAsia="en-US"/>
        </w:rPr>
        <w:t>Так, в</w:t>
      </w:r>
      <w:r w:rsidRPr="005D3BD4">
        <w:rPr>
          <w:rFonts w:eastAsia="Calibri"/>
          <w:sz w:val="24"/>
          <w:szCs w:val="24"/>
          <w:lang w:eastAsia="en-US"/>
        </w:rPr>
        <w:t xml:space="preserve"> соответствии с пунктом 87 Основ ценообразования 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w:t>
      </w:r>
      <w:proofErr w:type="gramStart"/>
      <w:r w:rsidRPr="005D3BD4">
        <w:rPr>
          <w:rFonts w:eastAsia="Calibri"/>
          <w:sz w:val="24"/>
          <w:szCs w:val="24"/>
          <w:lang w:eastAsia="en-US"/>
        </w:rPr>
        <w:t>присоединение</w:t>
      </w:r>
      <w:proofErr w:type="gramEnd"/>
      <w:r w:rsidRPr="005D3BD4">
        <w:rPr>
          <w:rFonts w:eastAsia="Calibri"/>
          <w:sz w:val="24"/>
          <w:szCs w:val="24"/>
          <w:lang w:eastAsia="en-US"/>
        </w:rPr>
        <w:t xml:space="preserve">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w:t>
      </w:r>
      <w:proofErr w:type="gramStart"/>
      <w:r w:rsidRPr="005D3BD4">
        <w:rPr>
          <w:rFonts w:eastAsia="Calibri"/>
          <w:sz w:val="24"/>
          <w:szCs w:val="24"/>
          <w:lang w:eastAsia="en-US"/>
        </w:rPr>
        <w:t xml:space="preserve">Дифференциация стандартизированных тарифных ставок определяется в соответствии с </w:t>
      </w:r>
      <w:r w:rsidRPr="005D3BD4">
        <w:rPr>
          <w:rFonts w:eastAsia="Calibri"/>
          <w:sz w:val="24"/>
          <w:szCs w:val="24"/>
          <w:lang w:eastAsia="en-US"/>
        </w:rPr>
        <w:lastRenderedPageBreak/>
        <w:t>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w:t>
      </w:r>
      <w:r>
        <w:rPr>
          <w:rFonts w:eastAsia="Calibri"/>
          <w:sz w:val="24"/>
          <w:szCs w:val="24"/>
          <w:lang w:eastAsia="en-US"/>
        </w:rPr>
        <w:t>,</w:t>
      </w:r>
      <w:r w:rsidRPr="005D3BD4">
        <w:rPr>
          <w:rFonts w:eastAsia="Calibri"/>
          <w:sz w:val="24"/>
          <w:szCs w:val="24"/>
          <w:lang w:eastAsia="en-US"/>
        </w:rPr>
        <w:t xml:space="preserve"> в том числе</w:t>
      </w:r>
      <w:r>
        <w:rPr>
          <w:rFonts w:eastAsia="Calibri"/>
          <w:sz w:val="24"/>
          <w:szCs w:val="24"/>
          <w:lang w:eastAsia="en-US"/>
        </w:rPr>
        <w:t>,</w:t>
      </w:r>
      <w:r w:rsidRPr="005D3BD4">
        <w:rPr>
          <w:rFonts w:eastAsia="Calibri"/>
          <w:sz w:val="24"/>
          <w:szCs w:val="24"/>
          <w:lang w:eastAsia="en-US"/>
        </w:rPr>
        <w:t xml:space="preserve">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roofErr w:type="gramEnd"/>
    </w:p>
    <w:p w:rsidR="005D3BD4" w:rsidRP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Согласно пункту 7 Правил государственного регулирования цены (тарифы) и (или) их предельные уровни вводятся в действие с начала очередного года на срок не менее 12 месяцев.</w:t>
      </w:r>
    </w:p>
    <w:p w:rsidR="005D3BD4" w:rsidRPr="005D3BD4" w:rsidRDefault="005D3BD4" w:rsidP="005D3BD4">
      <w:pPr>
        <w:widowControl/>
        <w:ind w:firstLine="567"/>
        <w:contextualSpacing/>
        <w:jc w:val="both"/>
        <w:rPr>
          <w:rFonts w:eastAsia="Calibri"/>
          <w:sz w:val="24"/>
          <w:szCs w:val="24"/>
          <w:lang w:eastAsia="en-US"/>
        </w:rPr>
      </w:pPr>
      <w:proofErr w:type="gramStart"/>
      <w:r w:rsidRPr="005D3BD4">
        <w:rPr>
          <w:rFonts w:eastAsia="Calibri"/>
          <w:sz w:val="24"/>
          <w:szCs w:val="24"/>
          <w:lang w:eastAsia="en-US"/>
        </w:rPr>
        <w:t xml:space="preserve">Постановлением Департамента от 30.12.2020 № 78-э/6 </w:t>
      </w:r>
      <w:r>
        <w:rPr>
          <w:rFonts w:eastAsia="Calibri"/>
          <w:sz w:val="24"/>
          <w:szCs w:val="24"/>
          <w:lang w:eastAsia="en-US"/>
        </w:rPr>
        <w:t xml:space="preserve">были </w:t>
      </w:r>
      <w:r w:rsidRPr="005D3BD4">
        <w:rPr>
          <w:rFonts w:eastAsia="Calibri"/>
          <w:sz w:val="24"/>
          <w:szCs w:val="24"/>
          <w:lang w:eastAsia="en-US"/>
        </w:rPr>
        <w:t>установлены стандартизированные тарифные ставки, ставки за единицу максимальной мощности и формулы платы за технологическое присоединение к электрическим сетям территориальных сетевых организаций Ивановской области на 2021 год, в том числе</w:t>
      </w:r>
      <w:r>
        <w:rPr>
          <w:rFonts w:eastAsia="Calibri"/>
          <w:sz w:val="24"/>
          <w:szCs w:val="24"/>
          <w:lang w:eastAsia="en-US"/>
        </w:rPr>
        <w:t>,</w:t>
      </w:r>
      <w:r w:rsidRPr="005D3BD4">
        <w:rPr>
          <w:rFonts w:eastAsia="Calibri"/>
          <w:sz w:val="24"/>
          <w:szCs w:val="24"/>
          <w:lang w:eastAsia="en-US"/>
        </w:rPr>
        <w:t xml:space="preserve"> и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 не связанных со строительством объектов</w:t>
      </w:r>
      <w:proofErr w:type="gramEnd"/>
      <w:r w:rsidRPr="005D3BD4">
        <w:rPr>
          <w:rFonts w:eastAsia="Calibri"/>
          <w:sz w:val="24"/>
          <w:szCs w:val="24"/>
          <w:lang w:eastAsia="en-US"/>
        </w:rPr>
        <w:t xml:space="preserve"> элек</w:t>
      </w:r>
      <w:r>
        <w:rPr>
          <w:rFonts w:eastAsia="Calibri"/>
          <w:sz w:val="24"/>
          <w:szCs w:val="24"/>
          <w:lang w:eastAsia="en-US"/>
        </w:rPr>
        <w:t>тросетевого хозяйства. При этом</w:t>
      </w:r>
      <w:r w:rsidRPr="005D3BD4">
        <w:rPr>
          <w:rFonts w:eastAsia="Calibri"/>
          <w:sz w:val="24"/>
          <w:szCs w:val="24"/>
          <w:lang w:eastAsia="en-US"/>
        </w:rPr>
        <w:t xml:space="preserve"> в соответствии с пунктом 18 Правил технологического присоединения в постановлении Департамента указано, что ставки на покрытие расходов на проверку выполнения сетевой организацией выполнения технических условий заявителем С</w:t>
      </w:r>
      <w:proofErr w:type="gramStart"/>
      <w:r w:rsidRPr="005D3BD4">
        <w:rPr>
          <w:rFonts w:eastAsia="Calibri"/>
          <w:sz w:val="24"/>
          <w:szCs w:val="24"/>
          <w:lang w:eastAsia="en-US"/>
        </w:rPr>
        <w:t>1</w:t>
      </w:r>
      <w:proofErr w:type="gramEnd"/>
      <w:r w:rsidRPr="005D3BD4">
        <w:rPr>
          <w:rFonts w:eastAsia="Calibri"/>
          <w:sz w:val="24"/>
          <w:szCs w:val="24"/>
          <w:lang w:eastAsia="en-US"/>
        </w:rPr>
        <w:t>.2 и СmaxN1.2 не применяются в отношении:</w:t>
      </w:r>
    </w:p>
    <w:p w:rsidR="005D3BD4" w:rsidRP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w:t>
      </w:r>
      <w:proofErr w:type="gramStart"/>
      <w:r w:rsidRPr="005D3BD4">
        <w:rPr>
          <w:rFonts w:eastAsia="Calibri"/>
          <w:sz w:val="24"/>
          <w:szCs w:val="24"/>
          <w:lang w:eastAsia="en-US"/>
        </w:rPr>
        <w:t>Вт вкл</w:t>
      </w:r>
      <w:proofErr w:type="gramEnd"/>
      <w:r w:rsidRPr="005D3BD4">
        <w:rPr>
          <w:rFonts w:eastAsia="Calibri"/>
          <w:sz w:val="24"/>
          <w:szCs w:val="24"/>
          <w:lang w:eastAsia="en-US"/>
        </w:rPr>
        <w:t>ючительно (с учетом ранее присоединенных в данной точке присоединения энергопринимающих устройств), если технологическое присоединение энергопринимающих устройств таких заявителей осуществляется на уровне напряжения 0,4 кВ и ниже;</w:t>
      </w:r>
    </w:p>
    <w:p w:rsidR="005D3BD4" w:rsidRPr="005D3BD4" w:rsidRDefault="005D3BD4" w:rsidP="005D3BD4">
      <w:pPr>
        <w:widowControl/>
        <w:ind w:firstLine="567"/>
        <w:contextualSpacing/>
        <w:jc w:val="both"/>
        <w:rPr>
          <w:rFonts w:eastAsia="Calibri"/>
          <w:sz w:val="24"/>
          <w:szCs w:val="24"/>
          <w:lang w:eastAsia="en-US"/>
        </w:rPr>
      </w:pPr>
      <w:proofErr w:type="gramStart"/>
      <w:r w:rsidRPr="005D3BD4">
        <w:rPr>
          <w:rFonts w:eastAsia="Calibri"/>
          <w:sz w:val="24"/>
          <w:szCs w:val="24"/>
          <w:lang w:eastAsia="en-US"/>
        </w:rPr>
        <w:t>-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если технологическое присоединение энергопринимающих устройств таких заявителей осуществляется на уровне напряжения 0,4 кВ и</w:t>
      </w:r>
      <w:proofErr w:type="gramEnd"/>
      <w:r w:rsidRPr="005D3BD4">
        <w:rPr>
          <w:rFonts w:eastAsia="Calibri"/>
          <w:sz w:val="24"/>
          <w:szCs w:val="24"/>
          <w:lang w:eastAsia="en-US"/>
        </w:rPr>
        <w:t xml:space="preserve"> ниже.</w:t>
      </w:r>
    </w:p>
    <w:p w:rsidR="005D3BD4" w:rsidRP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Таким образом, проверка выполнения заявителем и сетевой организацией технических условий не включается в мероприятия по технологическому присоединению для категорий заявителей, указанных в пунктах 12(1) и 14 Правил № 861, в случае, если технологическое присоединение энергопринимающих устройств таких заявителей осуществляется на уровне напряжения 0,4 кВ и ниже.</w:t>
      </w:r>
    </w:p>
    <w:p w:rsidR="005D3BD4" w:rsidRPr="005D3BD4" w:rsidRDefault="005D3BD4" w:rsidP="005D3BD4">
      <w:pPr>
        <w:widowControl/>
        <w:ind w:firstLine="567"/>
        <w:contextualSpacing/>
        <w:jc w:val="both"/>
        <w:rPr>
          <w:rFonts w:eastAsia="Calibri"/>
          <w:sz w:val="24"/>
          <w:szCs w:val="24"/>
          <w:lang w:eastAsia="en-US"/>
        </w:rPr>
      </w:pPr>
      <w:proofErr w:type="gramStart"/>
      <w:r w:rsidRPr="005D3BD4">
        <w:rPr>
          <w:rFonts w:eastAsia="Calibri"/>
          <w:sz w:val="24"/>
          <w:szCs w:val="24"/>
          <w:lang w:eastAsia="en-US"/>
        </w:rPr>
        <w:t>Согласно пункту 30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(далее – Методические указания), 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w:t>
      </w:r>
      <w:proofErr w:type="gramEnd"/>
      <w:r w:rsidRPr="005D3BD4">
        <w:rPr>
          <w:rFonts w:eastAsia="Calibri"/>
          <w:sz w:val="24"/>
          <w:szCs w:val="24"/>
          <w:lang w:eastAsia="en-US"/>
        </w:rPr>
        <w:t xml:space="preserve"> регулирования по обращению сетевой организации.</w:t>
      </w:r>
    </w:p>
    <w:p w:rsidR="005D3BD4" w:rsidRP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В соответствии с Методическими указаниями ставки на покрытие расходов, не связанных со строительством объектов электросетевого хозяйства, к ставкам на строительство «объектов последней мили» не относятся.</w:t>
      </w:r>
    </w:p>
    <w:p w:rsidR="005D3BD4" w:rsidRP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 xml:space="preserve">Согласно обращению </w:t>
      </w:r>
      <w:r>
        <w:rPr>
          <w:rFonts w:eastAsia="Calibri"/>
          <w:sz w:val="24"/>
          <w:szCs w:val="24"/>
          <w:lang w:eastAsia="en-US"/>
        </w:rPr>
        <w:t xml:space="preserve">филиала «Ивэнерго» </w:t>
      </w:r>
      <w:r w:rsidRPr="005D3BD4">
        <w:rPr>
          <w:rFonts w:eastAsia="Calibri"/>
          <w:sz w:val="24"/>
          <w:szCs w:val="24"/>
          <w:lang w:eastAsia="en-US"/>
        </w:rPr>
        <w:t>от 30.06.2021 № МР7-ИвЭ/25-2/3365, по сути, предлага</w:t>
      </w:r>
      <w:r>
        <w:rPr>
          <w:rFonts w:eastAsia="Calibri"/>
          <w:sz w:val="24"/>
          <w:szCs w:val="24"/>
          <w:lang w:eastAsia="en-US"/>
        </w:rPr>
        <w:t>лось</w:t>
      </w:r>
      <w:r w:rsidRPr="005D3BD4">
        <w:rPr>
          <w:rFonts w:eastAsia="Calibri"/>
          <w:sz w:val="24"/>
          <w:szCs w:val="24"/>
          <w:lang w:eastAsia="en-US"/>
        </w:rPr>
        <w:t xml:space="preserve"> пересмотреть ранее установленные Департаментом на 2021 год ставки на покрытие расходов на проверку сетевой организацией выполнения Заявителем технических условий, что, по мнению Департамента, не соответствует положениям п. 7 Правил № 1178 и Методических указаний.</w:t>
      </w:r>
    </w:p>
    <w:p w:rsidR="005D3BD4" w:rsidRDefault="005D3BD4" w:rsidP="005D3BD4">
      <w:pPr>
        <w:widowControl/>
        <w:ind w:firstLine="567"/>
        <w:contextualSpacing/>
        <w:jc w:val="both"/>
        <w:rPr>
          <w:rFonts w:eastAsia="Calibri"/>
          <w:sz w:val="24"/>
          <w:szCs w:val="24"/>
          <w:lang w:eastAsia="en-US"/>
        </w:rPr>
      </w:pPr>
      <w:r w:rsidRPr="005D3BD4">
        <w:rPr>
          <w:rFonts w:eastAsia="Calibri"/>
          <w:sz w:val="24"/>
          <w:szCs w:val="24"/>
          <w:lang w:eastAsia="en-US"/>
        </w:rPr>
        <w:t xml:space="preserve">С учетом вышеизложенного, а также того факта, что на соответствующие изменения в Методические указания не распространено действие обратной силы, </w:t>
      </w:r>
      <w:r>
        <w:rPr>
          <w:rFonts w:eastAsia="Calibri"/>
          <w:sz w:val="24"/>
          <w:szCs w:val="24"/>
          <w:lang w:eastAsia="en-US"/>
        </w:rPr>
        <w:t>по мнению Департамента,</w:t>
      </w:r>
      <w:r w:rsidRPr="005D3BD4">
        <w:rPr>
          <w:rFonts w:eastAsia="Calibri"/>
          <w:sz w:val="24"/>
          <w:szCs w:val="24"/>
          <w:lang w:eastAsia="en-US"/>
        </w:rPr>
        <w:t xml:space="preserve"> законны</w:t>
      </w:r>
      <w:r>
        <w:rPr>
          <w:rFonts w:eastAsia="Calibri"/>
          <w:sz w:val="24"/>
          <w:szCs w:val="24"/>
          <w:lang w:eastAsia="en-US"/>
        </w:rPr>
        <w:t>е</w:t>
      </w:r>
      <w:r w:rsidRPr="005D3BD4">
        <w:rPr>
          <w:rFonts w:eastAsia="Calibri"/>
          <w:sz w:val="24"/>
          <w:szCs w:val="24"/>
          <w:lang w:eastAsia="en-US"/>
        </w:rPr>
        <w:t xml:space="preserve"> основани</w:t>
      </w:r>
      <w:r>
        <w:rPr>
          <w:rFonts w:eastAsia="Calibri"/>
          <w:sz w:val="24"/>
          <w:szCs w:val="24"/>
          <w:lang w:eastAsia="en-US"/>
        </w:rPr>
        <w:t>я</w:t>
      </w:r>
      <w:r w:rsidRPr="005D3BD4">
        <w:rPr>
          <w:rFonts w:eastAsia="Calibri"/>
          <w:sz w:val="24"/>
          <w:szCs w:val="24"/>
          <w:lang w:eastAsia="en-US"/>
        </w:rPr>
        <w:t xml:space="preserve"> для внесения изменений в ранее принятое постановление Департамента от </w:t>
      </w:r>
      <w:r w:rsidRPr="005D3BD4">
        <w:rPr>
          <w:rFonts w:eastAsia="Calibri"/>
          <w:sz w:val="24"/>
          <w:szCs w:val="24"/>
          <w:lang w:eastAsia="en-US"/>
        </w:rPr>
        <w:lastRenderedPageBreak/>
        <w:t>30.12.2020 № 78-э/6, предлагаемых филиалом «Ивэнерго» ПАО «МРСК Центра и Приволжья»</w:t>
      </w:r>
      <w:r>
        <w:rPr>
          <w:rFonts w:eastAsia="Calibri"/>
          <w:sz w:val="24"/>
          <w:szCs w:val="24"/>
          <w:lang w:eastAsia="en-US"/>
        </w:rPr>
        <w:t>, отсутствовали</w:t>
      </w:r>
      <w:r w:rsidRPr="005D3BD4">
        <w:rPr>
          <w:rFonts w:eastAsia="Calibri"/>
          <w:sz w:val="24"/>
          <w:szCs w:val="24"/>
          <w:lang w:eastAsia="en-US"/>
        </w:rPr>
        <w:t>.</w:t>
      </w:r>
    </w:p>
    <w:p w:rsidR="00CD2D4F" w:rsidRDefault="00AE592F" w:rsidP="00AE592F">
      <w:pPr>
        <w:widowControl/>
        <w:ind w:firstLine="567"/>
        <w:contextualSpacing/>
        <w:jc w:val="both"/>
        <w:rPr>
          <w:rFonts w:eastAsia="Calibri"/>
          <w:sz w:val="24"/>
          <w:szCs w:val="24"/>
          <w:lang w:eastAsia="en-US"/>
        </w:rPr>
      </w:pPr>
      <w:r w:rsidRPr="00CD2D4F">
        <w:rPr>
          <w:rFonts w:eastAsia="Calibri"/>
          <w:sz w:val="24"/>
          <w:szCs w:val="24"/>
          <w:lang w:eastAsia="en-US"/>
        </w:rPr>
        <w:t>Использование не утвержденных в установленном порядке ставок для определения величины выпадающих доходов от технологического присоединения Методическими указаниями № 215-э/1 не предусмотрено.</w:t>
      </w:r>
    </w:p>
    <w:p w:rsidR="000B292B" w:rsidRPr="00F939D1" w:rsidRDefault="005065A4" w:rsidP="00AE592F">
      <w:pPr>
        <w:widowControl/>
        <w:ind w:firstLine="567"/>
        <w:contextualSpacing/>
        <w:jc w:val="both"/>
        <w:rPr>
          <w:rFonts w:eastAsia="Calibri"/>
          <w:sz w:val="24"/>
          <w:szCs w:val="24"/>
          <w:lang w:eastAsia="en-US"/>
        </w:rPr>
      </w:pPr>
      <w:proofErr w:type="gramStart"/>
      <w:r w:rsidRPr="00F939D1">
        <w:rPr>
          <w:rFonts w:eastAsia="Calibri"/>
          <w:sz w:val="24"/>
          <w:szCs w:val="24"/>
          <w:lang w:eastAsia="en-US"/>
        </w:rPr>
        <w:t xml:space="preserve">Департамент также отмечает, что в обоснование </w:t>
      </w:r>
      <w:r w:rsidR="00CD2D4F" w:rsidRPr="00F939D1">
        <w:rPr>
          <w:rFonts w:eastAsia="Calibri"/>
          <w:sz w:val="24"/>
          <w:szCs w:val="24"/>
          <w:lang w:eastAsia="en-US"/>
        </w:rPr>
        <w:t xml:space="preserve">стоимости </w:t>
      </w:r>
      <w:r w:rsidRPr="00F939D1">
        <w:rPr>
          <w:rFonts w:eastAsia="Calibri"/>
          <w:sz w:val="24"/>
          <w:szCs w:val="24"/>
          <w:lang w:eastAsia="en-US"/>
        </w:rPr>
        <w:t xml:space="preserve">фактически производимых </w:t>
      </w:r>
      <w:r w:rsidR="00CD2D4F" w:rsidRPr="00F939D1">
        <w:rPr>
          <w:rFonts w:eastAsia="Calibri"/>
          <w:sz w:val="24"/>
          <w:szCs w:val="24"/>
          <w:lang w:eastAsia="en-US"/>
        </w:rPr>
        <w:t xml:space="preserve">и заявленных </w:t>
      </w:r>
      <w:r w:rsidRPr="00F939D1">
        <w:rPr>
          <w:rFonts w:eastAsia="Calibri"/>
          <w:sz w:val="24"/>
          <w:szCs w:val="24"/>
          <w:lang w:eastAsia="en-US"/>
        </w:rPr>
        <w:t xml:space="preserve">филиалом «Ивэнерго» работ </w:t>
      </w:r>
      <w:r w:rsidR="00F939D1" w:rsidRPr="00F939D1">
        <w:rPr>
          <w:rFonts w:eastAsia="Calibri"/>
          <w:sz w:val="24"/>
          <w:szCs w:val="24"/>
          <w:lang w:eastAsia="en-US"/>
        </w:rPr>
        <w:t xml:space="preserve">за 2021 год </w:t>
      </w:r>
      <w:r w:rsidRPr="00F939D1">
        <w:rPr>
          <w:rFonts w:eastAsia="Calibri"/>
          <w:sz w:val="24"/>
          <w:szCs w:val="24"/>
          <w:lang w:eastAsia="en-US"/>
        </w:rPr>
        <w:t xml:space="preserve">на выполнение мероприятий </w:t>
      </w:r>
      <w:r w:rsidR="00CD2D4F" w:rsidRPr="00F939D1">
        <w:rPr>
          <w:rFonts w:eastAsia="Calibri"/>
          <w:sz w:val="24"/>
          <w:szCs w:val="24"/>
          <w:lang w:eastAsia="en-US"/>
        </w:rPr>
        <w:t>(оформление акта об осуществлении ТП, акта допуска прибора учета в эксплуатацию, сопровождение безопасного присоединения к электросети, создание личного кабинета потребителя и обеспечение к нему доступа гарантирующего поставщика, размещение в личном кабинете договора ТП, ТУ и других документов, предоставление по требованию</w:t>
      </w:r>
      <w:proofErr w:type="gramEnd"/>
      <w:r w:rsidR="00CD2D4F" w:rsidRPr="00F939D1">
        <w:rPr>
          <w:rFonts w:eastAsia="Calibri"/>
          <w:sz w:val="24"/>
          <w:szCs w:val="24"/>
          <w:lang w:eastAsia="en-US"/>
        </w:rPr>
        <w:t xml:space="preserve"> заявителя документов на бумажном носителе) в материалы тарифного дела </w:t>
      </w:r>
      <w:r w:rsidR="00F939D1" w:rsidRPr="00F939D1">
        <w:rPr>
          <w:rFonts w:eastAsia="Calibri"/>
          <w:sz w:val="24"/>
          <w:szCs w:val="24"/>
          <w:lang w:eastAsia="en-US"/>
        </w:rPr>
        <w:t xml:space="preserve">филиалом «Ивэнерго» </w:t>
      </w:r>
      <w:r w:rsidR="00CD2D4F" w:rsidRPr="00F939D1">
        <w:rPr>
          <w:rFonts w:eastAsia="Calibri"/>
          <w:sz w:val="24"/>
          <w:szCs w:val="24"/>
          <w:lang w:eastAsia="en-US"/>
        </w:rPr>
        <w:t xml:space="preserve">не предоставлены соответствующие фактические калькуляции с перечнем вышеуказанных работ и обоснованием (расшифровкой) их фактической стоимости. </w:t>
      </w:r>
      <w:proofErr w:type="gramStart"/>
      <w:r w:rsidR="00CD2D4F" w:rsidRPr="00F939D1">
        <w:rPr>
          <w:rFonts w:eastAsia="Calibri"/>
          <w:sz w:val="24"/>
          <w:szCs w:val="24"/>
          <w:lang w:eastAsia="en-US"/>
        </w:rPr>
        <w:t xml:space="preserve">Кроме того, работы по созданию личного кабинета потребителя и обеспечения к нему доступа гарантирующего поставщика, размещению в личном кабинете договора ТП, ТУ и других документов, предоставления по требованию заявителя документов на бумажном носителе, по мнению Департамента, могут быть отнесены в состав работ по мероприятию </w:t>
      </w:r>
      <w:r w:rsidR="00F939D1" w:rsidRPr="00F939D1">
        <w:rPr>
          <w:rFonts w:eastAsia="Calibri"/>
          <w:sz w:val="24"/>
          <w:szCs w:val="24"/>
          <w:lang w:eastAsia="en-US"/>
        </w:rPr>
        <w:t>«П</w:t>
      </w:r>
      <w:r w:rsidR="00CD2D4F" w:rsidRPr="00F939D1">
        <w:rPr>
          <w:rFonts w:eastAsia="Calibri"/>
          <w:sz w:val="24"/>
          <w:szCs w:val="24"/>
          <w:lang w:eastAsia="en-US"/>
        </w:rPr>
        <w:t>одготовка и выдача сетевой организацией технических условий (ТУ) Заявителю</w:t>
      </w:r>
      <w:r w:rsidR="00F939D1" w:rsidRPr="00F939D1">
        <w:rPr>
          <w:rFonts w:eastAsia="Calibri"/>
          <w:sz w:val="24"/>
          <w:szCs w:val="24"/>
          <w:lang w:eastAsia="en-US"/>
        </w:rPr>
        <w:t>», так как изначально для данной категории заявителей</w:t>
      </w:r>
      <w:proofErr w:type="gramEnd"/>
      <w:r w:rsidR="00F939D1" w:rsidRPr="00F939D1">
        <w:rPr>
          <w:rFonts w:eastAsia="Calibri"/>
          <w:sz w:val="24"/>
          <w:szCs w:val="24"/>
          <w:lang w:eastAsia="en-US"/>
        </w:rPr>
        <w:t xml:space="preserve"> в соответствии с законодательством взаимодействие с ТСО предусмотрено в обязательном порядке через сервис «Личный кабинет».</w:t>
      </w:r>
      <w:r w:rsidR="00F939D1">
        <w:rPr>
          <w:rFonts w:eastAsia="Calibri"/>
          <w:sz w:val="24"/>
          <w:szCs w:val="24"/>
          <w:lang w:eastAsia="en-US"/>
        </w:rPr>
        <w:t xml:space="preserve"> Все данные о заявителе заносятся в базу на этапе </w:t>
      </w:r>
      <w:r w:rsidR="00341E04">
        <w:rPr>
          <w:rFonts w:eastAsia="Calibri"/>
          <w:sz w:val="24"/>
          <w:szCs w:val="24"/>
          <w:lang w:eastAsia="en-US"/>
        </w:rPr>
        <w:t xml:space="preserve">подачи заявителем заявки, </w:t>
      </w:r>
      <w:r w:rsidR="00F939D1">
        <w:rPr>
          <w:rFonts w:eastAsia="Calibri"/>
          <w:sz w:val="24"/>
          <w:szCs w:val="24"/>
          <w:lang w:eastAsia="en-US"/>
        </w:rPr>
        <w:t>подготовки договора ТП и выдачи ТУ и должны в дальнейшем обрабатываться в автоматическом режиме без существенных материальных и трудовых затрат.</w:t>
      </w:r>
    </w:p>
    <w:p w:rsidR="005657C9" w:rsidRPr="006C3F8F" w:rsidRDefault="005657C9" w:rsidP="005657C9">
      <w:pPr>
        <w:widowControl/>
        <w:ind w:firstLine="567"/>
        <w:contextualSpacing/>
        <w:jc w:val="both"/>
        <w:rPr>
          <w:rFonts w:eastAsia="Calibri"/>
          <w:i/>
          <w:sz w:val="24"/>
          <w:szCs w:val="24"/>
          <w:lang w:eastAsia="en-US"/>
        </w:rPr>
      </w:pPr>
      <w:r w:rsidRPr="006C3F8F">
        <w:rPr>
          <w:rFonts w:eastAsia="Calibri"/>
          <w:i/>
          <w:sz w:val="24"/>
          <w:szCs w:val="24"/>
          <w:lang w:eastAsia="en-US"/>
        </w:rPr>
        <w:t>- Расходы на обслуживание заемных средств и возврат тела кредита по факту 2021 года.</w:t>
      </w:r>
    </w:p>
    <w:p w:rsidR="005657C9" w:rsidRPr="006C3F8F" w:rsidRDefault="005657C9" w:rsidP="005657C9">
      <w:pPr>
        <w:widowControl/>
        <w:ind w:firstLine="567"/>
        <w:jc w:val="both"/>
        <w:rPr>
          <w:rFonts w:eastAsia="Calibri"/>
          <w:sz w:val="24"/>
          <w:szCs w:val="24"/>
          <w:lang w:eastAsia="en-US"/>
        </w:rPr>
      </w:pPr>
      <w:r w:rsidRPr="006C3F8F">
        <w:rPr>
          <w:rFonts w:eastAsia="Calibri"/>
          <w:sz w:val="24"/>
          <w:szCs w:val="24"/>
          <w:lang w:eastAsia="en-US"/>
        </w:rPr>
        <w:t>В рамках тарифной заявки на 2023 год была представлена информация о величине расходов на обслуживание долга и возврат тела кредита, отнесенных на филиал «Ивэнерго», по факту 2021 года в размере 43 001,68 тыс. руб</w:t>
      </w:r>
      <w:r w:rsidR="00AE592F" w:rsidRPr="006C3F8F">
        <w:rPr>
          <w:rFonts w:eastAsia="Calibri"/>
          <w:sz w:val="24"/>
          <w:szCs w:val="24"/>
          <w:lang w:eastAsia="en-US"/>
        </w:rPr>
        <w:t>.</w:t>
      </w:r>
      <w:r w:rsidRPr="006C3F8F">
        <w:rPr>
          <w:rFonts w:eastAsia="Calibri"/>
          <w:sz w:val="24"/>
          <w:szCs w:val="24"/>
          <w:lang w:eastAsia="en-US"/>
        </w:rPr>
        <w:t>, в том числе:</w:t>
      </w:r>
    </w:p>
    <w:p w:rsidR="005657C9" w:rsidRPr="006C3F8F" w:rsidRDefault="00AE592F" w:rsidP="005657C9">
      <w:pPr>
        <w:widowControl/>
        <w:numPr>
          <w:ilvl w:val="0"/>
          <w:numId w:val="36"/>
        </w:numPr>
        <w:spacing w:after="160"/>
        <w:ind w:left="0" w:firstLine="567"/>
        <w:contextualSpacing/>
        <w:jc w:val="both"/>
        <w:rPr>
          <w:rFonts w:eastAsia="Calibri"/>
          <w:sz w:val="24"/>
          <w:szCs w:val="24"/>
          <w:lang w:eastAsia="en-US"/>
        </w:rPr>
      </w:pPr>
      <w:r w:rsidRPr="006C3F8F">
        <w:rPr>
          <w:rFonts w:eastAsia="Calibri"/>
          <w:sz w:val="24"/>
          <w:szCs w:val="24"/>
          <w:lang w:eastAsia="en-US"/>
        </w:rPr>
        <w:t xml:space="preserve"> в</w:t>
      </w:r>
      <w:r w:rsidR="005657C9" w:rsidRPr="006C3F8F">
        <w:rPr>
          <w:rFonts w:eastAsia="Calibri"/>
          <w:sz w:val="24"/>
          <w:szCs w:val="24"/>
          <w:lang w:eastAsia="en-US"/>
        </w:rPr>
        <w:t>еличина процентов за кредит на инвестиционные цели, без учета процентов за кредит по консолидационному займу, в размере 34 30</w:t>
      </w:r>
      <w:r w:rsidR="00E84606" w:rsidRPr="006C3F8F">
        <w:rPr>
          <w:rFonts w:eastAsia="Calibri"/>
          <w:sz w:val="24"/>
          <w:szCs w:val="24"/>
          <w:lang w:eastAsia="en-US"/>
        </w:rPr>
        <w:t>4</w:t>
      </w:r>
      <w:r w:rsidR="005657C9" w:rsidRPr="006C3F8F">
        <w:rPr>
          <w:rFonts w:eastAsia="Calibri"/>
          <w:sz w:val="24"/>
          <w:szCs w:val="24"/>
          <w:lang w:eastAsia="en-US"/>
        </w:rPr>
        <w:t>,12 тыс. руб</w:t>
      </w:r>
      <w:r w:rsidRPr="006C3F8F">
        <w:rPr>
          <w:rFonts w:eastAsia="Calibri"/>
          <w:sz w:val="24"/>
          <w:szCs w:val="24"/>
          <w:lang w:eastAsia="en-US"/>
        </w:rPr>
        <w:t>.</w:t>
      </w:r>
      <w:r w:rsidR="005657C9" w:rsidRPr="006C3F8F">
        <w:rPr>
          <w:rFonts w:eastAsia="Calibri"/>
          <w:sz w:val="24"/>
          <w:szCs w:val="24"/>
          <w:lang w:eastAsia="en-US"/>
        </w:rPr>
        <w:t>;</w:t>
      </w:r>
    </w:p>
    <w:p w:rsidR="005657C9" w:rsidRPr="00AE592F" w:rsidRDefault="00AE592F" w:rsidP="005657C9">
      <w:pPr>
        <w:widowControl/>
        <w:numPr>
          <w:ilvl w:val="0"/>
          <w:numId w:val="36"/>
        </w:numPr>
        <w:spacing w:after="160"/>
        <w:ind w:left="0" w:firstLine="567"/>
        <w:contextualSpacing/>
        <w:jc w:val="both"/>
        <w:rPr>
          <w:rFonts w:eastAsia="Calibri"/>
          <w:sz w:val="24"/>
          <w:szCs w:val="24"/>
          <w:lang w:eastAsia="en-US"/>
        </w:rPr>
      </w:pPr>
      <w:r>
        <w:rPr>
          <w:rFonts w:eastAsia="Calibri"/>
          <w:sz w:val="24"/>
          <w:szCs w:val="24"/>
          <w:lang w:eastAsia="en-US"/>
        </w:rPr>
        <w:t xml:space="preserve"> п</w:t>
      </w:r>
      <w:r w:rsidR="005657C9" w:rsidRPr="00AE592F">
        <w:rPr>
          <w:rFonts w:eastAsia="Calibri"/>
          <w:sz w:val="24"/>
          <w:szCs w:val="24"/>
          <w:lang w:eastAsia="en-US"/>
        </w:rPr>
        <w:t>огашение тела кредита, привлеченного ранее на инвестиционные цели, в размере 8 697,56 тыс. руб.</w:t>
      </w:r>
    </w:p>
    <w:p w:rsidR="005657C9" w:rsidRPr="00AE592F" w:rsidRDefault="005657C9" w:rsidP="005657C9">
      <w:pPr>
        <w:widowControl/>
        <w:ind w:firstLine="567"/>
        <w:jc w:val="both"/>
        <w:rPr>
          <w:rFonts w:eastAsia="Calibri"/>
          <w:sz w:val="24"/>
          <w:szCs w:val="24"/>
          <w:lang w:eastAsia="en-US"/>
        </w:rPr>
      </w:pPr>
      <w:r w:rsidRPr="00AE592F">
        <w:rPr>
          <w:rFonts w:eastAsia="Calibri"/>
          <w:sz w:val="24"/>
          <w:szCs w:val="24"/>
          <w:lang w:eastAsia="en-US"/>
        </w:rPr>
        <w:t>Согласно материалам к Правлению, органом регулирования учитывается сумма расходов по данной статье в размере 32 466,0 тыс. руб</w:t>
      </w:r>
      <w:r w:rsidR="00AE592F" w:rsidRPr="00AE592F">
        <w:rPr>
          <w:rFonts w:eastAsia="Calibri"/>
          <w:sz w:val="24"/>
          <w:szCs w:val="24"/>
          <w:lang w:eastAsia="en-US"/>
        </w:rPr>
        <w:t>.</w:t>
      </w:r>
      <w:r w:rsidRPr="00AE592F">
        <w:rPr>
          <w:rFonts w:eastAsia="Calibri"/>
          <w:sz w:val="24"/>
          <w:szCs w:val="24"/>
          <w:lang w:eastAsia="en-US"/>
        </w:rPr>
        <w:t xml:space="preserve"> – без учета процентов за кредит, относящихся по бухгалтерскому учету на стоимость основных средств, а также погашения тела кредита на инвестиционные цели.</w:t>
      </w:r>
    </w:p>
    <w:p w:rsidR="005657C9" w:rsidRPr="005F2896" w:rsidRDefault="005657C9" w:rsidP="005657C9">
      <w:pPr>
        <w:widowControl/>
        <w:ind w:firstLine="567"/>
        <w:jc w:val="both"/>
        <w:rPr>
          <w:rFonts w:eastAsia="Calibri"/>
          <w:sz w:val="24"/>
          <w:szCs w:val="24"/>
          <w:lang w:eastAsia="en-US"/>
        </w:rPr>
      </w:pPr>
      <w:r w:rsidRPr="005F2896">
        <w:rPr>
          <w:rFonts w:eastAsia="Calibri"/>
          <w:sz w:val="24"/>
          <w:szCs w:val="24"/>
          <w:lang w:eastAsia="en-US"/>
        </w:rPr>
        <w:t>Филиал «Ивэнерго» выражает несогласие с отказом органа регулирования в компенсации полной суммы расходов на обслуживание заемных средства и погашения тела кредита по факту 2021 года.</w:t>
      </w:r>
    </w:p>
    <w:p w:rsidR="005657C9" w:rsidRPr="005F2896" w:rsidRDefault="005657C9" w:rsidP="005657C9">
      <w:pPr>
        <w:widowControl/>
        <w:ind w:firstLine="567"/>
        <w:jc w:val="both"/>
        <w:rPr>
          <w:rFonts w:eastAsia="Calibri"/>
          <w:sz w:val="24"/>
          <w:szCs w:val="24"/>
          <w:lang w:eastAsia="en-US"/>
        </w:rPr>
      </w:pPr>
      <w:proofErr w:type="gramStart"/>
      <w:r w:rsidRPr="005F2896">
        <w:rPr>
          <w:rFonts w:eastAsia="Calibri"/>
          <w:sz w:val="24"/>
          <w:szCs w:val="24"/>
          <w:lang w:eastAsia="en-US"/>
        </w:rPr>
        <w:t>Необходимо отметить, что пунктом 7 Основ ценообразования в области регулируемых цен (тарифов) в электроэнергетике, утв</w:t>
      </w:r>
      <w:r w:rsidR="005F2896" w:rsidRPr="005F2896">
        <w:rPr>
          <w:rFonts w:eastAsia="Calibri"/>
          <w:sz w:val="24"/>
          <w:szCs w:val="24"/>
          <w:lang w:eastAsia="en-US"/>
        </w:rPr>
        <w:t>ержденных п</w:t>
      </w:r>
      <w:r w:rsidRPr="005F2896">
        <w:rPr>
          <w:rFonts w:eastAsia="Calibri"/>
          <w:sz w:val="24"/>
          <w:szCs w:val="24"/>
          <w:lang w:eastAsia="en-US"/>
        </w:rPr>
        <w:t>остановлением Правительства РФ от 29.12.2011 №1178, установлено, что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w:t>
      </w:r>
      <w:proofErr w:type="gramEnd"/>
      <w:r w:rsidRPr="005F2896">
        <w:rPr>
          <w:rFonts w:eastAsia="Calibri"/>
          <w:sz w:val="24"/>
          <w:szCs w:val="24"/>
          <w:lang w:eastAsia="en-US"/>
        </w:rPr>
        <w:t xml:space="preserve">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w:t>
      </w:r>
      <w:r w:rsidRPr="005F2896">
        <w:rPr>
          <w:rFonts w:eastAsia="Calibri"/>
          <w:sz w:val="24"/>
          <w:szCs w:val="24"/>
          <w:u w:val="single"/>
          <w:lang w:eastAsia="en-US"/>
        </w:rPr>
        <w:t>фактически понесенных расходов</w:t>
      </w:r>
      <w:r w:rsidRPr="005F2896">
        <w:rPr>
          <w:rFonts w:eastAsia="Calibri"/>
          <w:sz w:val="24"/>
          <w:szCs w:val="24"/>
          <w:lang w:eastAsia="en-US"/>
        </w:rPr>
        <w:t xml:space="preserve">, не превышающем величину, равную </w:t>
      </w:r>
      <w:hyperlink r:id="rId14" w:history="1">
        <w:r w:rsidRPr="005F2896">
          <w:rPr>
            <w:rFonts w:eastAsia="Calibri"/>
            <w:sz w:val="24"/>
            <w:szCs w:val="24"/>
            <w:lang w:eastAsia="en-US"/>
          </w:rPr>
          <w:t>ключевой ставке</w:t>
        </w:r>
      </w:hyperlink>
      <w:r w:rsidRPr="005F2896">
        <w:rPr>
          <w:rFonts w:eastAsia="Calibri"/>
          <w:sz w:val="24"/>
          <w:szCs w:val="24"/>
          <w:lang w:eastAsia="en-US"/>
        </w:rPr>
        <w:t xml:space="preserve"> Центрального банка Российской Федерации, увеличенной на 4 процентных пункта.</w:t>
      </w:r>
    </w:p>
    <w:p w:rsidR="005657C9" w:rsidRPr="005F2896" w:rsidRDefault="005657C9" w:rsidP="005657C9">
      <w:pPr>
        <w:widowControl/>
        <w:ind w:firstLine="567"/>
        <w:jc w:val="both"/>
        <w:rPr>
          <w:rFonts w:eastAsia="Calibri"/>
          <w:sz w:val="24"/>
          <w:szCs w:val="24"/>
          <w:lang w:eastAsia="en-US"/>
        </w:rPr>
      </w:pPr>
      <w:r w:rsidRPr="005F2896">
        <w:rPr>
          <w:rFonts w:eastAsia="Calibri"/>
          <w:sz w:val="24"/>
          <w:szCs w:val="24"/>
          <w:lang w:eastAsia="en-US"/>
        </w:rPr>
        <w:t xml:space="preserve">Средняя процентная ставка по кредитам, отнесенным на филиал «Ивэнерго», по факту 2021 года составила 5,9% и не превышала ключевую ставку Банка России, которая изменялась в течение отчетного года от </w:t>
      </w:r>
      <w:r w:rsidRPr="005F2896">
        <w:rPr>
          <w:rFonts w:eastAsia="Calibri"/>
          <w:i/>
          <w:sz w:val="24"/>
          <w:szCs w:val="24"/>
          <w:lang w:eastAsia="en-US"/>
        </w:rPr>
        <w:t>4,25%</w:t>
      </w:r>
      <w:r w:rsidRPr="005F2896">
        <w:rPr>
          <w:rFonts w:eastAsia="Calibri"/>
          <w:sz w:val="24"/>
          <w:szCs w:val="24"/>
          <w:lang w:eastAsia="en-US"/>
        </w:rPr>
        <w:t xml:space="preserve"> (на начало 2021 года) до </w:t>
      </w:r>
      <w:r w:rsidRPr="005F2896">
        <w:rPr>
          <w:rFonts w:eastAsia="Calibri"/>
          <w:i/>
          <w:sz w:val="24"/>
          <w:szCs w:val="24"/>
          <w:lang w:eastAsia="en-US"/>
        </w:rPr>
        <w:t>8,5%</w:t>
      </w:r>
      <w:r w:rsidRPr="005F2896">
        <w:rPr>
          <w:rFonts w:eastAsia="Calibri"/>
          <w:sz w:val="24"/>
          <w:szCs w:val="24"/>
          <w:lang w:eastAsia="en-US"/>
        </w:rPr>
        <w:t xml:space="preserve"> (</w:t>
      </w:r>
      <w:proofErr w:type="gramStart"/>
      <w:r w:rsidRPr="005F2896">
        <w:rPr>
          <w:rFonts w:eastAsia="Calibri"/>
          <w:sz w:val="24"/>
          <w:szCs w:val="24"/>
          <w:lang w:eastAsia="en-US"/>
        </w:rPr>
        <w:t>на конец</w:t>
      </w:r>
      <w:proofErr w:type="gramEnd"/>
      <w:r w:rsidRPr="005F2896">
        <w:rPr>
          <w:rFonts w:eastAsia="Calibri"/>
          <w:sz w:val="24"/>
          <w:szCs w:val="24"/>
          <w:lang w:eastAsia="en-US"/>
        </w:rPr>
        <w:t xml:space="preserve"> 2021 года).</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lastRenderedPageBreak/>
        <w:t>Фактические расходы на проценты за кредит по филиалу «Ивэнерго» подтверждены первичными документами (платежными поручениями) и выпиской из счета 66 «Расчеты по краткосрочным кредитам. Проценты» и счета 67 «Расчеты по долгосрочным кредитам. Проценты».</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В этой связи, филиал «Ивэнерго» настаивает на включении расходов на проценты за кредит в полном объеме в размере 34 30</w:t>
      </w:r>
      <w:r w:rsidR="006A5EB4">
        <w:rPr>
          <w:rFonts w:eastAsia="Calibri"/>
          <w:sz w:val="24"/>
          <w:szCs w:val="24"/>
          <w:lang w:eastAsia="en-US"/>
        </w:rPr>
        <w:t>4</w:t>
      </w:r>
      <w:r w:rsidRPr="00CD0B04">
        <w:rPr>
          <w:rFonts w:eastAsia="Calibri"/>
          <w:sz w:val="24"/>
          <w:szCs w:val="24"/>
          <w:lang w:eastAsia="en-US"/>
        </w:rPr>
        <w:t>,12 тыс. руб</w:t>
      </w:r>
      <w:r w:rsidR="00CD0B04" w:rsidRPr="00CD0B04">
        <w:rPr>
          <w:rFonts w:eastAsia="Calibri"/>
          <w:sz w:val="24"/>
          <w:szCs w:val="24"/>
          <w:lang w:eastAsia="en-US"/>
        </w:rPr>
        <w:t>.</w:t>
      </w:r>
      <w:r w:rsidRPr="00CD0B04">
        <w:rPr>
          <w:rFonts w:eastAsia="Calibri"/>
          <w:sz w:val="24"/>
          <w:szCs w:val="24"/>
          <w:lang w:eastAsia="en-US"/>
        </w:rPr>
        <w:t xml:space="preserve"> в расчете компенсации фактически понесенных неподконтрольных расходов по факту 2021 года.</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В отношении погашения тела кредита необходимо отметить следующее.</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В соответствии с пунктом 11 Методических указаний №</w:t>
      </w:r>
      <w:r w:rsidR="00CD0B04" w:rsidRPr="00CD0B04">
        <w:rPr>
          <w:rFonts w:eastAsia="Calibri"/>
          <w:sz w:val="24"/>
          <w:szCs w:val="24"/>
          <w:lang w:eastAsia="en-US"/>
        </w:rPr>
        <w:t xml:space="preserve"> </w:t>
      </w:r>
      <w:r w:rsidRPr="00CD0B04">
        <w:rPr>
          <w:rFonts w:eastAsia="Calibri"/>
          <w:sz w:val="24"/>
          <w:szCs w:val="24"/>
          <w:lang w:eastAsia="en-US"/>
        </w:rPr>
        <w:t xml:space="preserve">98-э в состав неподконтрольных расходов включаются расходы - расходы на возврат и обслуживание долгосрочных заемных средств, в том числе направляемых на финансирование капитальных вложений в соответствии с </w:t>
      </w:r>
      <w:hyperlink r:id="rId15" w:history="1">
        <w:r w:rsidRPr="00CD0B04">
          <w:rPr>
            <w:rFonts w:eastAsia="Calibri"/>
            <w:sz w:val="24"/>
            <w:szCs w:val="24"/>
            <w:lang w:eastAsia="en-US"/>
          </w:rPr>
          <w:t>пунктом 32</w:t>
        </w:r>
      </w:hyperlink>
      <w:r w:rsidRPr="00CD0B04">
        <w:rPr>
          <w:rFonts w:eastAsia="Calibri"/>
          <w:sz w:val="24"/>
          <w:szCs w:val="24"/>
          <w:lang w:eastAsia="en-US"/>
        </w:rPr>
        <w:t xml:space="preserve"> Основ ценообразования.</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Пунктом 32 Основ ценообразования установлено, что 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фактических расходов из прибыли (направленных</w:t>
      </w:r>
      <w:r w:rsidR="00CD0B04" w:rsidRPr="00CD0B04">
        <w:rPr>
          <w:rFonts w:eastAsia="Calibri"/>
          <w:sz w:val="24"/>
          <w:szCs w:val="24"/>
          <w:lang w:eastAsia="en-US"/>
        </w:rPr>
        <w:t>,</w:t>
      </w:r>
      <w:r w:rsidRPr="00CD0B04">
        <w:rPr>
          <w:rFonts w:eastAsia="Calibri"/>
          <w:sz w:val="24"/>
          <w:szCs w:val="24"/>
          <w:lang w:eastAsia="en-US"/>
        </w:rPr>
        <w:t xml:space="preserve"> в том числе</w:t>
      </w:r>
      <w:r w:rsidR="00CD0B04">
        <w:rPr>
          <w:rFonts w:eastAsia="Calibri"/>
          <w:sz w:val="24"/>
          <w:szCs w:val="24"/>
          <w:lang w:eastAsia="en-US"/>
        </w:rPr>
        <w:t>,</w:t>
      </w:r>
      <w:r w:rsidRPr="00CD0B04">
        <w:rPr>
          <w:rFonts w:eastAsia="Calibri"/>
          <w:sz w:val="24"/>
          <w:szCs w:val="24"/>
          <w:lang w:eastAsia="en-US"/>
        </w:rPr>
        <w:t xml:space="preserve">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Со стороны филиала «Ивэнерго» направлены документы, подтверждающие изменение инвестиционного кредитного портфеля в 2021 году с учетом распределения части средств из чистой прибыли организации, направленных на погашение займов, ранее привлеченных на инвестиционные цели, в размере 8 697,56 тыс. руб</w:t>
      </w:r>
      <w:r w:rsidR="00CD0B04">
        <w:rPr>
          <w:rFonts w:eastAsia="Calibri"/>
          <w:sz w:val="24"/>
          <w:szCs w:val="24"/>
          <w:lang w:eastAsia="en-US"/>
        </w:rPr>
        <w:t>.</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Ссылка органа регулирования на возможность погашения ранее привлеченных кредитов за счет экономии расходов по иным статьям регулируемой необходимой валовой выручки, не основан на нормах действующего законодательства в области тарифного регулирования и методических указаний по методу долгосрочной индексации НВВ.</w:t>
      </w:r>
    </w:p>
    <w:p w:rsidR="005657C9" w:rsidRPr="00CD0B04" w:rsidRDefault="005657C9" w:rsidP="005657C9">
      <w:pPr>
        <w:widowControl/>
        <w:ind w:firstLine="567"/>
        <w:jc w:val="both"/>
        <w:rPr>
          <w:rFonts w:eastAsia="Calibri"/>
          <w:sz w:val="24"/>
          <w:szCs w:val="24"/>
          <w:lang w:eastAsia="en-US"/>
        </w:rPr>
      </w:pPr>
      <w:r w:rsidRPr="00CD0B04">
        <w:rPr>
          <w:rFonts w:eastAsia="Calibri"/>
          <w:sz w:val="24"/>
          <w:szCs w:val="24"/>
          <w:lang w:eastAsia="en-US"/>
        </w:rPr>
        <w:t>В этой связи, филиал «Ивэнерго» настаивает на включении расходов на погашение тела кредита в размере 8 697,56 тыс. рублей в расчете компенсации фактически понесенных неподконтрольных расходов по факту 2021 года.</w:t>
      </w:r>
    </w:p>
    <w:p w:rsidR="00CD0B04" w:rsidRPr="008536F3" w:rsidRDefault="00CD0B04" w:rsidP="005657C9">
      <w:pPr>
        <w:widowControl/>
        <w:ind w:firstLine="567"/>
        <w:jc w:val="both"/>
        <w:rPr>
          <w:rFonts w:eastAsia="Calibri"/>
          <w:sz w:val="24"/>
          <w:szCs w:val="24"/>
          <w:lang w:eastAsia="en-US"/>
        </w:rPr>
      </w:pPr>
      <w:r w:rsidRPr="008536F3">
        <w:rPr>
          <w:rFonts w:eastAsia="Calibri"/>
          <w:sz w:val="24"/>
          <w:szCs w:val="24"/>
          <w:lang w:eastAsia="en-US"/>
        </w:rPr>
        <w:t>Департамент по вышеперечисленным доводам отмечает следующее.</w:t>
      </w:r>
    </w:p>
    <w:p w:rsidR="00CD0B04" w:rsidRPr="008536F3" w:rsidRDefault="00917700" w:rsidP="005657C9">
      <w:pPr>
        <w:widowControl/>
        <w:ind w:firstLine="567"/>
        <w:jc w:val="both"/>
        <w:rPr>
          <w:rFonts w:eastAsia="Calibri"/>
          <w:sz w:val="24"/>
          <w:szCs w:val="24"/>
          <w:lang w:eastAsia="en-US"/>
        </w:rPr>
      </w:pPr>
      <w:proofErr w:type="gramStart"/>
      <w:r w:rsidRPr="008536F3">
        <w:rPr>
          <w:rFonts w:eastAsia="Calibri"/>
          <w:sz w:val="24"/>
          <w:szCs w:val="24"/>
          <w:lang w:eastAsia="en-US"/>
        </w:rPr>
        <w:t>Расходы по данной статье определены Департаментом с учетом</w:t>
      </w:r>
      <w:r w:rsidR="001674F2" w:rsidRPr="008536F3">
        <w:rPr>
          <w:rFonts w:eastAsia="Calibri"/>
          <w:sz w:val="24"/>
          <w:szCs w:val="24"/>
          <w:lang w:eastAsia="en-US"/>
        </w:rPr>
        <w:t xml:space="preserve"> фактически</w:t>
      </w:r>
      <w:r w:rsidRPr="008536F3">
        <w:rPr>
          <w:rFonts w:eastAsia="Calibri"/>
          <w:sz w:val="24"/>
          <w:szCs w:val="24"/>
          <w:lang w:eastAsia="en-US"/>
        </w:rPr>
        <w:t>х</w:t>
      </w:r>
      <w:r w:rsidR="001674F2" w:rsidRPr="008536F3">
        <w:rPr>
          <w:rFonts w:eastAsia="Calibri"/>
          <w:sz w:val="24"/>
          <w:szCs w:val="24"/>
          <w:lang w:eastAsia="en-US"/>
        </w:rPr>
        <w:t xml:space="preserve"> процентов по кредитам за 2021г</w:t>
      </w:r>
      <w:r w:rsidRPr="008536F3">
        <w:rPr>
          <w:rFonts w:eastAsia="Calibri"/>
          <w:sz w:val="24"/>
          <w:szCs w:val="24"/>
          <w:lang w:eastAsia="en-US"/>
        </w:rPr>
        <w:t>.</w:t>
      </w:r>
      <w:r w:rsidR="001674F2" w:rsidRPr="008536F3">
        <w:rPr>
          <w:rFonts w:eastAsia="Calibri"/>
          <w:sz w:val="24"/>
          <w:szCs w:val="24"/>
          <w:lang w:eastAsia="en-US"/>
        </w:rPr>
        <w:t xml:space="preserve"> в сумме 115 926 т</w:t>
      </w:r>
      <w:r w:rsidRPr="008536F3">
        <w:rPr>
          <w:rFonts w:eastAsia="Calibri"/>
          <w:sz w:val="24"/>
          <w:szCs w:val="24"/>
          <w:lang w:eastAsia="en-US"/>
        </w:rPr>
        <w:t>ыс</w:t>
      </w:r>
      <w:r w:rsidR="001674F2" w:rsidRPr="008536F3">
        <w:rPr>
          <w:rFonts w:eastAsia="Calibri"/>
          <w:sz w:val="24"/>
          <w:szCs w:val="24"/>
          <w:lang w:eastAsia="en-US"/>
        </w:rPr>
        <w:t>.</w:t>
      </w:r>
      <w:r w:rsidRPr="008536F3">
        <w:rPr>
          <w:rFonts w:eastAsia="Calibri"/>
          <w:sz w:val="24"/>
          <w:szCs w:val="24"/>
          <w:lang w:eastAsia="en-US"/>
        </w:rPr>
        <w:t xml:space="preserve"> </w:t>
      </w:r>
      <w:r w:rsidR="001674F2" w:rsidRPr="008536F3">
        <w:rPr>
          <w:rFonts w:eastAsia="Calibri"/>
          <w:sz w:val="24"/>
          <w:szCs w:val="24"/>
          <w:lang w:eastAsia="en-US"/>
        </w:rPr>
        <w:t>р</w:t>
      </w:r>
      <w:r w:rsidRPr="008536F3">
        <w:rPr>
          <w:rFonts w:eastAsia="Calibri"/>
          <w:sz w:val="24"/>
          <w:szCs w:val="24"/>
          <w:lang w:eastAsia="en-US"/>
        </w:rPr>
        <w:t>уб</w:t>
      </w:r>
      <w:r w:rsidR="001674F2" w:rsidRPr="008536F3">
        <w:rPr>
          <w:rFonts w:eastAsia="Calibri"/>
          <w:sz w:val="24"/>
          <w:szCs w:val="24"/>
          <w:lang w:eastAsia="en-US"/>
        </w:rPr>
        <w:t>.</w:t>
      </w:r>
      <w:r w:rsidRPr="008536F3">
        <w:rPr>
          <w:rFonts w:eastAsia="Calibri"/>
          <w:sz w:val="24"/>
          <w:szCs w:val="24"/>
          <w:lang w:eastAsia="en-US"/>
        </w:rPr>
        <w:t>, относимых на счет 91 «Прочие доходы и расходы»</w:t>
      </w:r>
      <w:r w:rsidR="001674F2" w:rsidRPr="008536F3">
        <w:rPr>
          <w:rFonts w:eastAsia="Calibri"/>
          <w:sz w:val="24"/>
          <w:szCs w:val="24"/>
          <w:lang w:eastAsia="en-US"/>
        </w:rPr>
        <w:t xml:space="preserve"> (приняты по данным </w:t>
      </w:r>
      <w:r w:rsidRPr="008536F3">
        <w:rPr>
          <w:rFonts w:eastAsia="Calibri"/>
          <w:sz w:val="24"/>
          <w:szCs w:val="24"/>
          <w:lang w:eastAsia="en-US"/>
        </w:rPr>
        <w:t>раздельного учета доходов и расходов по П</w:t>
      </w:r>
      <w:r w:rsidR="001674F2" w:rsidRPr="008536F3">
        <w:rPr>
          <w:rFonts w:eastAsia="Calibri"/>
          <w:sz w:val="24"/>
          <w:szCs w:val="24"/>
          <w:lang w:eastAsia="en-US"/>
        </w:rPr>
        <w:t>риказ</w:t>
      </w:r>
      <w:r w:rsidRPr="008536F3">
        <w:rPr>
          <w:rFonts w:eastAsia="Calibri"/>
          <w:sz w:val="24"/>
          <w:szCs w:val="24"/>
          <w:lang w:eastAsia="en-US"/>
        </w:rPr>
        <w:t>у</w:t>
      </w:r>
      <w:r w:rsidR="001674F2" w:rsidRPr="008536F3">
        <w:rPr>
          <w:rFonts w:eastAsia="Calibri"/>
          <w:sz w:val="24"/>
          <w:szCs w:val="24"/>
          <w:lang w:eastAsia="en-US"/>
        </w:rPr>
        <w:t xml:space="preserve"> </w:t>
      </w:r>
      <w:r w:rsidRPr="008536F3">
        <w:rPr>
          <w:rFonts w:eastAsia="Calibri"/>
          <w:sz w:val="24"/>
          <w:szCs w:val="24"/>
          <w:lang w:eastAsia="en-US"/>
        </w:rPr>
        <w:t xml:space="preserve">№ </w:t>
      </w:r>
      <w:r w:rsidR="001674F2" w:rsidRPr="008536F3">
        <w:rPr>
          <w:rFonts w:eastAsia="Calibri"/>
          <w:sz w:val="24"/>
          <w:szCs w:val="24"/>
          <w:lang w:eastAsia="en-US"/>
        </w:rPr>
        <w:t>585 (стр.080 табл.1.3</w:t>
      </w:r>
      <w:r w:rsidRPr="008536F3">
        <w:rPr>
          <w:rFonts w:eastAsia="Calibri"/>
          <w:sz w:val="24"/>
          <w:szCs w:val="24"/>
          <w:lang w:eastAsia="en-US"/>
        </w:rPr>
        <w:t>),</w:t>
      </w:r>
      <w:r w:rsidR="001674F2" w:rsidRPr="008536F3">
        <w:rPr>
          <w:rFonts w:eastAsia="Calibri"/>
          <w:sz w:val="24"/>
          <w:szCs w:val="24"/>
          <w:lang w:eastAsia="en-US"/>
        </w:rPr>
        <w:t xml:space="preserve"> без учета процентов по кредитам, приходящихся на капитализацию основных средств (разница между 117 764 т</w:t>
      </w:r>
      <w:r w:rsidRPr="008536F3">
        <w:rPr>
          <w:rFonts w:eastAsia="Calibri"/>
          <w:sz w:val="24"/>
          <w:szCs w:val="24"/>
          <w:lang w:eastAsia="en-US"/>
        </w:rPr>
        <w:t>ыс</w:t>
      </w:r>
      <w:r w:rsidR="001674F2" w:rsidRPr="008536F3">
        <w:rPr>
          <w:rFonts w:eastAsia="Calibri"/>
          <w:sz w:val="24"/>
          <w:szCs w:val="24"/>
          <w:lang w:eastAsia="en-US"/>
        </w:rPr>
        <w:t>.</w:t>
      </w:r>
      <w:r w:rsidRPr="008536F3">
        <w:rPr>
          <w:rFonts w:eastAsia="Calibri"/>
          <w:sz w:val="24"/>
          <w:szCs w:val="24"/>
          <w:lang w:eastAsia="en-US"/>
        </w:rPr>
        <w:t xml:space="preserve"> </w:t>
      </w:r>
      <w:r w:rsidR="001674F2" w:rsidRPr="008536F3">
        <w:rPr>
          <w:rFonts w:eastAsia="Calibri"/>
          <w:sz w:val="24"/>
          <w:szCs w:val="24"/>
          <w:lang w:eastAsia="en-US"/>
        </w:rPr>
        <w:t>р</w:t>
      </w:r>
      <w:r w:rsidRPr="008536F3">
        <w:rPr>
          <w:rFonts w:eastAsia="Calibri"/>
          <w:sz w:val="24"/>
          <w:szCs w:val="24"/>
          <w:lang w:eastAsia="en-US"/>
        </w:rPr>
        <w:t>уб</w:t>
      </w:r>
      <w:r w:rsidR="001674F2" w:rsidRPr="008536F3">
        <w:rPr>
          <w:rFonts w:eastAsia="Calibri"/>
          <w:sz w:val="24"/>
          <w:szCs w:val="24"/>
          <w:lang w:eastAsia="en-US"/>
        </w:rPr>
        <w:t>. в</w:t>
      </w:r>
      <w:proofErr w:type="gramEnd"/>
      <w:r w:rsidR="001674F2" w:rsidRPr="008536F3">
        <w:rPr>
          <w:rFonts w:eastAsia="Calibri"/>
          <w:sz w:val="24"/>
          <w:szCs w:val="24"/>
          <w:lang w:eastAsia="en-US"/>
        </w:rPr>
        <w:t xml:space="preserve"> </w:t>
      </w:r>
      <w:proofErr w:type="gramStart"/>
      <w:r w:rsidR="001674F2" w:rsidRPr="008536F3">
        <w:rPr>
          <w:rFonts w:eastAsia="Calibri"/>
          <w:sz w:val="24"/>
          <w:szCs w:val="24"/>
          <w:lang w:eastAsia="en-US"/>
        </w:rPr>
        <w:t>Информации по величине задолженности по креди</w:t>
      </w:r>
      <w:r w:rsidRPr="008536F3">
        <w:rPr>
          <w:rFonts w:eastAsia="Calibri"/>
          <w:sz w:val="24"/>
          <w:szCs w:val="24"/>
          <w:lang w:eastAsia="en-US"/>
        </w:rPr>
        <w:t>там и займам, приходящейся на филиал «</w:t>
      </w:r>
      <w:r w:rsidR="001674F2" w:rsidRPr="008536F3">
        <w:rPr>
          <w:rFonts w:eastAsia="Calibri"/>
          <w:sz w:val="24"/>
          <w:szCs w:val="24"/>
          <w:lang w:eastAsia="en-US"/>
        </w:rPr>
        <w:t>Ивэнерго</w:t>
      </w:r>
      <w:r w:rsidRPr="008536F3">
        <w:rPr>
          <w:rFonts w:eastAsia="Calibri"/>
          <w:sz w:val="24"/>
          <w:szCs w:val="24"/>
          <w:lang w:eastAsia="en-US"/>
        </w:rPr>
        <w:t>»</w:t>
      </w:r>
      <w:r w:rsidR="001674F2" w:rsidRPr="008536F3">
        <w:rPr>
          <w:rFonts w:eastAsia="Calibri"/>
          <w:sz w:val="24"/>
          <w:szCs w:val="24"/>
          <w:lang w:eastAsia="en-US"/>
        </w:rPr>
        <w:t xml:space="preserve"> и 115 926 т</w:t>
      </w:r>
      <w:r w:rsidRPr="008536F3">
        <w:rPr>
          <w:rFonts w:eastAsia="Calibri"/>
          <w:sz w:val="24"/>
          <w:szCs w:val="24"/>
          <w:lang w:eastAsia="en-US"/>
        </w:rPr>
        <w:t>ыс</w:t>
      </w:r>
      <w:r w:rsidR="001674F2" w:rsidRPr="008536F3">
        <w:rPr>
          <w:rFonts w:eastAsia="Calibri"/>
          <w:sz w:val="24"/>
          <w:szCs w:val="24"/>
          <w:lang w:eastAsia="en-US"/>
        </w:rPr>
        <w:t>.</w:t>
      </w:r>
      <w:r w:rsidRPr="008536F3">
        <w:rPr>
          <w:rFonts w:eastAsia="Calibri"/>
          <w:sz w:val="24"/>
          <w:szCs w:val="24"/>
          <w:lang w:eastAsia="en-US"/>
        </w:rPr>
        <w:t xml:space="preserve"> </w:t>
      </w:r>
      <w:r w:rsidR="001674F2" w:rsidRPr="008536F3">
        <w:rPr>
          <w:rFonts w:eastAsia="Calibri"/>
          <w:sz w:val="24"/>
          <w:szCs w:val="24"/>
          <w:lang w:eastAsia="en-US"/>
        </w:rPr>
        <w:t>р</w:t>
      </w:r>
      <w:r w:rsidRPr="008536F3">
        <w:rPr>
          <w:rFonts w:eastAsia="Calibri"/>
          <w:sz w:val="24"/>
          <w:szCs w:val="24"/>
          <w:lang w:eastAsia="en-US"/>
        </w:rPr>
        <w:t>уб</w:t>
      </w:r>
      <w:r w:rsidR="001674F2" w:rsidRPr="008536F3">
        <w:rPr>
          <w:rFonts w:eastAsia="Calibri"/>
          <w:sz w:val="24"/>
          <w:szCs w:val="24"/>
          <w:lang w:eastAsia="en-US"/>
        </w:rPr>
        <w:t xml:space="preserve">. в Приказе </w:t>
      </w:r>
      <w:r w:rsidR="008536F3">
        <w:rPr>
          <w:rFonts w:eastAsia="Calibri"/>
          <w:sz w:val="24"/>
          <w:szCs w:val="24"/>
          <w:lang w:eastAsia="en-US"/>
        </w:rPr>
        <w:t xml:space="preserve">№ </w:t>
      </w:r>
      <w:r w:rsidR="001674F2" w:rsidRPr="008536F3">
        <w:rPr>
          <w:rFonts w:eastAsia="Calibri"/>
          <w:sz w:val="24"/>
          <w:szCs w:val="24"/>
          <w:lang w:eastAsia="en-US"/>
        </w:rPr>
        <w:t xml:space="preserve">585)) за вычетом консолидационных кредитов </w:t>
      </w:r>
      <w:r w:rsidR="008536F3">
        <w:rPr>
          <w:rFonts w:eastAsia="Calibri"/>
          <w:sz w:val="24"/>
          <w:szCs w:val="24"/>
          <w:lang w:eastAsia="en-US"/>
        </w:rPr>
        <w:t xml:space="preserve">в сумме </w:t>
      </w:r>
      <w:r w:rsidR="001674F2" w:rsidRPr="008536F3">
        <w:rPr>
          <w:rFonts w:eastAsia="Calibri"/>
          <w:sz w:val="24"/>
          <w:szCs w:val="24"/>
          <w:lang w:eastAsia="en-US"/>
        </w:rPr>
        <w:t>29 529 т</w:t>
      </w:r>
      <w:r w:rsidRPr="008536F3">
        <w:rPr>
          <w:rFonts w:eastAsia="Calibri"/>
          <w:sz w:val="24"/>
          <w:szCs w:val="24"/>
          <w:lang w:eastAsia="en-US"/>
        </w:rPr>
        <w:t>ыс</w:t>
      </w:r>
      <w:r w:rsidR="001674F2" w:rsidRPr="008536F3">
        <w:rPr>
          <w:rFonts w:eastAsia="Calibri"/>
          <w:sz w:val="24"/>
          <w:szCs w:val="24"/>
          <w:lang w:eastAsia="en-US"/>
        </w:rPr>
        <w:t>.</w:t>
      </w:r>
      <w:r w:rsidRPr="008536F3">
        <w:rPr>
          <w:rFonts w:eastAsia="Calibri"/>
          <w:sz w:val="24"/>
          <w:szCs w:val="24"/>
          <w:lang w:eastAsia="en-US"/>
        </w:rPr>
        <w:t xml:space="preserve"> </w:t>
      </w:r>
      <w:r w:rsidR="001674F2" w:rsidRPr="008536F3">
        <w:rPr>
          <w:rFonts w:eastAsia="Calibri"/>
          <w:sz w:val="24"/>
          <w:szCs w:val="24"/>
          <w:lang w:eastAsia="en-US"/>
        </w:rPr>
        <w:t>р</w:t>
      </w:r>
      <w:r w:rsidRPr="008536F3">
        <w:rPr>
          <w:rFonts w:eastAsia="Calibri"/>
          <w:sz w:val="24"/>
          <w:szCs w:val="24"/>
          <w:lang w:eastAsia="en-US"/>
        </w:rPr>
        <w:t>уб</w:t>
      </w:r>
      <w:r w:rsidR="001674F2" w:rsidRPr="008536F3">
        <w:rPr>
          <w:rFonts w:eastAsia="Calibri"/>
          <w:sz w:val="24"/>
          <w:szCs w:val="24"/>
          <w:lang w:eastAsia="en-US"/>
        </w:rPr>
        <w:t xml:space="preserve">. и оборотных кредитов </w:t>
      </w:r>
      <w:r w:rsidRPr="008536F3">
        <w:rPr>
          <w:rFonts w:eastAsia="Calibri"/>
          <w:sz w:val="24"/>
          <w:szCs w:val="24"/>
          <w:lang w:eastAsia="en-US"/>
        </w:rPr>
        <w:t xml:space="preserve">- </w:t>
      </w:r>
      <w:r w:rsidR="001674F2" w:rsidRPr="008536F3">
        <w:rPr>
          <w:rFonts w:eastAsia="Calibri"/>
          <w:sz w:val="24"/>
          <w:szCs w:val="24"/>
          <w:lang w:eastAsia="en-US"/>
        </w:rPr>
        <w:t>53 931 т</w:t>
      </w:r>
      <w:r w:rsidRPr="008536F3">
        <w:rPr>
          <w:rFonts w:eastAsia="Calibri"/>
          <w:sz w:val="24"/>
          <w:szCs w:val="24"/>
          <w:lang w:eastAsia="en-US"/>
        </w:rPr>
        <w:t>ыс</w:t>
      </w:r>
      <w:r w:rsidR="001674F2" w:rsidRPr="008536F3">
        <w:rPr>
          <w:rFonts w:eastAsia="Calibri"/>
          <w:sz w:val="24"/>
          <w:szCs w:val="24"/>
          <w:lang w:eastAsia="en-US"/>
        </w:rPr>
        <w:t>.</w:t>
      </w:r>
      <w:r w:rsidRPr="008536F3">
        <w:rPr>
          <w:rFonts w:eastAsia="Calibri"/>
          <w:sz w:val="24"/>
          <w:szCs w:val="24"/>
          <w:lang w:eastAsia="en-US"/>
        </w:rPr>
        <w:t xml:space="preserve"> </w:t>
      </w:r>
      <w:r w:rsidR="001674F2" w:rsidRPr="008536F3">
        <w:rPr>
          <w:rFonts w:eastAsia="Calibri"/>
          <w:sz w:val="24"/>
          <w:szCs w:val="24"/>
          <w:lang w:eastAsia="en-US"/>
        </w:rPr>
        <w:t>р</w:t>
      </w:r>
      <w:r w:rsidRPr="008536F3">
        <w:rPr>
          <w:rFonts w:eastAsia="Calibri"/>
          <w:sz w:val="24"/>
          <w:szCs w:val="24"/>
          <w:lang w:eastAsia="en-US"/>
        </w:rPr>
        <w:t>уб</w:t>
      </w:r>
      <w:r w:rsidR="001674F2" w:rsidRPr="008536F3">
        <w:rPr>
          <w:rFonts w:eastAsia="Calibri"/>
          <w:sz w:val="24"/>
          <w:szCs w:val="24"/>
          <w:lang w:eastAsia="en-US"/>
        </w:rPr>
        <w:t>.</w:t>
      </w:r>
      <w:proofErr w:type="gramEnd"/>
    </w:p>
    <w:p w:rsidR="00CD0B04" w:rsidRPr="008536F3" w:rsidRDefault="008536F3" w:rsidP="005657C9">
      <w:pPr>
        <w:widowControl/>
        <w:ind w:firstLine="567"/>
        <w:jc w:val="both"/>
        <w:rPr>
          <w:rFonts w:eastAsia="Calibri"/>
          <w:sz w:val="24"/>
          <w:szCs w:val="24"/>
          <w:lang w:eastAsia="en-US"/>
        </w:rPr>
      </w:pPr>
      <w:r w:rsidRPr="008536F3">
        <w:rPr>
          <w:rFonts w:eastAsia="Calibri"/>
          <w:sz w:val="24"/>
          <w:szCs w:val="24"/>
          <w:lang w:eastAsia="en-US"/>
        </w:rPr>
        <w:t>По мнению Департамента, проценты, приходящиеся на капитализацию основных средств, не подлежат единовременному списанию на расходы и учитываются в дальнейшем в составе первоначальной стоимости основного средства и списываются на расходы через амортизационные отчисления. В ином случае возникает необоснованный двойной учет одних и тех же расходов.</w:t>
      </w:r>
    </w:p>
    <w:p w:rsidR="00C97D8E" w:rsidRPr="00EB7064" w:rsidRDefault="00C97D8E" w:rsidP="00C97D8E">
      <w:pPr>
        <w:widowControl/>
        <w:ind w:firstLine="567"/>
        <w:jc w:val="both"/>
        <w:rPr>
          <w:rFonts w:eastAsia="Calibri"/>
          <w:sz w:val="24"/>
          <w:szCs w:val="24"/>
          <w:lang w:eastAsia="en-US"/>
        </w:rPr>
      </w:pPr>
      <w:r w:rsidRPr="00EB7064">
        <w:rPr>
          <w:rFonts w:eastAsia="Calibri"/>
          <w:sz w:val="24"/>
          <w:szCs w:val="24"/>
          <w:lang w:eastAsia="en-US"/>
        </w:rPr>
        <w:t>В соответствии с п. 8 Основ ценообразования величина нормативной прибыли регулируемой организации включает в себя:</w:t>
      </w:r>
    </w:p>
    <w:p w:rsidR="00C97D8E" w:rsidRPr="00EB7064" w:rsidRDefault="00C97D8E" w:rsidP="00C97D8E">
      <w:pPr>
        <w:widowControl/>
        <w:ind w:firstLine="567"/>
        <w:jc w:val="both"/>
        <w:rPr>
          <w:rFonts w:eastAsia="Calibri"/>
          <w:sz w:val="24"/>
          <w:szCs w:val="24"/>
          <w:lang w:eastAsia="en-US"/>
        </w:rPr>
      </w:pPr>
      <w:proofErr w:type="gramStart"/>
      <w:r w:rsidRPr="00EB7064">
        <w:rPr>
          <w:rFonts w:eastAsia="Calibri"/>
          <w:sz w:val="24"/>
          <w:szCs w:val="24"/>
          <w:lang w:eastAsia="en-US"/>
        </w:rPr>
        <w:t>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w:t>
      </w:r>
      <w:proofErr w:type="gramEnd"/>
      <w:r w:rsidRPr="00EB7064">
        <w:rPr>
          <w:rFonts w:eastAsia="Calibri"/>
          <w:sz w:val="24"/>
          <w:szCs w:val="24"/>
          <w:lang w:eastAsia="en-US"/>
        </w:rPr>
        <w:t xml:space="preserve"> и обеспечение ставки доходности проинвестированных средств;</w:t>
      </w:r>
    </w:p>
    <w:p w:rsidR="008536F3" w:rsidRPr="00EB7064" w:rsidRDefault="00C97D8E" w:rsidP="00C97D8E">
      <w:pPr>
        <w:widowControl/>
        <w:ind w:firstLine="567"/>
        <w:jc w:val="both"/>
        <w:rPr>
          <w:rFonts w:eastAsia="Calibri"/>
          <w:sz w:val="24"/>
          <w:szCs w:val="24"/>
          <w:lang w:eastAsia="en-US"/>
        </w:rPr>
      </w:pPr>
      <w:r w:rsidRPr="00EB7064">
        <w:rPr>
          <w:rFonts w:eastAsia="Calibri"/>
          <w:sz w:val="24"/>
          <w:szCs w:val="24"/>
          <w:lang w:eastAsia="en-US"/>
        </w:rPr>
        <w:lastRenderedPageBreak/>
        <w:t>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абзацем третьим пункта 32 Основ ценообразования.</w:t>
      </w:r>
    </w:p>
    <w:p w:rsidR="00C97D8E" w:rsidRPr="00EB7064" w:rsidRDefault="00C97D8E" w:rsidP="00C97D8E">
      <w:pPr>
        <w:widowControl/>
        <w:ind w:firstLine="567"/>
        <w:jc w:val="both"/>
        <w:rPr>
          <w:rFonts w:eastAsia="Calibri"/>
          <w:sz w:val="24"/>
          <w:szCs w:val="24"/>
          <w:lang w:eastAsia="en-US"/>
        </w:rPr>
      </w:pPr>
      <w:r w:rsidRPr="00EB7064">
        <w:rPr>
          <w:rFonts w:eastAsia="Calibri"/>
          <w:sz w:val="24"/>
          <w:szCs w:val="24"/>
          <w:lang w:eastAsia="en-US"/>
        </w:rPr>
        <w:t>Согласно п. 32 Основ ценообразования 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C97D8E" w:rsidRPr="00EB7064" w:rsidRDefault="00C97D8E" w:rsidP="00C97D8E">
      <w:pPr>
        <w:widowControl/>
        <w:ind w:firstLine="567"/>
        <w:jc w:val="both"/>
        <w:rPr>
          <w:rFonts w:eastAsia="Calibri"/>
          <w:sz w:val="24"/>
          <w:szCs w:val="24"/>
          <w:lang w:eastAsia="en-US"/>
        </w:rPr>
      </w:pPr>
      <w:proofErr w:type="gramStart"/>
      <w:r w:rsidRPr="00EB7064">
        <w:rPr>
          <w:rFonts w:eastAsia="Calibri"/>
          <w:sz w:val="24"/>
          <w:szCs w:val="24"/>
          <w:lang w:eastAsia="en-US"/>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w:t>
      </w:r>
      <w:r w:rsidRPr="00EB7064">
        <w:rPr>
          <w:rFonts w:eastAsia="Calibri"/>
          <w:sz w:val="24"/>
          <w:szCs w:val="24"/>
          <w:u w:val="single"/>
          <w:lang w:eastAsia="en-US"/>
        </w:rPr>
        <w:t>на реализацию проекта</w:t>
      </w:r>
      <w:r w:rsidRPr="00EB7064">
        <w:rPr>
          <w:rFonts w:eastAsia="Calibri"/>
          <w:sz w:val="24"/>
          <w:szCs w:val="24"/>
          <w:lang w:eastAsia="en-US"/>
        </w:rPr>
        <w:t>,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w:t>
      </w:r>
      <w:proofErr w:type="gramEnd"/>
      <w:r w:rsidRPr="00EB7064">
        <w:rPr>
          <w:rFonts w:eastAsia="Calibri"/>
          <w:sz w:val="24"/>
          <w:szCs w:val="24"/>
          <w:lang w:eastAsia="en-US"/>
        </w:rPr>
        <w:t xml:space="preserve"> возвратом (</w:t>
      </w:r>
      <w:r w:rsidRPr="00EB7064">
        <w:rPr>
          <w:rFonts w:eastAsia="Calibri"/>
          <w:sz w:val="24"/>
          <w:szCs w:val="24"/>
          <w:u w:val="single"/>
          <w:lang w:eastAsia="en-US"/>
        </w:rPr>
        <w:t>в размере, соответствующем финансовому плану инвестиционной программы субъекта электроэнергетики</w:t>
      </w:r>
      <w:r w:rsidRPr="00EB7064">
        <w:rPr>
          <w:rFonts w:eastAsia="Calibri"/>
          <w:sz w:val="24"/>
          <w:szCs w:val="24"/>
          <w:lang w:eastAsia="en-US"/>
        </w:rPr>
        <w:t xml:space="preserve">) и обслуживанием долгосрочных заемных средств (на уровне фактической ставки, но не выше ключевой ставки Центрального банка Российской Федерации, увеличенной на 2 процентных пункта). </w:t>
      </w:r>
    </w:p>
    <w:p w:rsidR="00C97D8E" w:rsidRPr="00DF0829" w:rsidRDefault="00C97D8E" w:rsidP="00C97D8E">
      <w:pPr>
        <w:widowControl/>
        <w:ind w:firstLine="567"/>
        <w:jc w:val="both"/>
        <w:rPr>
          <w:rFonts w:eastAsia="Calibri"/>
          <w:sz w:val="24"/>
          <w:szCs w:val="24"/>
          <w:lang w:eastAsia="en-US"/>
        </w:rPr>
      </w:pPr>
      <w:r w:rsidRPr="00EB7064">
        <w:rPr>
          <w:rFonts w:eastAsia="Calibri"/>
          <w:sz w:val="24"/>
          <w:szCs w:val="24"/>
          <w:lang w:eastAsia="en-US"/>
        </w:rPr>
        <w:t xml:space="preserve">При этом филиалом «Ивэнерго» в материалы тарифного дела не предоставлена соответствующая информация в части конкретных проектов утвержденной в установленном порядке </w:t>
      </w:r>
      <w:r w:rsidR="00EB7064" w:rsidRPr="00EB7064">
        <w:rPr>
          <w:rFonts w:eastAsia="Calibri"/>
          <w:sz w:val="24"/>
          <w:szCs w:val="24"/>
          <w:lang w:eastAsia="en-US"/>
        </w:rPr>
        <w:t>для</w:t>
      </w:r>
      <w:r w:rsidRPr="00EB7064">
        <w:rPr>
          <w:rFonts w:eastAsia="Calibri"/>
          <w:sz w:val="24"/>
          <w:szCs w:val="24"/>
          <w:lang w:eastAsia="en-US"/>
        </w:rPr>
        <w:t xml:space="preserve"> филиала «Ивэнерго» инвестиционной программы, по которым осуществляется возврат долгосрочных заемных средств</w:t>
      </w:r>
      <w:r w:rsidR="00EB7064" w:rsidRPr="00EB7064">
        <w:rPr>
          <w:rFonts w:eastAsia="Calibri"/>
          <w:sz w:val="24"/>
          <w:szCs w:val="24"/>
          <w:lang w:eastAsia="en-US"/>
        </w:rPr>
        <w:t xml:space="preserve">, данные о </w:t>
      </w:r>
      <w:r w:rsidR="00EB7064" w:rsidRPr="00DF0829">
        <w:rPr>
          <w:rFonts w:eastAsia="Calibri"/>
          <w:sz w:val="24"/>
          <w:szCs w:val="24"/>
          <w:lang w:eastAsia="en-US"/>
        </w:rPr>
        <w:t xml:space="preserve">соответствующих целевых кредитах под данные проекты и иная информация, предусмотренная п. 32 Основ ценообразования. Финансовый план </w:t>
      </w:r>
      <w:r w:rsidR="00DF0829" w:rsidRPr="00DF0829">
        <w:rPr>
          <w:rFonts w:eastAsia="Calibri"/>
          <w:sz w:val="24"/>
          <w:szCs w:val="24"/>
          <w:lang w:eastAsia="en-US"/>
        </w:rPr>
        <w:t xml:space="preserve">утвержденной Минэнерго России в установленном порядке </w:t>
      </w:r>
      <w:r w:rsidR="00EB7064" w:rsidRPr="00DF0829">
        <w:rPr>
          <w:rFonts w:eastAsia="Calibri"/>
          <w:sz w:val="24"/>
          <w:szCs w:val="24"/>
          <w:lang w:eastAsia="en-US"/>
        </w:rPr>
        <w:t xml:space="preserve">инвестиционной программы </w:t>
      </w:r>
      <w:r w:rsidR="00DF0829" w:rsidRPr="00DF0829">
        <w:rPr>
          <w:rFonts w:eastAsia="Calibri"/>
          <w:sz w:val="24"/>
          <w:szCs w:val="24"/>
          <w:lang w:eastAsia="en-US"/>
        </w:rPr>
        <w:t xml:space="preserve">для </w:t>
      </w:r>
      <w:r w:rsidR="00EB7064" w:rsidRPr="00DF0829">
        <w:rPr>
          <w:rFonts w:eastAsia="Calibri"/>
          <w:sz w:val="24"/>
          <w:szCs w:val="24"/>
          <w:lang w:eastAsia="en-US"/>
        </w:rPr>
        <w:t>филиала «Ивэнерго» 2021 год</w:t>
      </w:r>
      <w:r w:rsidR="00DF0829" w:rsidRPr="00DF0829">
        <w:rPr>
          <w:rFonts w:eastAsia="Calibri"/>
          <w:sz w:val="24"/>
          <w:szCs w:val="24"/>
          <w:lang w:eastAsia="en-US"/>
        </w:rPr>
        <w:t>а (как в плане на 2021 год, так и по фактическим показателям за 2021 год – строка 15.1.2 финансового плана)</w:t>
      </w:r>
      <w:r w:rsidR="00EB7064" w:rsidRPr="00DF0829">
        <w:rPr>
          <w:rFonts w:eastAsia="Calibri"/>
          <w:sz w:val="24"/>
          <w:szCs w:val="24"/>
          <w:lang w:eastAsia="en-US"/>
        </w:rPr>
        <w:t xml:space="preserve"> не учитыва</w:t>
      </w:r>
      <w:r w:rsidR="00DF0829" w:rsidRPr="00DF0829">
        <w:rPr>
          <w:rFonts w:eastAsia="Calibri"/>
          <w:sz w:val="24"/>
          <w:szCs w:val="24"/>
          <w:lang w:eastAsia="en-US"/>
        </w:rPr>
        <w:t>л</w:t>
      </w:r>
      <w:r w:rsidR="00EB7064" w:rsidRPr="00DF0829">
        <w:rPr>
          <w:rFonts w:eastAsia="Calibri"/>
          <w:sz w:val="24"/>
          <w:szCs w:val="24"/>
          <w:lang w:eastAsia="en-US"/>
        </w:rPr>
        <w:t xml:space="preserve"> прибыль на возврат долгосрочных заемных средств.</w:t>
      </w:r>
    </w:p>
    <w:p w:rsidR="00EB7064" w:rsidRPr="00EB7064" w:rsidRDefault="00EB7064" w:rsidP="00C97D8E">
      <w:pPr>
        <w:widowControl/>
        <w:ind w:firstLine="567"/>
        <w:jc w:val="both"/>
        <w:rPr>
          <w:rFonts w:eastAsia="Calibri"/>
          <w:sz w:val="24"/>
          <w:szCs w:val="24"/>
          <w:lang w:eastAsia="en-US"/>
        </w:rPr>
      </w:pPr>
      <w:r w:rsidRPr="00DF0829">
        <w:rPr>
          <w:rFonts w:eastAsia="Calibri"/>
          <w:sz w:val="24"/>
          <w:szCs w:val="24"/>
          <w:lang w:eastAsia="en-US"/>
        </w:rPr>
        <w:t xml:space="preserve">В связи с этим, Департамент считает экономически обоснованным отнесенную в соответствии с учетной политикой Общества на филиал «Ивэнерго» сумму </w:t>
      </w:r>
      <w:r w:rsidRPr="00EB7064">
        <w:rPr>
          <w:rFonts w:eastAsia="Calibri"/>
          <w:sz w:val="24"/>
          <w:szCs w:val="24"/>
          <w:lang w:eastAsia="en-US"/>
        </w:rPr>
        <w:t>расходов на возврат долгосрочных заемных средств (тело кредита) компенсировать за счет иных источников, в том числе расчетной предпринимательской прибыли.</w:t>
      </w:r>
    </w:p>
    <w:p w:rsidR="005657C9" w:rsidRPr="009634F9" w:rsidRDefault="005657C9" w:rsidP="005657C9">
      <w:pPr>
        <w:widowControl/>
        <w:spacing w:after="120"/>
        <w:ind w:left="567"/>
        <w:contextualSpacing/>
        <w:jc w:val="both"/>
        <w:rPr>
          <w:rFonts w:eastAsia="Calibri"/>
          <w:i/>
          <w:sz w:val="24"/>
          <w:szCs w:val="24"/>
          <w:lang w:eastAsia="en-US"/>
        </w:rPr>
      </w:pPr>
      <w:r w:rsidRPr="009634F9">
        <w:rPr>
          <w:rFonts w:eastAsia="Calibri"/>
          <w:i/>
          <w:sz w:val="24"/>
          <w:szCs w:val="24"/>
          <w:lang w:eastAsia="en-US"/>
        </w:rPr>
        <w:t>Расходы на обслуживание заемных средств по плану 2023 года.</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В материалах тарифной заявки на 2023 год была представлена информация о величине расходов на обслуживание долга кредита, отнесенных на филиал «Ивэнерго», по плану на 2023 год в размере 140 286,32 тыс. руб</w:t>
      </w:r>
      <w:r w:rsidR="009634F9">
        <w:rPr>
          <w:rFonts w:eastAsia="Calibri"/>
          <w:sz w:val="24"/>
          <w:szCs w:val="24"/>
          <w:lang w:eastAsia="en-US"/>
        </w:rPr>
        <w:t>.</w:t>
      </w:r>
      <w:r w:rsidRPr="009634F9">
        <w:rPr>
          <w:rFonts w:eastAsia="Calibri"/>
          <w:sz w:val="24"/>
          <w:szCs w:val="24"/>
          <w:lang w:eastAsia="en-US"/>
        </w:rPr>
        <w:t xml:space="preserve"> (без учета расходов на обслуживание консолидационны</w:t>
      </w:r>
      <w:r w:rsidR="009634F9" w:rsidRPr="009634F9">
        <w:rPr>
          <w:rFonts w:eastAsia="Calibri"/>
          <w:sz w:val="24"/>
          <w:szCs w:val="24"/>
          <w:lang w:eastAsia="en-US"/>
        </w:rPr>
        <w:t>х</w:t>
      </w:r>
      <w:r w:rsidRPr="009634F9">
        <w:rPr>
          <w:rFonts w:eastAsia="Calibri"/>
          <w:sz w:val="24"/>
          <w:szCs w:val="24"/>
          <w:lang w:eastAsia="en-US"/>
        </w:rPr>
        <w:t xml:space="preserve"> кредит</w:t>
      </w:r>
      <w:r w:rsidR="009634F9" w:rsidRPr="009634F9">
        <w:rPr>
          <w:rFonts w:eastAsia="Calibri"/>
          <w:sz w:val="24"/>
          <w:szCs w:val="24"/>
          <w:lang w:eastAsia="en-US"/>
        </w:rPr>
        <w:t>ов</w:t>
      </w:r>
      <w:r w:rsidRPr="009634F9">
        <w:rPr>
          <w:rFonts w:eastAsia="Calibri"/>
          <w:sz w:val="24"/>
          <w:szCs w:val="24"/>
          <w:lang w:eastAsia="en-US"/>
        </w:rPr>
        <w:t>).</w:t>
      </w:r>
    </w:p>
    <w:p w:rsidR="005657C9" w:rsidRPr="009634F9" w:rsidRDefault="005657C9" w:rsidP="005657C9">
      <w:pPr>
        <w:widowControl/>
        <w:ind w:firstLine="567"/>
        <w:jc w:val="both"/>
        <w:rPr>
          <w:rFonts w:eastAsia="Calibri"/>
          <w:sz w:val="24"/>
          <w:szCs w:val="24"/>
          <w:lang w:eastAsia="en-US"/>
        </w:rPr>
      </w:pPr>
      <w:proofErr w:type="gramStart"/>
      <w:r w:rsidRPr="009634F9">
        <w:rPr>
          <w:rFonts w:eastAsia="Calibri"/>
          <w:sz w:val="24"/>
          <w:szCs w:val="24"/>
          <w:lang w:eastAsia="en-US"/>
        </w:rPr>
        <w:t>Прогнозная стоимость обслуживания заемных средств на 2023 год определена на основании величины кредитного портфеля, отнесенного на филиал «Ивэнерго»</w:t>
      </w:r>
      <w:r w:rsidR="009634F9" w:rsidRPr="009634F9">
        <w:rPr>
          <w:rFonts w:eastAsia="Calibri"/>
          <w:sz w:val="24"/>
          <w:szCs w:val="24"/>
          <w:lang w:eastAsia="en-US"/>
        </w:rPr>
        <w:t>,</w:t>
      </w:r>
      <w:r w:rsidRPr="009634F9">
        <w:rPr>
          <w:rFonts w:eastAsia="Calibri"/>
          <w:sz w:val="24"/>
          <w:szCs w:val="24"/>
          <w:lang w:eastAsia="en-US"/>
        </w:rPr>
        <w:t xml:space="preserve"> в размере 1 485 279 тыс.</w:t>
      </w:r>
      <w:r w:rsidR="009634F9" w:rsidRPr="009634F9">
        <w:rPr>
          <w:rFonts w:eastAsia="Calibri"/>
          <w:sz w:val="24"/>
          <w:szCs w:val="24"/>
          <w:lang w:eastAsia="en-US"/>
        </w:rPr>
        <w:t xml:space="preserve"> </w:t>
      </w:r>
      <w:r w:rsidRPr="009634F9">
        <w:rPr>
          <w:rFonts w:eastAsia="Calibri"/>
          <w:sz w:val="24"/>
          <w:szCs w:val="24"/>
          <w:lang w:eastAsia="en-US"/>
        </w:rPr>
        <w:t>руб. (без учета консолидационных кредитов), а также прогнозной стоимости обслуживания заемных средств с учетом ключевой ставки Банка России по состоянию на 19.09.2022 (7,5%), увеличенной на 3 процентных пункта по кредитным договорам, по которым планируется рефинансирование в</w:t>
      </w:r>
      <w:proofErr w:type="gramEnd"/>
      <w:r w:rsidRPr="009634F9">
        <w:rPr>
          <w:rFonts w:eastAsia="Calibri"/>
          <w:sz w:val="24"/>
          <w:szCs w:val="24"/>
          <w:lang w:eastAsia="en-US"/>
        </w:rPr>
        <w:t xml:space="preserve"> течение 2023 года.</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В подтверждение предложений со стороны филиала «Ивэнерго» предоставлены следующие материалы:</w:t>
      </w:r>
    </w:p>
    <w:p w:rsidR="005657C9" w:rsidRPr="009634F9" w:rsidRDefault="005657C9" w:rsidP="005657C9">
      <w:pPr>
        <w:widowControl/>
        <w:numPr>
          <w:ilvl w:val="0"/>
          <w:numId w:val="37"/>
        </w:numPr>
        <w:spacing w:after="200"/>
        <w:ind w:left="0" w:firstLine="567"/>
        <w:contextualSpacing/>
        <w:jc w:val="both"/>
        <w:rPr>
          <w:rFonts w:eastAsia="Calibri"/>
          <w:sz w:val="24"/>
          <w:szCs w:val="24"/>
          <w:lang w:eastAsia="en-US"/>
        </w:rPr>
      </w:pPr>
      <w:r w:rsidRPr="009634F9">
        <w:rPr>
          <w:rFonts w:eastAsia="Calibri"/>
          <w:sz w:val="24"/>
          <w:szCs w:val="24"/>
          <w:lang w:eastAsia="en-US"/>
        </w:rPr>
        <w:t>справка по величине задолженности по кредитам и займов, приходящимся на филиал «Ивэнерго»;</w:t>
      </w:r>
    </w:p>
    <w:p w:rsidR="005657C9" w:rsidRPr="009634F9" w:rsidRDefault="005657C9" w:rsidP="005657C9">
      <w:pPr>
        <w:widowControl/>
        <w:numPr>
          <w:ilvl w:val="0"/>
          <w:numId w:val="37"/>
        </w:numPr>
        <w:spacing w:after="200"/>
        <w:ind w:left="0" w:firstLine="567"/>
        <w:contextualSpacing/>
        <w:jc w:val="both"/>
        <w:rPr>
          <w:rFonts w:eastAsia="Calibri"/>
          <w:sz w:val="24"/>
          <w:szCs w:val="24"/>
          <w:lang w:eastAsia="en-US"/>
        </w:rPr>
      </w:pPr>
      <w:r w:rsidRPr="009634F9">
        <w:rPr>
          <w:rFonts w:eastAsia="Calibri"/>
          <w:sz w:val="24"/>
          <w:szCs w:val="24"/>
          <w:lang w:eastAsia="en-US"/>
        </w:rPr>
        <w:t xml:space="preserve"> пояснительная записка о необходимости заключения кредитных договоров в отношении филиала «Ивэнерго» и их целевое назначение;</w:t>
      </w:r>
    </w:p>
    <w:p w:rsidR="005657C9" w:rsidRPr="009634F9" w:rsidRDefault="005657C9" w:rsidP="005657C9">
      <w:pPr>
        <w:widowControl/>
        <w:numPr>
          <w:ilvl w:val="0"/>
          <w:numId w:val="37"/>
        </w:numPr>
        <w:spacing w:after="200"/>
        <w:ind w:left="0" w:firstLine="567"/>
        <w:contextualSpacing/>
        <w:jc w:val="both"/>
        <w:rPr>
          <w:rFonts w:eastAsia="Calibri"/>
          <w:sz w:val="24"/>
          <w:szCs w:val="24"/>
          <w:lang w:eastAsia="en-US"/>
        </w:rPr>
      </w:pPr>
      <w:r w:rsidRPr="009634F9">
        <w:rPr>
          <w:rFonts w:eastAsia="Calibri"/>
          <w:sz w:val="24"/>
          <w:szCs w:val="24"/>
          <w:lang w:eastAsia="en-US"/>
        </w:rPr>
        <w:t xml:space="preserve"> копии кредитных договоров.</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 xml:space="preserve">В соответствии с пунктом 11 Методических указаний №98-э в состав неподконтрольных расходов включаются расходы - расходы обслуживание долгосрочных заемных средств, в том числе направляемых на финансирование капитальных вложений в соответствии с </w:t>
      </w:r>
      <w:hyperlink r:id="rId16" w:history="1">
        <w:r w:rsidRPr="009634F9">
          <w:rPr>
            <w:rFonts w:eastAsia="Calibri"/>
            <w:sz w:val="24"/>
            <w:szCs w:val="24"/>
            <w:lang w:eastAsia="en-US"/>
          </w:rPr>
          <w:t>пунктом 32</w:t>
        </w:r>
      </w:hyperlink>
      <w:r w:rsidRPr="009634F9">
        <w:rPr>
          <w:rFonts w:eastAsia="Calibri"/>
          <w:sz w:val="24"/>
          <w:szCs w:val="24"/>
          <w:lang w:eastAsia="en-US"/>
        </w:rPr>
        <w:t xml:space="preserve"> Основ ценообразования.</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Согласно решению Кассационного суда от 04.10.2022 по делу №</w:t>
      </w:r>
      <w:r w:rsidR="009634F9" w:rsidRPr="009634F9">
        <w:rPr>
          <w:rFonts w:eastAsia="Calibri"/>
          <w:sz w:val="24"/>
          <w:szCs w:val="24"/>
          <w:lang w:eastAsia="en-US"/>
        </w:rPr>
        <w:t xml:space="preserve"> </w:t>
      </w:r>
      <w:r w:rsidRPr="009634F9">
        <w:rPr>
          <w:rFonts w:eastAsia="Calibri"/>
          <w:sz w:val="24"/>
          <w:szCs w:val="24"/>
          <w:lang w:eastAsia="en-US"/>
        </w:rPr>
        <w:t>3а-21/2021 определено:</w:t>
      </w:r>
    </w:p>
    <w:p w:rsidR="005657C9" w:rsidRPr="009634F9" w:rsidRDefault="005657C9" w:rsidP="005657C9">
      <w:pPr>
        <w:widowControl/>
        <w:ind w:firstLine="567"/>
        <w:jc w:val="both"/>
        <w:rPr>
          <w:rFonts w:eastAsia="Calibri"/>
          <w:sz w:val="24"/>
          <w:szCs w:val="24"/>
          <w:lang w:eastAsia="en-US"/>
        </w:rPr>
      </w:pPr>
      <w:r w:rsidRPr="009634F9">
        <w:rPr>
          <w:rFonts w:eastAsia="Calibri"/>
          <w:i/>
          <w:iCs/>
          <w:sz w:val="24"/>
          <w:szCs w:val="24"/>
          <w:lang w:eastAsia="en-US"/>
        </w:rPr>
        <w:lastRenderedPageBreak/>
        <w:t xml:space="preserve">... покрытие дефицита денежных средств осуществляется за счет привлечения заемных средств. Вследствие чего, расходы на обслуживание заемных средств являются </w:t>
      </w:r>
      <w:r w:rsidRPr="009634F9">
        <w:rPr>
          <w:rFonts w:eastAsia="Calibri"/>
          <w:bCs/>
          <w:i/>
          <w:iCs/>
          <w:sz w:val="24"/>
          <w:szCs w:val="24"/>
          <w:lang w:eastAsia="en-US"/>
        </w:rPr>
        <w:t>экономически обоснованными и подлежат учету в НВВ.</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На основании вышеизложенного, филиал «Ивэнерго» настаивает на включении расходов на проценты за кредит в полном объеме в размере 140 286,32 тыс. руб</w:t>
      </w:r>
      <w:r w:rsidR="009634F9">
        <w:rPr>
          <w:rFonts w:eastAsia="Calibri"/>
          <w:sz w:val="24"/>
          <w:szCs w:val="24"/>
          <w:lang w:eastAsia="en-US"/>
        </w:rPr>
        <w:t>.</w:t>
      </w:r>
      <w:r w:rsidRPr="009634F9">
        <w:rPr>
          <w:rFonts w:eastAsia="Calibri"/>
          <w:sz w:val="24"/>
          <w:szCs w:val="24"/>
          <w:lang w:eastAsia="en-US"/>
        </w:rPr>
        <w:t xml:space="preserve"> в составе неподконтрольных расходов 2023 года.</w:t>
      </w:r>
    </w:p>
    <w:p w:rsidR="005657C9" w:rsidRPr="009634F9" w:rsidRDefault="009634F9" w:rsidP="005657C9">
      <w:pPr>
        <w:widowControl/>
        <w:ind w:firstLine="567"/>
        <w:contextualSpacing/>
        <w:jc w:val="both"/>
        <w:rPr>
          <w:rFonts w:eastAsia="Calibri"/>
          <w:sz w:val="24"/>
          <w:szCs w:val="24"/>
          <w:lang w:eastAsia="en-US"/>
        </w:rPr>
      </w:pPr>
      <w:r w:rsidRPr="009634F9">
        <w:rPr>
          <w:rFonts w:eastAsia="Calibri"/>
          <w:sz w:val="24"/>
          <w:szCs w:val="24"/>
          <w:lang w:eastAsia="en-US"/>
        </w:rPr>
        <w:t xml:space="preserve">Департамент отмечает, что с учетом дополнительных пояснений и </w:t>
      </w:r>
      <w:proofErr w:type="gramStart"/>
      <w:r w:rsidRPr="009634F9">
        <w:rPr>
          <w:rFonts w:eastAsia="Calibri"/>
          <w:sz w:val="24"/>
          <w:szCs w:val="24"/>
          <w:lang w:eastAsia="en-US"/>
        </w:rPr>
        <w:t>анализа</w:t>
      </w:r>
      <w:proofErr w:type="gramEnd"/>
      <w:r w:rsidRPr="009634F9">
        <w:rPr>
          <w:rFonts w:eastAsia="Calibri"/>
          <w:sz w:val="24"/>
          <w:szCs w:val="24"/>
          <w:lang w:eastAsia="en-US"/>
        </w:rPr>
        <w:t xml:space="preserve"> предоставленных в материалы тарифного дела документов плановые расходы филиала «Ивэнерго» на обслуживание заемных средств на 2023 год предлагается учесть в размере, заявленном организацией, 140 286,32 тыс. руб.</w:t>
      </w:r>
    </w:p>
    <w:p w:rsidR="005657C9" w:rsidRPr="009C30CB" w:rsidRDefault="005657C9" w:rsidP="005657C9">
      <w:pPr>
        <w:widowControl/>
        <w:ind w:firstLine="567"/>
        <w:contextualSpacing/>
        <w:jc w:val="both"/>
        <w:rPr>
          <w:rFonts w:eastAsia="Calibri"/>
          <w:i/>
          <w:sz w:val="24"/>
          <w:szCs w:val="24"/>
          <w:lang w:eastAsia="en-US"/>
        </w:rPr>
      </w:pPr>
      <w:r w:rsidRPr="009C30CB">
        <w:rPr>
          <w:rFonts w:eastAsia="Calibri"/>
          <w:i/>
          <w:sz w:val="24"/>
          <w:szCs w:val="24"/>
          <w:lang w:eastAsia="en-US"/>
        </w:rPr>
        <w:t>- Резервы по оценочным обязательствам в отношении оплаты услуг ПАО «ФСК ЕЭС» (январь 2018 - декабрь 2020гг.)</w:t>
      </w:r>
    </w:p>
    <w:p w:rsidR="005657C9" w:rsidRPr="009C30CB" w:rsidRDefault="005657C9" w:rsidP="005657C9">
      <w:pPr>
        <w:widowControl/>
        <w:ind w:firstLine="567"/>
        <w:contextualSpacing/>
        <w:jc w:val="both"/>
        <w:rPr>
          <w:rFonts w:eastAsia="Calibri"/>
          <w:sz w:val="24"/>
          <w:szCs w:val="24"/>
          <w:lang w:eastAsia="en-US"/>
        </w:rPr>
      </w:pPr>
      <w:r w:rsidRPr="009C30CB">
        <w:rPr>
          <w:rFonts w:eastAsia="Calibri"/>
          <w:sz w:val="24"/>
          <w:szCs w:val="24"/>
          <w:lang w:eastAsia="en-US"/>
        </w:rPr>
        <w:t>Департамент не принимает расходы по данной статье в полном объеме 60 885 тыс. руб., ссылаясь на отсутствие судебных решений по спорам между ПАО «ФСК - Россети» и АО «ПСК», а также на то, что филиал «Ивэнерго» не заявлял о своем праве на ВЛ-110 кВ «Иваново-Фурманов-1,2» и о расходах на оплату соответствующих услуг ПАО «ФСК</w:t>
      </w:r>
      <w:r w:rsidR="009C30CB" w:rsidRPr="009C30CB">
        <w:rPr>
          <w:rFonts w:eastAsia="Calibri"/>
          <w:sz w:val="24"/>
          <w:szCs w:val="24"/>
          <w:lang w:eastAsia="en-US"/>
        </w:rPr>
        <w:t xml:space="preserve"> ЕЭС</w:t>
      </w:r>
      <w:r w:rsidRPr="009C30CB">
        <w:rPr>
          <w:rFonts w:eastAsia="Calibri"/>
          <w:sz w:val="24"/>
          <w:szCs w:val="24"/>
          <w:lang w:eastAsia="en-US"/>
        </w:rPr>
        <w:t>».</w:t>
      </w:r>
    </w:p>
    <w:p w:rsidR="005657C9" w:rsidRPr="009C30CB" w:rsidRDefault="005657C9" w:rsidP="005657C9">
      <w:pPr>
        <w:widowControl/>
        <w:ind w:firstLine="567"/>
        <w:contextualSpacing/>
        <w:jc w:val="both"/>
        <w:rPr>
          <w:rFonts w:eastAsia="Calibri"/>
          <w:sz w:val="24"/>
          <w:szCs w:val="24"/>
          <w:lang w:eastAsia="en-US"/>
        </w:rPr>
      </w:pPr>
      <w:r w:rsidRPr="009C30CB">
        <w:rPr>
          <w:rFonts w:eastAsia="Calibri"/>
          <w:sz w:val="24"/>
          <w:szCs w:val="24"/>
          <w:lang w:eastAsia="en-US"/>
        </w:rPr>
        <w:t xml:space="preserve">Филиал «Ивэнерго» не согласен с позицией </w:t>
      </w:r>
      <w:r w:rsidR="009C30CB" w:rsidRPr="009C30CB">
        <w:rPr>
          <w:rFonts w:eastAsia="Calibri"/>
          <w:sz w:val="24"/>
          <w:szCs w:val="24"/>
          <w:lang w:eastAsia="en-US"/>
        </w:rPr>
        <w:t>Департамента</w:t>
      </w:r>
      <w:r w:rsidRPr="009C30CB">
        <w:rPr>
          <w:rFonts w:eastAsia="Calibri"/>
          <w:sz w:val="24"/>
          <w:szCs w:val="24"/>
          <w:lang w:eastAsia="en-US"/>
        </w:rPr>
        <w:t xml:space="preserve"> по следующим основаниям.</w:t>
      </w:r>
    </w:p>
    <w:p w:rsidR="005657C9" w:rsidRPr="009C30CB" w:rsidRDefault="005657C9" w:rsidP="005657C9">
      <w:pPr>
        <w:widowControl/>
        <w:ind w:firstLine="567"/>
        <w:contextualSpacing/>
        <w:jc w:val="both"/>
        <w:rPr>
          <w:rFonts w:eastAsia="Calibri"/>
          <w:sz w:val="24"/>
          <w:szCs w:val="24"/>
          <w:lang w:eastAsia="en-US"/>
        </w:rPr>
      </w:pPr>
      <w:r w:rsidRPr="009C30CB">
        <w:rPr>
          <w:rFonts w:eastAsia="Calibri"/>
          <w:sz w:val="24"/>
          <w:szCs w:val="24"/>
          <w:lang w:eastAsia="en-US"/>
        </w:rPr>
        <w:t>Руководствуясь пунктом 12, 17 Правил государственного регулирования цен</w:t>
      </w:r>
      <w:r w:rsidR="009C30CB" w:rsidRPr="009C30CB">
        <w:rPr>
          <w:rFonts w:eastAsia="Calibri"/>
          <w:sz w:val="24"/>
          <w:szCs w:val="24"/>
          <w:lang w:eastAsia="en-US"/>
        </w:rPr>
        <w:t>,</w:t>
      </w:r>
      <w:r w:rsidRPr="009C30CB">
        <w:rPr>
          <w:rFonts w:eastAsia="Calibri"/>
          <w:sz w:val="24"/>
          <w:szCs w:val="24"/>
          <w:lang w:eastAsia="en-US"/>
        </w:rPr>
        <w:t xml:space="preserve"> филиал «Ивэнерго» ежегодно в составе материалов тарифной заявки направлял в Департамент энергетики и тарифов Ивановской области реестр свидетельств о государственной регистрации прав на имущество, в котором указано свидетельство о праве </w:t>
      </w:r>
      <w:r w:rsidR="009C30CB" w:rsidRPr="009C30CB">
        <w:rPr>
          <w:rFonts w:eastAsia="Calibri"/>
          <w:sz w:val="24"/>
          <w:szCs w:val="24"/>
          <w:lang w:eastAsia="en-US"/>
        </w:rPr>
        <w:t xml:space="preserve">собственности от 04.07.2008 г. </w:t>
      </w:r>
      <w:r w:rsidRPr="009C30CB">
        <w:rPr>
          <w:rFonts w:eastAsia="Calibri"/>
          <w:sz w:val="24"/>
          <w:szCs w:val="24"/>
          <w:lang w:eastAsia="en-US"/>
        </w:rPr>
        <w:t xml:space="preserve">№ 37-АА 324485 на электросетевой комплекс «Фурманов-1», в состав которого входят </w:t>
      </w:r>
      <w:proofErr w:type="gramStart"/>
      <w:r w:rsidRPr="009C30CB">
        <w:rPr>
          <w:rFonts w:eastAsia="Calibri"/>
          <w:sz w:val="24"/>
          <w:szCs w:val="24"/>
          <w:lang w:eastAsia="en-US"/>
        </w:rPr>
        <w:t>ВЛ</w:t>
      </w:r>
      <w:proofErr w:type="gramEnd"/>
      <w:r w:rsidRPr="009C30CB">
        <w:rPr>
          <w:rFonts w:eastAsia="Calibri"/>
          <w:sz w:val="24"/>
          <w:szCs w:val="24"/>
          <w:lang w:eastAsia="en-US"/>
        </w:rPr>
        <w:t xml:space="preserve"> 110 кВ Иваново – Фурманов 1» и ВЛ 110 кВ Иваново – Фурмано</w:t>
      </w:r>
      <w:r w:rsidR="009C30CB" w:rsidRPr="009C30CB">
        <w:rPr>
          <w:rFonts w:eastAsia="Calibri"/>
          <w:sz w:val="24"/>
          <w:szCs w:val="24"/>
          <w:lang w:eastAsia="en-US"/>
        </w:rPr>
        <w:t>в 2 от подстанции «Иваново 220»</w:t>
      </w:r>
      <w:r w:rsidRPr="009C30CB">
        <w:rPr>
          <w:rFonts w:eastAsia="Calibri"/>
          <w:sz w:val="24"/>
          <w:szCs w:val="24"/>
          <w:lang w:eastAsia="en-US"/>
        </w:rPr>
        <w:t>, и, начиная с 2018 года, расходы на оплату услуг ПАО «ФСК</w:t>
      </w:r>
      <w:r w:rsidR="009C30CB" w:rsidRPr="009C30CB">
        <w:rPr>
          <w:rFonts w:eastAsia="Calibri"/>
          <w:sz w:val="24"/>
          <w:szCs w:val="24"/>
          <w:lang w:eastAsia="en-US"/>
        </w:rPr>
        <w:t xml:space="preserve"> ЕЭС</w:t>
      </w:r>
      <w:r w:rsidRPr="009C30CB">
        <w:rPr>
          <w:rFonts w:eastAsia="Calibri"/>
          <w:sz w:val="24"/>
          <w:szCs w:val="24"/>
          <w:lang w:eastAsia="en-US"/>
        </w:rPr>
        <w:t xml:space="preserve">» по указанным </w:t>
      </w:r>
      <w:proofErr w:type="gramStart"/>
      <w:r w:rsidRPr="009C30CB">
        <w:rPr>
          <w:rFonts w:eastAsia="Calibri"/>
          <w:sz w:val="24"/>
          <w:szCs w:val="24"/>
          <w:lang w:eastAsia="en-US"/>
        </w:rPr>
        <w:t>ВЛ</w:t>
      </w:r>
      <w:proofErr w:type="gramEnd"/>
      <w:r w:rsidRPr="009C30CB">
        <w:rPr>
          <w:rFonts w:eastAsia="Calibri"/>
          <w:sz w:val="24"/>
          <w:szCs w:val="24"/>
          <w:lang w:eastAsia="en-US"/>
        </w:rPr>
        <w:t xml:space="preserve"> -110кВ.</w:t>
      </w:r>
    </w:p>
    <w:p w:rsidR="005657C9" w:rsidRPr="006C3FC4" w:rsidRDefault="005657C9" w:rsidP="005657C9">
      <w:pPr>
        <w:widowControl/>
        <w:ind w:right="-1" w:firstLine="567"/>
        <w:jc w:val="both"/>
        <w:rPr>
          <w:rFonts w:eastAsia="Calibri"/>
          <w:bCs/>
          <w:sz w:val="24"/>
          <w:szCs w:val="24"/>
          <w:lang w:eastAsia="en-US"/>
        </w:rPr>
      </w:pPr>
      <w:r w:rsidRPr="006C3FC4">
        <w:rPr>
          <w:rFonts w:eastAsia="Calibri"/>
          <w:bCs/>
          <w:sz w:val="24"/>
          <w:szCs w:val="24"/>
          <w:lang w:eastAsia="en-US"/>
        </w:rPr>
        <w:t>Решения о взыскании с АО «ПСК» в пользу ПАО «ФСК</w:t>
      </w:r>
      <w:r w:rsidR="009C30CB" w:rsidRPr="006C3FC4">
        <w:rPr>
          <w:rFonts w:eastAsia="Calibri"/>
          <w:bCs/>
          <w:sz w:val="24"/>
          <w:szCs w:val="24"/>
          <w:lang w:eastAsia="en-US"/>
        </w:rPr>
        <w:t xml:space="preserve"> ЕЭС</w:t>
      </w:r>
      <w:r w:rsidRPr="006C3FC4">
        <w:rPr>
          <w:rFonts w:eastAsia="Calibri"/>
          <w:bCs/>
          <w:sz w:val="24"/>
          <w:szCs w:val="24"/>
          <w:lang w:eastAsia="en-US"/>
        </w:rPr>
        <w:t>» с 2015 года по 2020 год отменены, исковые требования предъявлены к ПАО «Россети Центр</w:t>
      </w:r>
      <w:r w:rsidR="006C3FC4" w:rsidRPr="006C3FC4">
        <w:rPr>
          <w:rFonts w:eastAsia="Calibri"/>
          <w:bCs/>
          <w:sz w:val="24"/>
          <w:szCs w:val="24"/>
          <w:lang w:eastAsia="en-US"/>
        </w:rPr>
        <w:t xml:space="preserve"> и Приволжье</w:t>
      </w:r>
      <w:r w:rsidRPr="006C3FC4">
        <w:rPr>
          <w:rFonts w:eastAsia="Calibri"/>
          <w:bCs/>
          <w:sz w:val="24"/>
          <w:szCs w:val="24"/>
          <w:lang w:eastAsia="en-US"/>
        </w:rPr>
        <w:t>» - филиалу «Ивэнерго» с 2014 по 2020 гг. На текущую дату вступили в законную силу следующие решения по искам ПАО «ФСК</w:t>
      </w:r>
      <w:r w:rsidR="006C3FC4" w:rsidRPr="006C3FC4">
        <w:rPr>
          <w:rFonts w:eastAsia="Calibri"/>
          <w:bCs/>
          <w:sz w:val="24"/>
          <w:szCs w:val="24"/>
          <w:lang w:eastAsia="en-US"/>
        </w:rPr>
        <w:t xml:space="preserve"> ЕЭС</w:t>
      </w:r>
      <w:r w:rsidRPr="006C3FC4">
        <w:rPr>
          <w:rFonts w:eastAsia="Calibri"/>
          <w:bCs/>
          <w:sz w:val="24"/>
          <w:szCs w:val="24"/>
          <w:lang w:eastAsia="en-US"/>
        </w:rPr>
        <w:t>»:</w:t>
      </w:r>
    </w:p>
    <w:tbl>
      <w:tblPr>
        <w:tblW w:w="100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1"/>
        <w:gridCol w:w="1752"/>
        <w:gridCol w:w="1841"/>
        <w:gridCol w:w="1705"/>
        <w:gridCol w:w="1559"/>
      </w:tblGrid>
      <w:tr w:rsidR="006C3FC4" w:rsidRPr="006C3FC4" w:rsidTr="006C3FC4">
        <w:trPr>
          <w:trHeight w:val="585"/>
        </w:trPr>
        <w:tc>
          <w:tcPr>
            <w:tcW w:w="1700" w:type="dxa"/>
            <w:vMerge w:val="restart"/>
            <w:vAlign w:val="center"/>
            <w:hideMark/>
          </w:tcPr>
          <w:p w:rsidR="005657C9" w:rsidRPr="006651B9" w:rsidRDefault="006C3FC4" w:rsidP="005657C9">
            <w:pPr>
              <w:widowControl/>
              <w:jc w:val="center"/>
              <w:rPr>
                <w:bCs/>
                <w:sz w:val="24"/>
                <w:szCs w:val="24"/>
              </w:rPr>
            </w:pPr>
            <w:r w:rsidRPr="006651B9">
              <w:rPr>
                <w:bCs/>
                <w:sz w:val="24"/>
                <w:szCs w:val="24"/>
              </w:rPr>
              <w:t>Н</w:t>
            </w:r>
            <w:r w:rsidR="005657C9" w:rsidRPr="006651B9">
              <w:rPr>
                <w:bCs/>
                <w:sz w:val="24"/>
                <w:szCs w:val="24"/>
              </w:rPr>
              <w:t>омер дела</w:t>
            </w:r>
          </w:p>
        </w:tc>
        <w:tc>
          <w:tcPr>
            <w:tcW w:w="1511" w:type="dxa"/>
            <w:vMerge w:val="restart"/>
            <w:vAlign w:val="center"/>
            <w:hideMark/>
          </w:tcPr>
          <w:p w:rsidR="005657C9" w:rsidRPr="006651B9" w:rsidRDefault="005657C9" w:rsidP="005657C9">
            <w:pPr>
              <w:widowControl/>
              <w:jc w:val="center"/>
              <w:rPr>
                <w:bCs/>
                <w:sz w:val="24"/>
                <w:szCs w:val="24"/>
              </w:rPr>
            </w:pPr>
            <w:r w:rsidRPr="006651B9">
              <w:rPr>
                <w:bCs/>
                <w:sz w:val="24"/>
                <w:szCs w:val="24"/>
              </w:rPr>
              <w:t>период</w:t>
            </w:r>
          </w:p>
        </w:tc>
        <w:tc>
          <w:tcPr>
            <w:tcW w:w="1752" w:type="dxa"/>
            <w:vMerge w:val="restart"/>
            <w:vAlign w:val="center"/>
            <w:hideMark/>
          </w:tcPr>
          <w:p w:rsidR="005657C9" w:rsidRPr="006651B9" w:rsidRDefault="005657C9" w:rsidP="005657C9">
            <w:pPr>
              <w:widowControl/>
              <w:jc w:val="center"/>
              <w:rPr>
                <w:bCs/>
                <w:sz w:val="24"/>
                <w:szCs w:val="24"/>
              </w:rPr>
            </w:pPr>
            <w:r w:rsidRPr="006651B9">
              <w:rPr>
                <w:bCs/>
                <w:sz w:val="24"/>
                <w:szCs w:val="24"/>
              </w:rPr>
              <w:t>предмет</w:t>
            </w:r>
          </w:p>
        </w:tc>
        <w:tc>
          <w:tcPr>
            <w:tcW w:w="1841" w:type="dxa"/>
            <w:vMerge w:val="restart"/>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Основной долг</w:t>
            </w:r>
          </w:p>
        </w:tc>
        <w:tc>
          <w:tcPr>
            <w:tcW w:w="1705" w:type="dxa"/>
            <w:vMerge w:val="restart"/>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Неустойка (+проценты)</w:t>
            </w:r>
          </w:p>
        </w:tc>
        <w:tc>
          <w:tcPr>
            <w:tcW w:w="1559" w:type="dxa"/>
            <w:vMerge w:val="restart"/>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Дата вступления решения в законную силу</w:t>
            </w:r>
          </w:p>
        </w:tc>
      </w:tr>
      <w:tr w:rsidR="006C3FC4" w:rsidRPr="006C3FC4" w:rsidTr="006C3FC4">
        <w:trPr>
          <w:trHeight w:val="509"/>
        </w:trPr>
        <w:tc>
          <w:tcPr>
            <w:tcW w:w="1700" w:type="dxa"/>
            <w:vMerge/>
            <w:vAlign w:val="center"/>
            <w:hideMark/>
          </w:tcPr>
          <w:p w:rsidR="005657C9" w:rsidRPr="006651B9" w:rsidRDefault="005657C9" w:rsidP="005657C9">
            <w:pPr>
              <w:widowControl/>
              <w:rPr>
                <w:bCs/>
                <w:sz w:val="24"/>
                <w:szCs w:val="24"/>
              </w:rPr>
            </w:pPr>
          </w:p>
        </w:tc>
        <w:tc>
          <w:tcPr>
            <w:tcW w:w="1511" w:type="dxa"/>
            <w:vMerge/>
            <w:vAlign w:val="center"/>
            <w:hideMark/>
          </w:tcPr>
          <w:p w:rsidR="005657C9" w:rsidRPr="006651B9" w:rsidRDefault="005657C9" w:rsidP="005657C9">
            <w:pPr>
              <w:widowControl/>
              <w:rPr>
                <w:bCs/>
                <w:sz w:val="24"/>
                <w:szCs w:val="24"/>
              </w:rPr>
            </w:pPr>
          </w:p>
        </w:tc>
        <w:tc>
          <w:tcPr>
            <w:tcW w:w="1752" w:type="dxa"/>
            <w:vMerge/>
            <w:vAlign w:val="center"/>
            <w:hideMark/>
          </w:tcPr>
          <w:p w:rsidR="005657C9" w:rsidRPr="006651B9" w:rsidRDefault="005657C9" w:rsidP="005657C9">
            <w:pPr>
              <w:widowControl/>
              <w:rPr>
                <w:bCs/>
                <w:sz w:val="24"/>
                <w:szCs w:val="24"/>
              </w:rPr>
            </w:pPr>
          </w:p>
        </w:tc>
        <w:tc>
          <w:tcPr>
            <w:tcW w:w="1841" w:type="dxa"/>
            <w:vMerge/>
            <w:vAlign w:val="center"/>
            <w:hideMark/>
          </w:tcPr>
          <w:p w:rsidR="005657C9" w:rsidRPr="006651B9" w:rsidRDefault="005657C9" w:rsidP="005657C9">
            <w:pPr>
              <w:widowControl/>
              <w:rPr>
                <w:bCs/>
                <w:sz w:val="24"/>
                <w:szCs w:val="24"/>
              </w:rPr>
            </w:pPr>
          </w:p>
        </w:tc>
        <w:tc>
          <w:tcPr>
            <w:tcW w:w="1705" w:type="dxa"/>
            <w:vMerge/>
            <w:vAlign w:val="center"/>
            <w:hideMark/>
          </w:tcPr>
          <w:p w:rsidR="005657C9" w:rsidRPr="006651B9" w:rsidRDefault="005657C9" w:rsidP="005657C9">
            <w:pPr>
              <w:widowControl/>
              <w:rPr>
                <w:bCs/>
                <w:sz w:val="24"/>
                <w:szCs w:val="24"/>
              </w:rPr>
            </w:pPr>
          </w:p>
        </w:tc>
        <w:tc>
          <w:tcPr>
            <w:tcW w:w="1559" w:type="dxa"/>
            <w:vMerge/>
            <w:vAlign w:val="center"/>
            <w:hideMark/>
          </w:tcPr>
          <w:p w:rsidR="005657C9" w:rsidRPr="006651B9" w:rsidRDefault="005657C9" w:rsidP="005657C9">
            <w:pPr>
              <w:widowControl/>
              <w:rPr>
                <w:bCs/>
                <w:sz w:val="24"/>
                <w:szCs w:val="24"/>
              </w:rPr>
            </w:pPr>
          </w:p>
        </w:tc>
      </w:tr>
      <w:tr w:rsidR="006C3FC4" w:rsidRPr="006C3FC4" w:rsidTr="006C3FC4">
        <w:trPr>
          <w:trHeight w:val="549"/>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А43-12058/2020</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октябрь 2018 - декабрь 2018</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23 652 614,14</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12 670 244,50</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16.03.2022</w:t>
            </w:r>
          </w:p>
        </w:tc>
      </w:tr>
      <w:tr w:rsidR="006C3FC4" w:rsidRPr="006C3FC4" w:rsidTr="006C3FC4">
        <w:trPr>
          <w:trHeight w:val="701"/>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А40-175688/2020</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март 2020 - июнь 2020</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31 963 309,13</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7 338 644,47</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05.03.2022</w:t>
            </w:r>
          </w:p>
        </w:tc>
      </w:tr>
      <w:tr w:rsidR="006C3FC4" w:rsidRPr="006C3FC4" w:rsidTr="006C3FC4">
        <w:trPr>
          <w:trHeight w:val="709"/>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А40-259662/2018</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октябрь 2017 - апрель 2018</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53 644 868,26 ₽</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3 185 214,63 ₽</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15.06.2022</w:t>
            </w:r>
          </w:p>
        </w:tc>
      </w:tr>
      <w:tr w:rsidR="006C3FC4" w:rsidRPr="006C3FC4" w:rsidTr="006C3FC4">
        <w:trPr>
          <w:trHeight w:val="549"/>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А40-206376/2019</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январь 2019 - апрель 2019</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32 946 407,09 ₽</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1 251 343,87 ₽</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01.08.2022</w:t>
            </w:r>
          </w:p>
        </w:tc>
      </w:tr>
      <w:tr w:rsidR="006C3FC4" w:rsidRPr="006C3FC4" w:rsidTr="006C3FC4">
        <w:trPr>
          <w:trHeight w:val="70"/>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А40-305927/2019</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 xml:space="preserve">май 2019 - август 2019 </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30 810 763,32 ₽</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1 115 474,89 ₽</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02.06.2022</w:t>
            </w:r>
          </w:p>
        </w:tc>
      </w:tr>
      <w:tr w:rsidR="006C3FC4" w:rsidRPr="006C3FC4" w:rsidTr="006C3FC4">
        <w:trPr>
          <w:trHeight w:val="649"/>
        </w:trPr>
        <w:tc>
          <w:tcPr>
            <w:tcW w:w="1700" w:type="dxa"/>
            <w:vAlign w:val="center"/>
            <w:hideMark/>
          </w:tcPr>
          <w:p w:rsidR="005657C9" w:rsidRPr="006651B9" w:rsidRDefault="005657C9" w:rsidP="005657C9">
            <w:pPr>
              <w:widowControl/>
              <w:jc w:val="center"/>
              <w:rPr>
                <w:bCs/>
                <w:sz w:val="24"/>
                <w:szCs w:val="24"/>
              </w:rPr>
            </w:pPr>
            <w:r w:rsidRPr="006651B9">
              <w:rPr>
                <w:bCs/>
                <w:sz w:val="24"/>
                <w:szCs w:val="24"/>
              </w:rPr>
              <w:t>А40-103116/2020</w:t>
            </w:r>
          </w:p>
        </w:tc>
        <w:tc>
          <w:tcPr>
            <w:tcW w:w="1511" w:type="dxa"/>
            <w:vAlign w:val="center"/>
            <w:hideMark/>
          </w:tcPr>
          <w:p w:rsidR="005657C9" w:rsidRPr="006651B9" w:rsidRDefault="005657C9" w:rsidP="005657C9">
            <w:pPr>
              <w:widowControl/>
              <w:jc w:val="center"/>
              <w:rPr>
                <w:bCs/>
                <w:sz w:val="24"/>
                <w:szCs w:val="24"/>
              </w:rPr>
            </w:pPr>
            <w:r w:rsidRPr="006651B9">
              <w:rPr>
                <w:bCs/>
                <w:sz w:val="24"/>
                <w:szCs w:val="24"/>
              </w:rPr>
              <w:t>сентябрь 2019 - февраль 2020</w:t>
            </w:r>
          </w:p>
        </w:tc>
        <w:tc>
          <w:tcPr>
            <w:tcW w:w="1752" w:type="dxa"/>
            <w:vAlign w:val="center"/>
            <w:hideMark/>
          </w:tcPr>
          <w:p w:rsidR="005657C9" w:rsidRPr="006651B9" w:rsidRDefault="005657C9" w:rsidP="005657C9">
            <w:pPr>
              <w:widowControl/>
              <w:jc w:val="center"/>
              <w:rPr>
                <w:sz w:val="24"/>
                <w:szCs w:val="24"/>
              </w:rPr>
            </w:pPr>
            <w:r w:rsidRPr="006651B9">
              <w:rPr>
                <w:sz w:val="24"/>
                <w:szCs w:val="24"/>
              </w:rPr>
              <w:t>фактически оказанные услуги</w:t>
            </w:r>
          </w:p>
        </w:tc>
        <w:tc>
          <w:tcPr>
            <w:tcW w:w="1841"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51 918 092,66 ₽</w:t>
            </w:r>
          </w:p>
        </w:tc>
        <w:tc>
          <w:tcPr>
            <w:tcW w:w="1705" w:type="dxa"/>
            <w:shd w:val="clear" w:color="auto" w:fill="DCE6F1"/>
            <w:vAlign w:val="center"/>
            <w:hideMark/>
          </w:tcPr>
          <w:p w:rsidR="005657C9" w:rsidRPr="006651B9" w:rsidRDefault="005657C9" w:rsidP="005657C9">
            <w:pPr>
              <w:widowControl/>
              <w:jc w:val="center"/>
              <w:rPr>
                <w:bCs/>
                <w:sz w:val="24"/>
                <w:szCs w:val="24"/>
              </w:rPr>
            </w:pPr>
            <w:r w:rsidRPr="006651B9">
              <w:rPr>
                <w:bCs/>
                <w:sz w:val="24"/>
                <w:szCs w:val="24"/>
              </w:rPr>
              <w:t>2 374 642,68 ₽</w:t>
            </w:r>
          </w:p>
        </w:tc>
        <w:tc>
          <w:tcPr>
            <w:tcW w:w="1559" w:type="dxa"/>
            <w:vAlign w:val="center"/>
            <w:hideMark/>
          </w:tcPr>
          <w:p w:rsidR="005657C9" w:rsidRPr="006651B9" w:rsidRDefault="005657C9" w:rsidP="005657C9">
            <w:pPr>
              <w:widowControl/>
              <w:jc w:val="center"/>
              <w:rPr>
                <w:bCs/>
                <w:sz w:val="24"/>
                <w:szCs w:val="24"/>
              </w:rPr>
            </w:pPr>
            <w:r w:rsidRPr="006651B9">
              <w:rPr>
                <w:bCs/>
                <w:sz w:val="24"/>
                <w:szCs w:val="24"/>
              </w:rPr>
              <w:t>04.08.2022</w:t>
            </w:r>
          </w:p>
        </w:tc>
      </w:tr>
    </w:tbl>
    <w:p w:rsidR="005657C9" w:rsidRPr="006C3FC4" w:rsidRDefault="005657C9" w:rsidP="005657C9">
      <w:pPr>
        <w:widowControl/>
        <w:ind w:right="-1" w:firstLine="567"/>
        <w:jc w:val="both"/>
        <w:rPr>
          <w:rFonts w:eastAsia="Calibri"/>
          <w:bCs/>
          <w:sz w:val="24"/>
          <w:szCs w:val="24"/>
          <w:lang w:eastAsia="en-US"/>
        </w:rPr>
      </w:pPr>
      <w:r w:rsidRPr="006C3FC4">
        <w:rPr>
          <w:rFonts w:eastAsia="Calibri"/>
          <w:bCs/>
          <w:sz w:val="24"/>
          <w:szCs w:val="24"/>
          <w:lang w:eastAsia="en-US"/>
        </w:rPr>
        <w:lastRenderedPageBreak/>
        <w:t>В соответствии со ст.16</w:t>
      </w:r>
      <w:r w:rsidRPr="006C3FC4">
        <w:rPr>
          <w:rFonts w:eastAsia="Calibri"/>
          <w:sz w:val="24"/>
          <w:szCs w:val="24"/>
          <w:lang w:eastAsia="en-US"/>
        </w:rPr>
        <w:t xml:space="preserve"> </w:t>
      </w:r>
      <w:r w:rsidRPr="006C3FC4">
        <w:rPr>
          <w:rFonts w:eastAsia="Calibri"/>
          <w:bCs/>
          <w:sz w:val="24"/>
          <w:szCs w:val="24"/>
          <w:lang w:eastAsia="en-US"/>
        </w:rPr>
        <w:t xml:space="preserve">Арбитражного процессуального кодекса </w:t>
      </w:r>
      <w:proofErr w:type="gramStart"/>
      <w:r w:rsidRPr="006C3FC4">
        <w:rPr>
          <w:rFonts w:eastAsia="Calibri"/>
          <w:bCs/>
          <w:sz w:val="24"/>
          <w:szCs w:val="24"/>
          <w:lang w:eastAsia="en-US"/>
        </w:rPr>
        <w:t>РФ</w:t>
      </w:r>
      <w:proofErr w:type="gramEnd"/>
      <w:r w:rsidRPr="006C3FC4">
        <w:rPr>
          <w:rFonts w:eastAsia="Calibri"/>
          <w:bCs/>
          <w:sz w:val="24"/>
          <w:szCs w:val="24"/>
          <w:lang w:eastAsia="en-US"/>
        </w:rPr>
        <w:t xml:space="preserve">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6651B9" w:rsidRPr="006651B9" w:rsidRDefault="006651B9" w:rsidP="005657C9">
      <w:pPr>
        <w:widowControl/>
        <w:ind w:firstLine="567"/>
        <w:contextualSpacing/>
        <w:jc w:val="both"/>
        <w:rPr>
          <w:rFonts w:eastAsia="Calibri"/>
          <w:sz w:val="24"/>
          <w:szCs w:val="24"/>
          <w:lang w:eastAsia="en-US"/>
        </w:rPr>
      </w:pPr>
      <w:r w:rsidRPr="006651B9">
        <w:rPr>
          <w:rFonts w:eastAsia="Calibri"/>
          <w:sz w:val="24"/>
          <w:szCs w:val="24"/>
          <w:lang w:eastAsia="en-US"/>
        </w:rPr>
        <w:t xml:space="preserve">Департамент отмечает, что заявленный филиалом «Ивэнерго» резерв по данной статье признан экономически необоснованным, так как согласно п.30 Основ ценообразования 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w:t>
      </w:r>
      <w:r w:rsidR="00F9461C">
        <w:rPr>
          <w:rFonts w:eastAsia="Calibri"/>
          <w:sz w:val="24"/>
          <w:szCs w:val="24"/>
          <w:lang w:eastAsia="en-US"/>
        </w:rPr>
        <w:t xml:space="preserve">Действующим законодательством не предусмотрен учет в НВВ территориальных сетевых организаций </w:t>
      </w:r>
      <w:r w:rsidR="00BE4E6F">
        <w:rPr>
          <w:rFonts w:eastAsia="Calibri"/>
          <w:sz w:val="24"/>
          <w:szCs w:val="24"/>
          <w:lang w:eastAsia="en-US"/>
        </w:rPr>
        <w:t xml:space="preserve">плановых </w:t>
      </w:r>
      <w:r w:rsidR="00F9461C">
        <w:rPr>
          <w:rFonts w:eastAsia="Calibri"/>
          <w:sz w:val="24"/>
          <w:szCs w:val="24"/>
          <w:lang w:eastAsia="en-US"/>
        </w:rPr>
        <w:t>расходов на формирование резерва по оценочным обязательствам.</w:t>
      </w:r>
    </w:p>
    <w:p w:rsidR="006651B9" w:rsidRDefault="006651B9" w:rsidP="005657C9">
      <w:pPr>
        <w:widowControl/>
        <w:ind w:firstLine="567"/>
        <w:contextualSpacing/>
        <w:jc w:val="both"/>
        <w:rPr>
          <w:rFonts w:eastAsia="Calibri"/>
          <w:sz w:val="24"/>
          <w:szCs w:val="24"/>
          <w:lang w:eastAsia="en-US"/>
        </w:rPr>
      </w:pPr>
      <w:r w:rsidRPr="006651B9">
        <w:rPr>
          <w:rFonts w:eastAsia="Calibri"/>
          <w:sz w:val="24"/>
          <w:szCs w:val="24"/>
          <w:lang w:eastAsia="en-US"/>
        </w:rPr>
        <w:t xml:space="preserve">Какое-либо фактическое списание расходов из </w:t>
      </w:r>
      <w:r w:rsidR="00F9461C">
        <w:rPr>
          <w:rFonts w:eastAsia="Calibri"/>
          <w:sz w:val="24"/>
          <w:szCs w:val="24"/>
          <w:lang w:eastAsia="en-US"/>
        </w:rPr>
        <w:t xml:space="preserve">сформированного </w:t>
      </w:r>
      <w:r w:rsidRPr="006651B9">
        <w:rPr>
          <w:rFonts w:eastAsia="Calibri"/>
          <w:sz w:val="24"/>
          <w:szCs w:val="24"/>
          <w:lang w:eastAsia="en-US"/>
        </w:rPr>
        <w:t>резерва в убытки в 2021 году филиал «Ивэнерго» не производил. Таким образом, расходы по данной статье приняты Департаментом за 2021 год в размере 0,00 тыс. руб.</w:t>
      </w:r>
    </w:p>
    <w:p w:rsidR="00447FE6" w:rsidRPr="006651B9" w:rsidRDefault="00447FE6" w:rsidP="005657C9">
      <w:pPr>
        <w:widowControl/>
        <w:ind w:firstLine="567"/>
        <w:contextualSpacing/>
        <w:jc w:val="both"/>
        <w:rPr>
          <w:rFonts w:eastAsia="Calibri"/>
          <w:sz w:val="24"/>
          <w:szCs w:val="24"/>
          <w:lang w:eastAsia="en-US"/>
        </w:rPr>
      </w:pPr>
    </w:p>
    <w:p w:rsidR="005657C9" w:rsidRPr="00451273" w:rsidRDefault="005657C9" w:rsidP="005657C9">
      <w:pPr>
        <w:widowControl/>
        <w:numPr>
          <w:ilvl w:val="0"/>
          <w:numId w:val="35"/>
        </w:numPr>
        <w:tabs>
          <w:tab w:val="left" w:pos="993"/>
        </w:tabs>
        <w:suppressAutoHyphens/>
        <w:spacing w:after="200"/>
        <w:ind w:left="0" w:firstLine="567"/>
        <w:contextualSpacing/>
        <w:jc w:val="both"/>
        <w:rPr>
          <w:rFonts w:eastAsia="Calibri"/>
          <w:i/>
          <w:sz w:val="24"/>
          <w:szCs w:val="24"/>
          <w:lang w:eastAsia="en-US"/>
        </w:rPr>
      </w:pPr>
      <w:r w:rsidRPr="00451273">
        <w:rPr>
          <w:rFonts w:eastAsia="Calibri"/>
          <w:i/>
          <w:sz w:val="24"/>
          <w:szCs w:val="24"/>
          <w:lang w:eastAsia="en-US"/>
        </w:rPr>
        <w:t>Корректировка необходимой валовой выручки по доходам от осуществления регулируемой деятельности (формула 7 Методических указаний № 98).</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Рассчитанная Департаментом корректировка НВВ по доходам в размере (-) 273 675,31 тыс. руб. без ИПЦ (-330 062,55 с учетом ИПЦ) предусматривает исключение объема недополученной выручки филиала «Ивэнерго» по зависящим причинам в части:</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 АО «ПСК» – 23 981,10 тыс. руб.;</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 ООО «Энергос</w:t>
      </w:r>
      <w:r w:rsidR="00B32C3D" w:rsidRPr="00B32C3D">
        <w:rPr>
          <w:rFonts w:eastAsia="Calibri"/>
          <w:sz w:val="24"/>
          <w:szCs w:val="24"/>
          <w:lang w:eastAsia="en-US"/>
        </w:rPr>
        <w:t>еть» – 208 345,58 тыс. руб.</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Филиал «Ивэнерго» не согласен с позицией Д</w:t>
      </w:r>
      <w:r w:rsidR="00B32C3D" w:rsidRPr="00B32C3D">
        <w:rPr>
          <w:rFonts w:eastAsia="Calibri"/>
          <w:sz w:val="24"/>
          <w:szCs w:val="24"/>
          <w:lang w:eastAsia="en-US"/>
        </w:rPr>
        <w:t>епартамента</w:t>
      </w:r>
      <w:r w:rsidRPr="00B32C3D">
        <w:rPr>
          <w:rFonts w:eastAsia="Calibri"/>
          <w:sz w:val="24"/>
          <w:szCs w:val="24"/>
          <w:lang w:eastAsia="en-US"/>
        </w:rPr>
        <w:t xml:space="preserve"> по следующим основаниям.</w:t>
      </w:r>
    </w:p>
    <w:p w:rsidR="005657C9" w:rsidRPr="00B32C3D" w:rsidRDefault="005657C9" w:rsidP="005657C9">
      <w:pPr>
        <w:widowControl/>
        <w:ind w:firstLine="567"/>
        <w:contextualSpacing/>
        <w:jc w:val="both"/>
        <w:rPr>
          <w:rFonts w:eastAsia="Calibri"/>
          <w:i/>
          <w:sz w:val="24"/>
          <w:szCs w:val="24"/>
          <w:lang w:eastAsia="en-US"/>
        </w:rPr>
      </w:pPr>
      <w:r w:rsidRPr="00B32C3D">
        <w:rPr>
          <w:rFonts w:eastAsia="Calibri"/>
          <w:i/>
          <w:sz w:val="24"/>
          <w:szCs w:val="24"/>
          <w:lang w:eastAsia="en-US"/>
        </w:rPr>
        <w:t>В отношен</w:t>
      </w:r>
      <w:proofErr w:type="gramStart"/>
      <w:r w:rsidRPr="00B32C3D">
        <w:rPr>
          <w:rFonts w:eastAsia="Calibri"/>
          <w:i/>
          <w:sz w:val="24"/>
          <w:szCs w:val="24"/>
          <w:lang w:eastAsia="en-US"/>
        </w:rPr>
        <w:t>ии АО</w:t>
      </w:r>
      <w:proofErr w:type="gramEnd"/>
      <w:r w:rsidRPr="00B32C3D">
        <w:rPr>
          <w:rFonts w:eastAsia="Calibri"/>
          <w:i/>
          <w:sz w:val="24"/>
          <w:szCs w:val="24"/>
          <w:lang w:eastAsia="en-US"/>
        </w:rPr>
        <w:t xml:space="preserve"> «ПСК»</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В ТБР на 2021 год в отношен</w:t>
      </w:r>
      <w:proofErr w:type="gramStart"/>
      <w:r w:rsidRPr="00B32C3D">
        <w:rPr>
          <w:rFonts w:eastAsia="Calibri"/>
          <w:sz w:val="24"/>
          <w:szCs w:val="24"/>
          <w:lang w:eastAsia="en-US"/>
        </w:rPr>
        <w:t>ии АО</w:t>
      </w:r>
      <w:proofErr w:type="gramEnd"/>
      <w:r w:rsidRPr="00B32C3D">
        <w:rPr>
          <w:rFonts w:eastAsia="Calibri"/>
          <w:sz w:val="24"/>
          <w:szCs w:val="24"/>
          <w:lang w:eastAsia="en-US"/>
        </w:rPr>
        <w:t xml:space="preserve"> «ПСК» Департаментом установлена модель тарифообразования «котел сверху», при которой объем для взаиморасчетов с филиалом «Ивэнерго» определяется как «объем электроэнергии, отпущенной из сети АО «ПСК» в сети потребителей и нижестоящих сетевых организаций (АО «Ивгорэлектросеть» и ООО «Профессионал»). При этом АО «ПСК» имеет собственное потребление.</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К электрическим сетям АО «ПСК» технологически присоединены потребител</w:t>
      </w:r>
      <w:proofErr w:type="gramStart"/>
      <w:r w:rsidRPr="00B32C3D">
        <w:rPr>
          <w:rFonts w:eastAsia="Calibri"/>
          <w:sz w:val="24"/>
          <w:szCs w:val="24"/>
          <w:lang w:eastAsia="en-US"/>
        </w:rPr>
        <w:t>и ООО</w:t>
      </w:r>
      <w:proofErr w:type="gramEnd"/>
      <w:r w:rsidRPr="00B32C3D">
        <w:rPr>
          <w:rFonts w:eastAsia="Calibri"/>
          <w:sz w:val="24"/>
          <w:szCs w:val="24"/>
          <w:lang w:eastAsia="en-US"/>
        </w:rPr>
        <w:t xml:space="preserve"> «Эксполит» и ООО «МК КРАНЭКС», которые расторгли договоры энергоснабжения с гарантирующим поставщиком и подали заявки на заключение договоров оказан</w:t>
      </w:r>
      <w:r w:rsidR="00B32C3D" w:rsidRPr="00B32C3D">
        <w:rPr>
          <w:rFonts w:eastAsia="Calibri"/>
          <w:sz w:val="24"/>
          <w:szCs w:val="24"/>
          <w:lang w:eastAsia="en-US"/>
        </w:rPr>
        <w:t>ия услуг с филиалом «Ивэнерго».</w:t>
      </w:r>
    </w:p>
    <w:p w:rsidR="005657C9" w:rsidRPr="00B32C3D" w:rsidRDefault="005657C9" w:rsidP="005657C9">
      <w:pPr>
        <w:widowControl/>
        <w:ind w:firstLine="567"/>
        <w:contextualSpacing/>
        <w:jc w:val="both"/>
        <w:rPr>
          <w:rFonts w:eastAsia="Calibri"/>
          <w:sz w:val="24"/>
          <w:szCs w:val="24"/>
          <w:lang w:eastAsia="en-US"/>
        </w:rPr>
      </w:pPr>
      <w:r w:rsidRPr="00B32C3D">
        <w:rPr>
          <w:rFonts w:eastAsia="Calibri"/>
          <w:sz w:val="24"/>
          <w:szCs w:val="24"/>
          <w:lang w:eastAsia="en-US"/>
        </w:rPr>
        <w:t>Следует отметить, что АО «ПСК», ООО «Эксполит», ООО «МК КРАНЭКС» являются аффилированными ЮЛ (один общий собственник).</w:t>
      </w:r>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В целях урегулирования договорных отношений по передаче электрической энергии с указанными потребителями филиал «Ивэнерго» запросил предусмотренные законодательством документы. Полный комплект документов со стороны потребителей так и не был предоставлен. В связи с чем, договорные отношения по передаче электрической энергии урегулированы не были и как следствие, договоры купли-продажи электрической энергии с гарантирующим поставщиком в силу не вступили.</w:t>
      </w:r>
    </w:p>
    <w:p w:rsidR="005657C9" w:rsidRPr="00987791" w:rsidRDefault="005657C9" w:rsidP="005657C9">
      <w:pPr>
        <w:widowControl/>
        <w:ind w:firstLine="567"/>
        <w:contextualSpacing/>
        <w:jc w:val="both"/>
        <w:rPr>
          <w:rFonts w:eastAsia="Calibri"/>
          <w:sz w:val="24"/>
          <w:szCs w:val="24"/>
          <w:lang w:eastAsia="en-US"/>
        </w:rPr>
      </w:pPr>
      <w:proofErr w:type="gramStart"/>
      <w:r w:rsidRPr="00987791">
        <w:rPr>
          <w:rFonts w:eastAsia="Calibri"/>
          <w:sz w:val="24"/>
          <w:szCs w:val="24"/>
          <w:lang w:eastAsia="en-US"/>
        </w:rPr>
        <w:t xml:space="preserve">Ответы на запросы филиала в адрес </w:t>
      </w:r>
      <w:r w:rsidR="00987791" w:rsidRPr="00987791">
        <w:rPr>
          <w:rFonts w:eastAsia="Calibri"/>
          <w:sz w:val="24"/>
          <w:szCs w:val="24"/>
          <w:lang w:eastAsia="en-US"/>
        </w:rPr>
        <w:t xml:space="preserve">ООО </w:t>
      </w:r>
      <w:r w:rsidRPr="00987791">
        <w:rPr>
          <w:rFonts w:eastAsia="Calibri"/>
          <w:sz w:val="24"/>
          <w:szCs w:val="24"/>
          <w:lang w:eastAsia="en-US"/>
        </w:rPr>
        <w:t xml:space="preserve">«Эксполит» (от 17.06.2019г. №МР7ИвЭ/03-1/4605/7/1 и от 12.11.2019г. № МР7ИвЭ/03-1/8940-4), в адрес </w:t>
      </w:r>
      <w:r w:rsidR="00987791" w:rsidRPr="00987791">
        <w:rPr>
          <w:rFonts w:eastAsia="Calibri"/>
          <w:sz w:val="24"/>
          <w:szCs w:val="24"/>
          <w:lang w:eastAsia="en-US"/>
        </w:rPr>
        <w:t xml:space="preserve">ООО </w:t>
      </w:r>
      <w:r w:rsidRPr="00987791">
        <w:rPr>
          <w:rFonts w:eastAsia="Calibri"/>
          <w:sz w:val="24"/>
          <w:szCs w:val="24"/>
          <w:lang w:eastAsia="en-US"/>
        </w:rPr>
        <w:t>«МК Кранэкс» (от 17.06.2019г. №МР7ИвЭ/03-1/4603/7/1, от 12.11.2022г. № МР7ИвЭ/03-1/8939-4 и от 06.12.2019г. № МР7ИвЭ/03-1/9742-4) не поступали.</w:t>
      </w:r>
      <w:proofErr w:type="gramEnd"/>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В нарушение действующего законодательства, АО «ПСК», как ТСО, соответствующий объем потребления включало в объем потерь в «своих» сетях и оплачивало его по выставленным</w:t>
      </w:r>
      <w:r w:rsidR="00987791" w:rsidRPr="00987791">
        <w:rPr>
          <w:rFonts w:eastAsia="Calibri"/>
          <w:sz w:val="24"/>
          <w:szCs w:val="24"/>
          <w:lang w:eastAsia="en-US"/>
        </w:rPr>
        <w:t xml:space="preserve"> счетам Ивановскому филиалу АО «</w:t>
      </w:r>
      <w:r w:rsidRPr="00987791">
        <w:rPr>
          <w:rFonts w:eastAsia="Calibri"/>
          <w:sz w:val="24"/>
          <w:szCs w:val="24"/>
          <w:lang w:eastAsia="en-US"/>
        </w:rPr>
        <w:t>ЭнергосбыТ Плюс</w:t>
      </w:r>
      <w:r w:rsidR="00987791" w:rsidRPr="00987791">
        <w:rPr>
          <w:rFonts w:eastAsia="Calibri"/>
          <w:sz w:val="24"/>
          <w:szCs w:val="24"/>
          <w:lang w:eastAsia="en-US"/>
        </w:rPr>
        <w:t>».</w:t>
      </w:r>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В нарушение действующего законодательства, гарантирующий поставщик выставлял АО «ПСК» к оплате объем фактических потерь в сетях ТСО, содержащий потребление электрической энерг</w:t>
      </w:r>
      <w:proofErr w:type="gramStart"/>
      <w:r w:rsidRPr="00987791">
        <w:rPr>
          <w:rFonts w:eastAsia="Calibri"/>
          <w:sz w:val="24"/>
          <w:szCs w:val="24"/>
          <w:lang w:eastAsia="en-US"/>
        </w:rPr>
        <w:t>ии ООО</w:t>
      </w:r>
      <w:proofErr w:type="gramEnd"/>
      <w:r w:rsidRPr="00987791">
        <w:rPr>
          <w:rFonts w:eastAsia="Calibri"/>
          <w:sz w:val="24"/>
          <w:szCs w:val="24"/>
          <w:lang w:eastAsia="en-US"/>
        </w:rPr>
        <w:t xml:space="preserve"> «Эксполит» и ООО «МК КРАНЭКС». </w:t>
      </w:r>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lastRenderedPageBreak/>
        <w:t>Учитывая неурегулированность договорных отношений между потребителями и филиалом «Ивэнерго», между ТСО и филиалом «Ивэнерго» («спорные ВЛ-110 кВ «Фурманов 1,2»), обосновывающих документов для вступления в разногласия с гарантирующим поставщиком у филиала «И</w:t>
      </w:r>
      <w:r w:rsidR="00987791" w:rsidRPr="00987791">
        <w:rPr>
          <w:rFonts w:eastAsia="Calibri"/>
          <w:sz w:val="24"/>
          <w:szCs w:val="24"/>
          <w:lang w:eastAsia="en-US"/>
        </w:rPr>
        <w:t>вэнерго» в 2021 году не было.</w:t>
      </w:r>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Указанные обстоятельства обусловили занижение в 2021 году котлового полезного отпуска электрической энергии (мощности) и выручки по единым (котловым) тарифам филиала «Ивэнерго», как «котлодержателя», по не зависящим от филиала причинам:</w:t>
      </w:r>
    </w:p>
    <w:p w:rsidR="005657C9" w:rsidRPr="00987791" w:rsidRDefault="005657C9" w:rsidP="005657C9">
      <w:pPr>
        <w:widowControl/>
        <w:ind w:firstLine="567"/>
        <w:contextualSpacing/>
        <w:jc w:val="both"/>
        <w:rPr>
          <w:rFonts w:eastAsia="Calibri"/>
          <w:sz w:val="24"/>
          <w:szCs w:val="24"/>
          <w:lang w:eastAsia="en-US"/>
        </w:rPr>
      </w:pPr>
      <w:proofErr w:type="gramStart"/>
      <w:r w:rsidRPr="00987791">
        <w:rPr>
          <w:rFonts w:eastAsia="Calibri"/>
          <w:sz w:val="24"/>
          <w:szCs w:val="24"/>
          <w:lang w:eastAsia="en-US"/>
        </w:rPr>
        <w:t>- по расчетам Д</w:t>
      </w:r>
      <w:r w:rsidR="00987791" w:rsidRPr="00987791">
        <w:rPr>
          <w:rFonts w:eastAsia="Calibri"/>
          <w:sz w:val="24"/>
          <w:szCs w:val="24"/>
          <w:lang w:eastAsia="en-US"/>
        </w:rPr>
        <w:t>епартамента</w:t>
      </w:r>
      <w:r w:rsidRPr="00987791">
        <w:rPr>
          <w:rFonts w:eastAsia="Calibri"/>
          <w:sz w:val="24"/>
          <w:szCs w:val="24"/>
          <w:lang w:eastAsia="en-US"/>
        </w:rPr>
        <w:t xml:space="preserve"> на 15 235 040 кВтч или 23 981 103,79 руб. (ВН одноставочный ЕКТ-2021)</w:t>
      </w:r>
      <w:r w:rsidR="00987791" w:rsidRPr="00987791">
        <w:rPr>
          <w:rFonts w:eastAsia="Calibri"/>
          <w:sz w:val="24"/>
          <w:szCs w:val="24"/>
          <w:lang w:eastAsia="en-US"/>
        </w:rPr>
        <w:t xml:space="preserve"> п</w:t>
      </w:r>
      <w:r w:rsidRPr="00987791">
        <w:rPr>
          <w:rFonts w:eastAsia="Calibri"/>
          <w:sz w:val="24"/>
          <w:szCs w:val="24"/>
          <w:lang w:eastAsia="en-US"/>
        </w:rPr>
        <w:t xml:space="preserve">рименен норматив потерь (0,52%), установленный </w:t>
      </w:r>
      <w:r w:rsidR="00987791" w:rsidRPr="00987791">
        <w:rPr>
          <w:rFonts w:eastAsia="Calibri"/>
          <w:sz w:val="24"/>
          <w:szCs w:val="24"/>
          <w:lang w:eastAsia="en-US"/>
        </w:rPr>
        <w:t>Департаментом</w:t>
      </w:r>
      <w:r w:rsidRPr="00987791">
        <w:rPr>
          <w:rFonts w:eastAsia="Calibri"/>
          <w:sz w:val="24"/>
          <w:szCs w:val="24"/>
          <w:lang w:eastAsia="en-US"/>
        </w:rPr>
        <w:t xml:space="preserve"> с учетом отпуска в сеть по спорным ВЛ-110 кВ «Фурманов 1,2» (236,742 млн. кВтч), что не соответствует фактическим данным, так как поступления в сети ТСО из сетей ПАО «ФСК ЕЭС» нет;</w:t>
      </w:r>
      <w:proofErr w:type="gramEnd"/>
    </w:p>
    <w:p w:rsidR="005657C9" w:rsidRPr="00987791"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 по расчетам филиала «Ивэнерго» на 14 505 828 кВтч или 22 834 360,83 (ВН одноставочный ЕКТ-2021)</w:t>
      </w:r>
      <w:r w:rsidR="00987791" w:rsidRPr="00987791">
        <w:rPr>
          <w:rFonts w:eastAsia="Calibri"/>
          <w:sz w:val="24"/>
          <w:szCs w:val="24"/>
          <w:lang w:eastAsia="en-US"/>
        </w:rPr>
        <w:t xml:space="preserve"> п</w:t>
      </w:r>
      <w:r w:rsidRPr="00987791">
        <w:rPr>
          <w:rFonts w:eastAsia="Calibri"/>
          <w:sz w:val="24"/>
          <w:szCs w:val="24"/>
          <w:lang w:eastAsia="en-US"/>
        </w:rPr>
        <w:t>рименен норматив потерь (2,50%), рассчитанный на объем поступления в сети ТСО без учета отпуска по спорным ВЛ-110 кВ «Фурманов 1,2» (49,318 млн. кВ</w:t>
      </w:r>
      <w:r w:rsidR="00987791" w:rsidRPr="00987791">
        <w:rPr>
          <w:rFonts w:eastAsia="Calibri"/>
          <w:sz w:val="24"/>
          <w:szCs w:val="24"/>
          <w:lang w:eastAsia="en-US"/>
        </w:rPr>
        <w:t>тч), принадлежащим филиалу «Ивэнерго».</w:t>
      </w:r>
    </w:p>
    <w:p w:rsidR="005657C9" w:rsidRDefault="005657C9" w:rsidP="005657C9">
      <w:pPr>
        <w:widowControl/>
        <w:ind w:firstLine="567"/>
        <w:contextualSpacing/>
        <w:jc w:val="both"/>
        <w:rPr>
          <w:rFonts w:eastAsia="Calibri"/>
          <w:sz w:val="24"/>
          <w:szCs w:val="24"/>
          <w:lang w:eastAsia="en-US"/>
        </w:rPr>
      </w:pPr>
      <w:r w:rsidRPr="00987791">
        <w:rPr>
          <w:rFonts w:eastAsia="Calibri"/>
          <w:sz w:val="24"/>
          <w:szCs w:val="24"/>
          <w:lang w:eastAsia="en-US"/>
        </w:rPr>
        <w:t>На основании вышеизложенного, филиал «Ивэнерго» выражает несогласие с исключением из НВВ 2023 года объема недополученной в 2021 году выручки.</w:t>
      </w:r>
    </w:p>
    <w:p w:rsidR="0015450E" w:rsidRPr="00987791" w:rsidRDefault="0015450E" w:rsidP="00B06DEC">
      <w:pPr>
        <w:widowControl/>
        <w:ind w:firstLine="567"/>
        <w:contextualSpacing/>
        <w:jc w:val="both"/>
        <w:rPr>
          <w:rFonts w:eastAsia="Calibri"/>
          <w:sz w:val="24"/>
          <w:szCs w:val="24"/>
          <w:lang w:eastAsia="en-US"/>
        </w:rPr>
      </w:pPr>
      <w:r>
        <w:rPr>
          <w:rFonts w:eastAsia="Calibri"/>
          <w:sz w:val="24"/>
          <w:szCs w:val="24"/>
          <w:lang w:eastAsia="en-US"/>
        </w:rPr>
        <w:t>Департамент по вышеперечисленным доводам отмечает следующее.</w:t>
      </w:r>
    </w:p>
    <w:p w:rsidR="00B06DEC" w:rsidRPr="00B06DEC" w:rsidRDefault="00B06DEC" w:rsidP="00B06DEC">
      <w:pPr>
        <w:widowControl/>
        <w:ind w:firstLine="567"/>
        <w:jc w:val="both"/>
        <w:rPr>
          <w:snapToGrid w:val="0"/>
          <w:sz w:val="24"/>
          <w:szCs w:val="24"/>
        </w:rPr>
      </w:pPr>
      <w:proofErr w:type="gramStart"/>
      <w:r w:rsidRPr="00B06DEC">
        <w:rPr>
          <w:snapToGrid w:val="0"/>
          <w:sz w:val="24"/>
          <w:szCs w:val="24"/>
        </w:rPr>
        <w:t>В рамках рассмотрения материалов, предоставленных территориальными сетевыми организациями Ивановской области в рамках заявлений (предложений) об установлении тарифов на услуги по передаче электрической энергии (мощности), Департаментом выявлено существенное отклонение величины фактических потерь электроэнергии в сетях АО «ПСК», приобретаемых у Ивановского филиала АО «ЭнергосбыТ Плюс», от установленных Департаментом нормативных значений, начиная с июня 2019 года:</w:t>
      </w:r>
      <w:proofErr w:type="gramEnd"/>
    </w:p>
    <w:p w:rsidR="00B06DEC" w:rsidRPr="00B06DEC" w:rsidRDefault="00B06DEC" w:rsidP="00B06DEC">
      <w:pPr>
        <w:widowControl/>
        <w:ind w:firstLine="567"/>
        <w:jc w:val="both"/>
        <w:rPr>
          <w:snapToGrid w:val="0"/>
          <w:sz w:val="24"/>
          <w:szCs w:val="24"/>
        </w:rPr>
      </w:pPr>
      <w:r w:rsidRPr="00B06DEC">
        <w:rPr>
          <w:snapToGrid w:val="0"/>
          <w:sz w:val="24"/>
          <w:szCs w:val="24"/>
        </w:rPr>
        <w:t>- итого за 2019 год – 9 248 277 кВтч,</w:t>
      </w:r>
    </w:p>
    <w:p w:rsidR="00B06DEC" w:rsidRPr="00B06DEC" w:rsidRDefault="00B06DEC" w:rsidP="00B06DEC">
      <w:pPr>
        <w:widowControl/>
        <w:ind w:firstLine="567"/>
        <w:jc w:val="both"/>
        <w:rPr>
          <w:snapToGrid w:val="0"/>
          <w:sz w:val="24"/>
          <w:szCs w:val="24"/>
        </w:rPr>
      </w:pPr>
      <w:r w:rsidRPr="00B06DEC">
        <w:rPr>
          <w:snapToGrid w:val="0"/>
          <w:sz w:val="24"/>
          <w:szCs w:val="24"/>
        </w:rPr>
        <w:t>- итого за 2020 год – 14 304 089 кВтч,</w:t>
      </w:r>
    </w:p>
    <w:p w:rsidR="00B06DEC" w:rsidRPr="00B06DEC" w:rsidRDefault="00B06DEC" w:rsidP="00B06DEC">
      <w:pPr>
        <w:widowControl/>
        <w:ind w:firstLine="567"/>
        <w:jc w:val="both"/>
        <w:rPr>
          <w:snapToGrid w:val="0"/>
          <w:sz w:val="24"/>
          <w:szCs w:val="24"/>
        </w:rPr>
      </w:pPr>
      <w:r w:rsidRPr="00B06DEC">
        <w:rPr>
          <w:snapToGrid w:val="0"/>
          <w:sz w:val="24"/>
          <w:szCs w:val="24"/>
        </w:rPr>
        <w:t>- итого за 2021 год – 15 421 763 кВтч.</w:t>
      </w:r>
    </w:p>
    <w:p w:rsidR="00B06DEC" w:rsidRPr="00B06DEC" w:rsidRDefault="00B06DEC" w:rsidP="00B06DEC">
      <w:pPr>
        <w:widowControl/>
        <w:autoSpaceDE w:val="0"/>
        <w:autoSpaceDN w:val="0"/>
        <w:adjustRightInd w:val="0"/>
        <w:ind w:firstLine="567"/>
        <w:jc w:val="both"/>
        <w:rPr>
          <w:rFonts w:eastAsiaTheme="minorHAnsi"/>
          <w:sz w:val="24"/>
          <w:szCs w:val="24"/>
          <w:lang w:eastAsia="en-US"/>
        </w:rPr>
      </w:pPr>
      <w:proofErr w:type="gramStart"/>
      <w:r w:rsidRPr="00B06DEC">
        <w:rPr>
          <w:rFonts w:eastAsiaTheme="minorHAnsi"/>
          <w:sz w:val="24"/>
          <w:szCs w:val="24"/>
          <w:lang w:eastAsia="en-US"/>
        </w:rPr>
        <w:t>При этом согласно п. 50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 (далее – Правила), 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w:t>
      </w:r>
      <w:proofErr w:type="gramEnd"/>
      <w:r w:rsidRPr="00B06DEC">
        <w:rPr>
          <w:rFonts w:eastAsiaTheme="minorHAnsi"/>
          <w:sz w:val="24"/>
          <w:szCs w:val="24"/>
          <w:lang w:eastAsia="en-US"/>
        </w:rPr>
        <w:t xml:space="preserve"> (</w:t>
      </w:r>
      <w:proofErr w:type="gramStart"/>
      <w:r w:rsidRPr="00B06DEC">
        <w:rPr>
          <w:rFonts w:eastAsiaTheme="minorHAnsi"/>
          <w:sz w:val="24"/>
          <w:szCs w:val="24"/>
          <w:lang w:eastAsia="en-US"/>
        </w:rPr>
        <w:t>V</w:t>
      </w:r>
      <w:r w:rsidRPr="00B06DEC">
        <w:rPr>
          <w:rFonts w:eastAsiaTheme="minorHAnsi"/>
          <w:sz w:val="24"/>
          <w:szCs w:val="24"/>
          <w:vertAlign w:val="subscript"/>
          <w:lang w:eastAsia="en-US"/>
        </w:rPr>
        <w:t>(факт)</w:t>
      </w:r>
      <w:r w:rsidRPr="00B06DEC">
        <w:rPr>
          <w:rFonts w:eastAsiaTheme="minorHAnsi"/>
          <w:sz w:val="24"/>
          <w:szCs w:val="24"/>
          <w:lang w:eastAsia="en-US"/>
        </w:rPr>
        <w:t>), определяется по формуле:</w:t>
      </w:r>
      <w:proofErr w:type="gramEnd"/>
    </w:p>
    <w:p w:rsidR="00B06DEC" w:rsidRPr="00B06DEC" w:rsidRDefault="00B06DEC" w:rsidP="00B06DEC">
      <w:pPr>
        <w:widowControl/>
        <w:autoSpaceDE w:val="0"/>
        <w:autoSpaceDN w:val="0"/>
        <w:adjustRightInd w:val="0"/>
        <w:ind w:firstLine="567"/>
        <w:jc w:val="center"/>
        <w:rPr>
          <w:rFonts w:eastAsiaTheme="minorHAnsi"/>
          <w:sz w:val="24"/>
          <w:szCs w:val="24"/>
          <w:lang w:eastAsia="en-US"/>
        </w:rPr>
      </w:pPr>
      <w:r w:rsidRPr="00B06DEC">
        <w:rPr>
          <w:rFonts w:eastAsiaTheme="minorHAnsi"/>
          <w:sz w:val="24"/>
          <w:szCs w:val="24"/>
          <w:lang w:eastAsia="en-US"/>
        </w:rPr>
        <w:t>V</w:t>
      </w:r>
      <w:r w:rsidRPr="00B06DEC">
        <w:rPr>
          <w:rFonts w:eastAsiaTheme="minorHAnsi"/>
          <w:sz w:val="24"/>
          <w:szCs w:val="24"/>
          <w:vertAlign w:val="subscript"/>
          <w:lang w:eastAsia="en-US"/>
        </w:rPr>
        <w:t>(факт)</w:t>
      </w:r>
      <w:r w:rsidRPr="00B06DEC">
        <w:rPr>
          <w:rFonts w:eastAsiaTheme="minorHAnsi"/>
          <w:sz w:val="24"/>
          <w:szCs w:val="24"/>
          <w:lang w:eastAsia="en-US"/>
        </w:rPr>
        <w:t xml:space="preserve"> = V</w:t>
      </w:r>
      <w:r w:rsidRPr="00B06DEC">
        <w:rPr>
          <w:rFonts w:eastAsiaTheme="minorHAnsi"/>
          <w:sz w:val="24"/>
          <w:szCs w:val="24"/>
          <w:vertAlign w:val="subscript"/>
          <w:lang w:eastAsia="en-US"/>
        </w:rPr>
        <w:t>(</w:t>
      </w:r>
      <w:proofErr w:type="spellStart"/>
      <w:r w:rsidRPr="00B06DEC">
        <w:rPr>
          <w:rFonts w:eastAsiaTheme="minorHAnsi"/>
          <w:sz w:val="24"/>
          <w:szCs w:val="24"/>
          <w:vertAlign w:val="subscript"/>
          <w:lang w:eastAsia="en-US"/>
        </w:rPr>
        <w:t>отп</w:t>
      </w:r>
      <w:proofErr w:type="spellEnd"/>
      <w:r w:rsidRPr="00B06DEC">
        <w:rPr>
          <w:rFonts w:eastAsiaTheme="minorHAnsi"/>
          <w:sz w:val="24"/>
          <w:szCs w:val="24"/>
          <w:vertAlign w:val="subscript"/>
          <w:lang w:eastAsia="en-US"/>
        </w:rPr>
        <w:t>)</w:t>
      </w:r>
      <w:r w:rsidRPr="00B06DEC">
        <w:rPr>
          <w:rFonts w:eastAsiaTheme="minorHAnsi"/>
          <w:sz w:val="24"/>
          <w:szCs w:val="24"/>
          <w:lang w:eastAsia="en-US"/>
        </w:rPr>
        <w:t xml:space="preserve"> x (N / (100% - N)),</w:t>
      </w:r>
    </w:p>
    <w:p w:rsidR="00B06DEC" w:rsidRPr="00B06DEC" w:rsidRDefault="00B06DEC" w:rsidP="00B06DEC">
      <w:pPr>
        <w:widowControl/>
        <w:autoSpaceDE w:val="0"/>
        <w:autoSpaceDN w:val="0"/>
        <w:adjustRightInd w:val="0"/>
        <w:ind w:firstLine="567"/>
        <w:jc w:val="both"/>
        <w:rPr>
          <w:rFonts w:eastAsiaTheme="minorHAnsi"/>
          <w:sz w:val="24"/>
          <w:szCs w:val="24"/>
          <w:lang w:eastAsia="en-US"/>
        </w:rPr>
      </w:pPr>
      <w:r w:rsidRPr="00B06DEC">
        <w:rPr>
          <w:rFonts w:eastAsiaTheme="minorHAnsi"/>
          <w:sz w:val="24"/>
          <w:szCs w:val="24"/>
          <w:lang w:eastAsia="en-US"/>
        </w:rPr>
        <w:t>где:</w:t>
      </w:r>
    </w:p>
    <w:p w:rsidR="00B06DEC" w:rsidRPr="00B06DEC" w:rsidRDefault="00B06DEC" w:rsidP="00B06DEC">
      <w:pPr>
        <w:widowControl/>
        <w:autoSpaceDE w:val="0"/>
        <w:autoSpaceDN w:val="0"/>
        <w:adjustRightInd w:val="0"/>
        <w:ind w:firstLine="567"/>
        <w:jc w:val="both"/>
        <w:rPr>
          <w:rFonts w:eastAsiaTheme="minorHAnsi"/>
          <w:sz w:val="24"/>
          <w:szCs w:val="24"/>
          <w:lang w:eastAsia="en-US"/>
        </w:rPr>
      </w:pPr>
      <w:r w:rsidRPr="00B06DEC">
        <w:rPr>
          <w:rFonts w:eastAsiaTheme="minorHAnsi"/>
          <w:sz w:val="24"/>
          <w:szCs w:val="24"/>
          <w:lang w:eastAsia="en-US"/>
        </w:rPr>
        <w:t>V</w:t>
      </w:r>
      <w:r w:rsidRPr="00B06DEC">
        <w:rPr>
          <w:rFonts w:eastAsiaTheme="minorHAnsi"/>
          <w:sz w:val="24"/>
          <w:szCs w:val="24"/>
          <w:vertAlign w:val="subscript"/>
          <w:lang w:eastAsia="en-US"/>
        </w:rPr>
        <w:t>(</w:t>
      </w:r>
      <w:proofErr w:type="spellStart"/>
      <w:r w:rsidRPr="00B06DEC">
        <w:rPr>
          <w:rFonts w:eastAsiaTheme="minorHAnsi"/>
          <w:sz w:val="24"/>
          <w:szCs w:val="24"/>
          <w:vertAlign w:val="subscript"/>
          <w:lang w:eastAsia="en-US"/>
        </w:rPr>
        <w:t>отп</w:t>
      </w:r>
      <w:proofErr w:type="spellEnd"/>
      <w:r w:rsidRPr="00B06DEC">
        <w:rPr>
          <w:rFonts w:eastAsiaTheme="minorHAnsi"/>
          <w:sz w:val="24"/>
          <w:szCs w:val="24"/>
          <w:vertAlign w:val="subscript"/>
          <w:lang w:eastAsia="en-US"/>
        </w:rPr>
        <w:t>)</w:t>
      </w:r>
      <w:r w:rsidRPr="00B06DEC">
        <w:rPr>
          <w:rFonts w:eastAsiaTheme="minorHAnsi"/>
          <w:sz w:val="24"/>
          <w:szCs w:val="24"/>
          <w:lang w:eastAsia="en-US"/>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B06DEC" w:rsidRPr="00B06DEC" w:rsidRDefault="00B06DEC" w:rsidP="00B06DEC">
      <w:pPr>
        <w:widowControl/>
        <w:autoSpaceDE w:val="0"/>
        <w:autoSpaceDN w:val="0"/>
        <w:adjustRightInd w:val="0"/>
        <w:ind w:firstLine="567"/>
        <w:jc w:val="both"/>
        <w:rPr>
          <w:rFonts w:eastAsiaTheme="minorHAnsi"/>
          <w:sz w:val="24"/>
          <w:szCs w:val="24"/>
          <w:lang w:eastAsia="en-US"/>
        </w:rPr>
      </w:pPr>
      <w:proofErr w:type="gramStart"/>
      <w:r w:rsidRPr="00B06DEC">
        <w:rPr>
          <w:rFonts w:eastAsiaTheme="minorHAnsi"/>
          <w:sz w:val="24"/>
          <w:szCs w:val="24"/>
          <w:lang w:eastAsia="en-US"/>
        </w:rP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w:t>
      </w:r>
      <w:proofErr w:type="gramEnd"/>
      <w:r w:rsidRPr="00B06DEC">
        <w:rPr>
          <w:rFonts w:eastAsiaTheme="minorHAnsi"/>
          <w:sz w:val="24"/>
          <w:szCs w:val="24"/>
          <w:lang w:eastAsia="en-US"/>
        </w:rPr>
        <w:t xml:space="preserve"> (котловых) тарифов.</w:t>
      </w:r>
    </w:p>
    <w:p w:rsidR="00B06DEC" w:rsidRPr="00B06DEC" w:rsidRDefault="00B06DEC" w:rsidP="00B06DEC">
      <w:pPr>
        <w:widowControl/>
        <w:autoSpaceDE w:val="0"/>
        <w:autoSpaceDN w:val="0"/>
        <w:adjustRightInd w:val="0"/>
        <w:ind w:firstLine="567"/>
        <w:jc w:val="both"/>
        <w:rPr>
          <w:rFonts w:eastAsiaTheme="minorHAnsi"/>
          <w:sz w:val="24"/>
          <w:szCs w:val="24"/>
          <w:lang w:eastAsia="en-US"/>
        </w:rPr>
      </w:pPr>
      <w:r w:rsidRPr="00B06DEC">
        <w:rPr>
          <w:rFonts w:eastAsiaTheme="minorHAnsi"/>
          <w:sz w:val="24"/>
          <w:szCs w:val="24"/>
          <w:lang w:eastAsia="en-US"/>
        </w:rPr>
        <w:t>Информация о ТСО на территории Ивановской области, в отношении которых подлежит применение порядка расчета фактических потерь электроэнергии согласно вышеуказанной формуле, и утвержденные для них нормативы потерь электроэнергии ежегодно доводилась до гарантирующего поставщика.</w:t>
      </w:r>
    </w:p>
    <w:p w:rsidR="00B06DEC" w:rsidRDefault="00B06DEC" w:rsidP="00B06DEC">
      <w:pPr>
        <w:widowControl/>
        <w:ind w:firstLine="567"/>
        <w:jc w:val="both"/>
        <w:rPr>
          <w:snapToGrid w:val="0"/>
          <w:sz w:val="24"/>
          <w:szCs w:val="24"/>
        </w:rPr>
      </w:pPr>
      <w:r w:rsidRPr="00B06DEC">
        <w:rPr>
          <w:snapToGrid w:val="0"/>
          <w:sz w:val="24"/>
          <w:szCs w:val="24"/>
        </w:rPr>
        <w:t>Вместе с тем, с учетом данных по фактическому отпуску электроэнергии из сетей АО «ПСК»</w:t>
      </w:r>
      <w:r w:rsidRPr="00B06DEC">
        <w:rPr>
          <w:sz w:val="24"/>
          <w:szCs w:val="24"/>
        </w:rPr>
        <w:t xml:space="preserve"> </w:t>
      </w:r>
      <w:r w:rsidRPr="00B06DEC">
        <w:rPr>
          <w:snapToGrid w:val="0"/>
          <w:sz w:val="24"/>
          <w:szCs w:val="24"/>
        </w:rPr>
        <w:t xml:space="preserve">в энергопринимающие устройства (объекты электросетевого хозяйства) смежных субъектов электроэнергетики за 2019-2021гг., объем потерь электроэнергии, предъявленных Ивановским </w:t>
      </w:r>
      <w:r w:rsidRPr="00B06DEC">
        <w:rPr>
          <w:snapToGrid w:val="0"/>
          <w:sz w:val="24"/>
          <w:szCs w:val="24"/>
        </w:rPr>
        <w:lastRenderedPageBreak/>
        <w:t>филиалом АО «ЭнергосбыТ Плюс» к оплате со стороны АО «ПСК» за вышеуказанные периоды, не соответствует объемам, рассчитываемым согласно формуле по п. 50 Правил.</w:t>
      </w:r>
    </w:p>
    <w:p w:rsidR="00B06DEC" w:rsidRDefault="00B06DEC" w:rsidP="00B06DEC">
      <w:pPr>
        <w:widowControl/>
        <w:ind w:firstLine="567"/>
        <w:jc w:val="both"/>
        <w:rPr>
          <w:snapToGrid w:val="0"/>
          <w:sz w:val="24"/>
          <w:szCs w:val="24"/>
        </w:rPr>
      </w:pPr>
      <w:r>
        <w:rPr>
          <w:snapToGrid w:val="0"/>
          <w:sz w:val="24"/>
          <w:szCs w:val="24"/>
        </w:rPr>
        <w:t>При этом объем потерь в соответствии с действующим законодательством в данном случае должен определяться на основании установленного для ТСО норматива потерь на долгосрочный период регулирования, вне зависимости от изменения в течение долгосрочного периода регулирования состава объектов электросетевого хозяйства.</w:t>
      </w:r>
    </w:p>
    <w:p w:rsidR="00B06DEC" w:rsidRDefault="00B06DEC" w:rsidP="00B06DEC">
      <w:pPr>
        <w:widowControl/>
        <w:ind w:firstLine="567"/>
        <w:jc w:val="both"/>
        <w:rPr>
          <w:snapToGrid w:val="0"/>
          <w:sz w:val="24"/>
          <w:szCs w:val="24"/>
        </w:rPr>
      </w:pPr>
      <w:r>
        <w:rPr>
          <w:snapToGrid w:val="0"/>
          <w:sz w:val="24"/>
          <w:szCs w:val="24"/>
        </w:rPr>
        <w:t>Департамент также отмечает, что не признание филиалом «Ивэнерго» статуса ТСО за АО «ПСК» не может считаться обоснованием сложившейся ситуации, кроме того, в рамках рассмотрения судебных споров тарифы на услуги по передаче электрической энергии (мощности), установленные для АО «ПСК» на 2019-2021гг., отменены не были, обоснованность присвоения статуса ТСО подтверждена судебными решениями.</w:t>
      </w:r>
    </w:p>
    <w:p w:rsidR="00B06DEC" w:rsidRPr="00B06DEC" w:rsidRDefault="00B06DEC" w:rsidP="00B06DEC">
      <w:pPr>
        <w:widowControl/>
        <w:ind w:firstLine="567"/>
        <w:jc w:val="both"/>
        <w:rPr>
          <w:snapToGrid w:val="0"/>
          <w:sz w:val="24"/>
          <w:szCs w:val="24"/>
        </w:rPr>
      </w:pPr>
      <w:proofErr w:type="gramStart"/>
      <w:r>
        <w:rPr>
          <w:snapToGrid w:val="0"/>
          <w:sz w:val="24"/>
          <w:szCs w:val="24"/>
        </w:rPr>
        <w:t xml:space="preserve">Таким образом, учитывая отсутствие просуженных со стороны филиала «Ивэнерго» претензий к ООО «Эксполит», </w:t>
      </w:r>
      <w:r w:rsidR="00264EE1" w:rsidRPr="00264EE1">
        <w:rPr>
          <w:snapToGrid w:val="0"/>
          <w:sz w:val="24"/>
          <w:szCs w:val="24"/>
        </w:rPr>
        <w:t>ООО «МК КРАНЭКС»</w:t>
      </w:r>
      <w:r w:rsidR="00264EE1">
        <w:rPr>
          <w:snapToGrid w:val="0"/>
          <w:sz w:val="24"/>
          <w:szCs w:val="24"/>
        </w:rPr>
        <w:t xml:space="preserve">, </w:t>
      </w:r>
      <w:r w:rsidR="00264EE1" w:rsidRPr="00264EE1">
        <w:rPr>
          <w:snapToGrid w:val="0"/>
          <w:sz w:val="24"/>
          <w:szCs w:val="24"/>
        </w:rPr>
        <w:t>Ивановск</w:t>
      </w:r>
      <w:r w:rsidR="00264EE1">
        <w:rPr>
          <w:snapToGrid w:val="0"/>
          <w:sz w:val="24"/>
          <w:szCs w:val="24"/>
        </w:rPr>
        <w:t>ому</w:t>
      </w:r>
      <w:r w:rsidR="00264EE1" w:rsidRPr="00264EE1">
        <w:rPr>
          <w:snapToGrid w:val="0"/>
          <w:sz w:val="24"/>
          <w:szCs w:val="24"/>
        </w:rPr>
        <w:t xml:space="preserve"> филиал</w:t>
      </w:r>
      <w:r w:rsidR="00264EE1">
        <w:rPr>
          <w:snapToGrid w:val="0"/>
          <w:sz w:val="24"/>
          <w:szCs w:val="24"/>
        </w:rPr>
        <w:t>у</w:t>
      </w:r>
      <w:r w:rsidR="00264EE1" w:rsidRPr="00264EE1">
        <w:rPr>
          <w:snapToGrid w:val="0"/>
          <w:sz w:val="24"/>
          <w:szCs w:val="24"/>
        </w:rPr>
        <w:t xml:space="preserve"> АО «ЭнергосбыТ Плюс»</w:t>
      </w:r>
      <w:r w:rsidR="00264EE1">
        <w:rPr>
          <w:snapToGrid w:val="0"/>
          <w:sz w:val="24"/>
          <w:szCs w:val="24"/>
        </w:rPr>
        <w:t xml:space="preserve"> </w:t>
      </w:r>
      <w:r>
        <w:rPr>
          <w:snapToGrid w:val="0"/>
          <w:sz w:val="24"/>
          <w:szCs w:val="24"/>
        </w:rPr>
        <w:t>по неоплате с 2019 года услуг по передаче электрической энергии</w:t>
      </w:r>
      <w:r w:rsidR="00264EE1">
        <w:rPr>
          <w:snapToGrid w:val="0"/>
          <w:sz w:val="24"/>
          <w:szCs w:val="24"/>
        </w:rPr>
        <w:t xml:space="preserve"> (мощности) свидетельствует о бездействии филиала «Ивэнерго» и данные выпадающие доходы расценены Департаментом как выпадающие доходы по зависящим от регулируемой организации причинам, которые в соответствии с действующим законодательством, в том</w:t>
      </w:r>
      <w:proofErr w:type="gramEnd"/>
      <w:r w:rsidR="00264EE1">
        <w:rPr>
          <w:snapToGrid w:val="0"/>
          <w:sz w:val="24"/>
          <w:szCs w:val="24"/>
        </w:rPr>
        <w:t xml:space="preserve"> </w:t>
      </w:r>
      <w:proofErr w:type="gramStart"/>
      <w:r w:rsidR="00264EE1">
        <w:rPr>
          <w:snapToGrid w:val="0"/>
          <w:sz w:val="24"/>
          <w:szCs w:val="24"/>
        </w:rPr>
        <w:t>числе п. 7 Основ ценообразования и Методическими указаниями № 98-э, являются экономически необоснованными и не могут быть учтены при установлении НВВ (в рамках соблюдения баланса интересов Департамент отмечает, что конечные потребители не должны оплачивать убытки организации, возникшие по зависящим от нее причинам).</w:t>
      </w:r>
      <w:proofErr w:type="gramEnd"/>
    </w:p>
    <w:p w:rsidR="005657C9" w:rsidRPr="00B06DEC" w:rsidRDefault="005657C9" w:rsidP="00B06DEC">
      <w:pPr>
        <w:widowControl/>
        <w:ind w:firstLine="567"/>
        <w:contextualSpacing/>
        <w:jc w:val="both"/>
        <w:rPr>
          <w:rFonts w:eastAsia="Calibri"/>
          <w:i/>
          <w:sz w:val="24"/>
          <w:szCs w:val="24"/>
          <w:lang w:eastAsia="en-US"/>
        </w:rPr>
      </w:pPr>
      <w:r w:rsidRPr="00B06DEC">
        <w:rPr>
          <w:rFonts w:eastAsia="Calibri"/>
          <w:i/>
          <w:sz w:val="24"/>
          <w:szCs w:val="24"/>
          <w:lang w:eastAsia="en-US"/>
        </w:rPr>
        <w:t>В отношен</w:t>
      </w:r>
      <w:proofErr w:type="gramStart"/>
      <w:r w:rsidRPr="00B06DEC">
        <w:rPr>
          <w:rFonts w:eastAsia="Calibri"/>
          <w:i/>
          <w:sz w:val="24"/>
          <w:szCs w:val="24"/>
          <w:lang w:eastAsia="en-US"/>
        </w:rPr>
        <w:t>ии ООО</w:t>
      </w:r>
      <w:proofErr w:type="gramEnd"/>
      <w:r w:rsidRPr="00B06DEC">
        <w:rPr>
          <w:rFonts w:eastAsia="Calibri"/>
          <w:i/>
          <w:sz w:val="24"/>
          <w:szCs w:val="24"/>
          <w:lang w:eastAsia="en-US"/>
        </w:rPr>
        <w:t xml:space="preserve"> «Энергосеть»</w:t>
      </w:r>
    </w:p>
    <w:p w:rsidR="005657C9" w:rsidRPr="00B06DEC" w:rsidRDefault="005657C9" w:rsidP="00B06DEC">
      <w:pPr>
        <w:widowControl/>
        <w:ind w:firstLine="567"/>
        <w:contextualSpacing/>
        <w:jc w:val="both"/>
        <w:rPr>
          <w:rFonts w:eastAsia="Calibri"/>
          <w:sz w:val="24"/>
          <w:szCs w:val="24"/>
          <w:lang w:eastAsia="en-US"/>
        </w:rPr>
      </w:pPr>
      <w:r w:rsidRPr="00B06DEC">
        <w:rPr>
          <w:rFonts w:eastAsia="Calibri"/>
          <w:sz w:val="24"/>
          <w:szCs w:val="24"/>
          <w:lang w:eastAsia="en-US"/>
        </w:rPr>
        <w:t>Филиал «Ивэнерго» в 2021 году проводил расчеты с ООО «Энергосеть» (далее – ТСО) по модели тарифообразования «котел сверху», при этом, объем для расчетов за оказанные ТСО услуги определялся как «объем электроэнергии, отпущенной из сети ТСО в сети потребителей и нижестоящих сетевых организаций».</w:t>
      </w:r>
    </w:p>
    <w:p w:rsidR="005657C9" w:rsidRPr="00B06DEC" w:rsidRDefault="005657C9" w:rsidP="00B06DEC">
      <w:pPr>
        <w:widowControl/>
        <w:ind w:firstLine="567"/>
        <w:contextualSpacing/>
        <w:jc w:val="both"/>
        <w:rPr>
          <w:rFonts w:eastAsia="Calibri"/>
          <w:sz w:val="24"/>
          <w:szCs w:val="24"/>
          <w:lang w:eastAsia="en-US"/>
        </w:rPr>
      </w:pPr>
      <w:r w:rsidRPr="00B06DEC">
        <w:rPr>
          <w:rFonts w:eastAsia="Calibri"/>
          <w:sz w:val="24"/>
          <w:szCs w:val="24"/>
          <w:lang w:eastAsia="en-US"/>
        </w:rPr>
        <w:t>Собственного потребления ТСО не имеет.</w:t>
      </w:r>
    </w:p>
    <w:p w:rsidR="005657C9" w:rsidRPr="00B06DEC" w:rsidRDefault="005657C9" w:rsidP="00B06DEC">
      <w:pPr>
        <w:widowControl/>
        <w:ind w:firstLine="567"/>
        <w:contextualSpacing/>
        <w:jc w:val="both"/>
        <w:rPr>
          <w:rFonts w:eastAsia="Calibri"/>
          <w:sz w:val="24"/>
          <w:szCs w:val="24"/>
          <w:lang w:eastAsia="en-US"/>
        </w:rPr>
      </w:pPr>
      <w:r w:rsidRPr="00B06DEC">
        <w:rPr>
          <w:rFonts w:eastAsia="Calibri"/>
          <w:sz w:val="24"/>
          <w:szCs w:val="24"/>
          <w:lang w:eastAsia="en-US"/>
        </w:rPr>
        <w:t>В 2021 году договорные отношения по передаче электрической энергии между энергосбытовой организацией и филиалом «Ивэнерго», как «котлодержателем», в отношении большой группы потребителей урегулированы не были.</w:t>
      </w:r>
    </w:p>
    <w:p w:rsidR="005657C9" w:rsidRPr="00B06DEC" w:rsidRDefault="005657C9" w:rsidP="00B06DEC">
      <w:pPr>
        <w:widowControl/>
        <w:ind w:firstLine="567"/>
        <w:contextualSpacing/>
        <w:jc w:val="both"/>
        <w:rPr>
          <w:rFonts w:eastAsia="Calibri"/>
          <w:sz w:val="24"/>
          <w:szCs w:val="24"/>
          <w:lang w:eastAsia="en-US"/>
        </w:rPr>
      </w:pPr>
      <w:r w:rsidRPr="00B06DEC">
        <w:rPr>
          <w:rFonts w:eastAsia="Calibri"/>
          <w:sz w:val="24"/>
          <w:szCs w:val="24"/>
          <w:lang w:eastAsia="en-US"/>
        </w:rPr>
        <w:t xml:space="preserve">Филиал «Ивэнерго» не однократно предпринимал попытки выявить и урегулировать договорные отношения по передаче электрической энергии в интересах потребителей, подключенных к сетям ТСО, инициировал проведение совместных проверок потребителей, ведущих деятельность на территории индустриального парка «Родники». Однако персоналом ТСО допуск осуществлялся исключительно к приборам учета четырех потребителей, в чьих интересах отношения по передаче электрической энергии урегулированы (МТС, Билайн, ИП Евтешина, ООО «ИП Родники», потребители - граждане). </w:t>
      </w:r>
    </w:p>
    <w:p w:rsidR="005657C9" w:rsidRPr="0015450E" w:rsidRDefault="005657C9" w:rsidP="00B06DEC">
      <w:pPr>
        <w:widowControl/>
        <w:ind w:firstLine="567"/>
        <w:contextualSpacing/>
        <w:jc w:val="both"/>
        <w:rPr>
          <w:rFonts w:eastAsia="Calibri"/>
          <w:b/>
          <w:sz w:val="24"/>
          <w:szCs w:val="24"/>
          <w:lang w:eastAsia="en-US"/>
        </w:rPr>
      </w:pPr>
      <w:r w:rsidRPr="00B06DEC">
        <w:rPr>
          <w:rFonts w:eastAsia="Calibri"/>
          <w:sz w:val="24"/>
          <w:szCs w:val="24"/>
          <w:lang w:eastAsia="en-US"/>
        </w:rPr>
        <w:t>Учитывая, что ТСО не имеет собственного потребления</w:t>
      </w:r>
      <w:r w:rsidRPr="0015450E">
        <w:rPr>
          <w:rFonts w:eastAsia="Calibri"/>
          <w:sz w:val="24"/>
          <w:szCs w:val="24"/>
          <w:lang w:eastAsia="en-US"/>
        </w:rPr>
        <w:t>, а филиал «Ивэнерго» предпринял все возможные меры по исключению выпадающих доходов, обусловленных вышеописанной ситуацией, проведение Д</w:t>
      </w:r>
      <w:r w:rsidR="0015450E" w:rsidRPr="0015450E">
        <w:rPr>
          <w:rFonts w:eastAsia="Calibri"/>
          <w:sz w:val="24"/>
          <w:szCs w:val="24"/>
          <w:lang w:eastAsia="en-US"/>
        </w:rPr>
        <w:t>епартаментом</w:t>
      </w:r>
      <w:r w:rsidRPr="0015450E">
        <w:rPr>
          <w:rFonts w:eastAsia="Calibri"/>
          <w:sz w:val="24"/>
          <w:szCs w:val="24"/>
          <w:lang w:eastAsia="en-US"/>
        </w:rPr>
        <w:t xml:space="preserve"> расчета объем недополученной выручки филиала «Ивэнерго», как «котлодержателя», противоречит п. 50 Правил недискриминационного доступа к услугам по передаче электрической энергии и ока</w:t>
      </w:r>
      <w:r w:rsidR="0015450E" w:rsidRPr="0015450E">
        <w:rPr>
          <w:rFonts w:eastAsia="Calibri"/>
          <w:sz w:val="24"/>
          <w:szCs w:val="24"/>
          <w:lang w:eastAsia="en-US"/>
        </w:rPr>
        <w:t>зания этих услуг, утвержденных п</w:t>
      </w:r>
      <w:r w:rsidRPr="0015450E">
        <w:rPr>
          <w:rFonts w:eastAsia="Calibri"/>
          <w:sz w:val="24"/>
          <w:szCs w:val="24"/>
          <w:lang w:eastAsia="en-US"/>
        </w:rPr>
        <w:t>остановлением Правительства РФ от 27.12.2004</w:t>
      </w:r>
      <w:r w:rsidR="0015450E" w:rsidRPr="0015450E">
        <w:rPr>
          <w:rFonts w:eastAsia="Calibri"/>
          <w:sz w:val="24"/>
          <w:szCs w:val="24"/>
          <w:lang w:eastAsia="en-US"/>
        </w:rPr>
        <w:t xml:space="preserve"> № 861), а уменьшение НВВ на </w:t>
      </w:r>
      <w:r w:rsidRPr="0015450E">
        <w:rPr>
          <w:rFonts w:eastAsia="Calibri"/>
          <w:sz w:val="24"/>
          <w:szCs w:val="24"/>
          <w:lang w:eastAsia="en-US"/>
        </w:rPr>
        <w:t xml:space="preserve">2023 </w:t>
      </w:r>
      <w:r w:rsidR="0015450E" w:rsidRPr="0015450E">
        <w:rPr>
          <w:rFonts w:eastAsia="Calibri"/>
          <w:sz w:val="24"/>
          <w:szCs w:val="24"/>
          <w:lang w:eastAsia="en-US"/>
        </w:rPr>
        <w:t xml:space="preserve">год </w:t>
      </w:r>
      <w:r w:rsidRPr="0015450E">
        <w:rPr>
          <w:rFonts w:eastAsia="Calibri"/>
          <w:sz w:val="24"/>
          <w:szCs w:val="24"/>
          <w:lang w:eastAsia="en-US"/>
        </w:rPr>
        <w:t>на 208,346 млн. руб.</w:t>
      </w:r>
      <w:r w:rsidR="00CA63C7">
        <w:rPr>
          <w:rFonts w:eastAsia="Calibri"/>
          <w:sz w:val="24"/>
          <w:szCs w:val="24"/>
          <w:lang w:eastAsia="en-US"/>
        </w:rPr>
        <w:t>,</w:t>
      </w:r>
      <w:r w:rsidRPr="0015450E">
        <w:rPr>
          <w:rFonts w:eastAsia="Calibri"/>
          <w:sz w:val="24"/>
          <w:szCs w:val="24"/>
          <w:lang w:eastAsia="en-US"/>
        </w:rPr>
        <w:t xml:space="preserve"> в связи с вышеизложенным</w:t>
      </w:r>
      <w:r w:rsidR="00CA63C7">
        <w:rPr>
          <w:rFonts w:eastAsia="Calibri"/>
          <w:sz w:val="24"/>
          <w:szCs w:val="24"/>
          <w:lang w:eastAsia="en-US"/>
        </w:rPr>
        <w:t>,</w:t>
      </w:r>
      <w:r w:rsidRPr="0015450E">
        <w:rPr>
          <w:rFonts w:eastAsia="Calibri"/>
          <w:sz w:val="24"/>
          <w:szCs w:val="24"/>
          <w:lang w:eastAsia="en-US"/>
        </w:rPr>
        <w:t xml:space="preserve"> не правомерно.</w:t>
      </w:r>
    </w:p>
    <w:p w:rsidR="005657C9" w:rsidRPr="00D26BA2" w:rsidRDefault="0015450E" w:rsidP="005657C9">
      <w:pPr>
        <w:widowControl/>
        <w:ind w:firstLine="567"/>
        <w:contextualSpacing/>
        <w:jc w:val="both"/>
        <w:rPr>
          <w:rFonts w:eastAsia="Calibri"/>
          <w:sz w:val="24"/>
          <w:szCs w:val="24"/>
          <w:lang w:eastAsia="en-US"/>
        </w:rPr>
      </w:pPr>
      <w:r w:rsidRPr="00D26BA2">
        <w:rPr>
          <w:rFonts w:eastAsia="Calibri"/>
          <w:sz w:val="24"/>
          <w:szCs w:val="24"/>
          <w:lang w:eastAsia="en-US"/>
        </w:rPr>
        <w:t>Департамент по вышеперечисленным доводам отмечает следующее.</w:t>
      </w:r>
    </w:p>
    <w:p w:rsidR="00AB5325" w:rsidRPr="00D26BA2" w:rsidRDefault="000B793E" w:rsidP="005657C9">
      <w:pPr>
        <w:widowControl/>
        <w:ind w:firstLine="567"/>
        <w:contextualSpacing/>
        <w:jc w:val="both"/>
        <w:rPr>
          <w:rFonts w:eastAsia="Calibri"/>
          <w:sz w:val="24"/>
          <w:szCs w:val="24"/>
          <w:lang w:eastAsia="en-US"/>
        </w:rPr>
      </w:pPr>
      <w:r w:rsidRPr="00D26BA2">
        <w:rPr>
          <w:rFonts w:eastAsia="Calibri"/>
          <w:sz w:val="24"/>
          <w:szCs w:val="24"/>
          <w:lang w:eastAsia="en-US"/>
        </w:rPr>
        <w:t xml:space="preserve">В соответствии с предоставляемой ООО «Энергосеть» в адрес ФАС России отчетностью по формам № 46-ЭЭ (передача) «Сведения об отпуске (передаче) электроэнергии распределительными сетевыми организациями отдельным категориям потребителей» за 2019-2021гг. фактические потери в электрических сетях ООО «Энергосеть» составили: в 2019 году – 81,1% от поступления электроэнергии в сеть или 63 377,256 тыс. кВтч, в 2020 году – 78,8% от поступления электроэнергии в сеть или 64 370,42 тыс. кВтч, в 2021 году - 80,8% от поступления электроэнергии в сеть или 66 605,671 тыс. кВтч, что в разы превышает установленный для сетевой организации нормативный </w:t>
      </w:r>
      <w:r w:rsidRPr="00D26BA2">
        <w:rPr>
          <w:rFonts w:eastAsia="Calibri"/>
          <w:sz w:val="24"/>
          <w:szCs w:val="24"/>
          <w:lang w:eastAsia="en-US"/>
        </w:rPr>
        <w:lastRenderedPageBreak/>
        <w:t>экономически обоснованный уровень технологических потерь в электрических сетях – 5,21% (на 2019 год) и 7,47% (на 2020-2021гг.) за счет коммерческих потерь электроэнергии в сетях.</w:t>
      </w:r>
    </w:p>
    <w:p w:rsidR="00BB13D9"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Объекты электросетевого хозяйства ООО «Энергосеть» расположены в г. Родники на территории</w:t>
      </w:r>
      <w:proofErr w:type="gramStart"/>
      <w:r w:rsidRPr="00D26BA2">
        <w:rPr>
          <w:rFonts w:eastAsia="Calibri"/>
          <w:sz w:val="24"/>
          <w:szCs w:val="24"/>
          <w:lang w:eastAsia="en-US"/>
        </w:rPr>
        <w:t xml:space="preserve"> И</w:t>
      </w:r>
      <w:proofErr w:type="gramEnd"/>
      <w:r w:rsidRPr="00D26BA2">
        <w:rPr>
          <w:rFonts w:eastAsia="Calibri"/>
          <w:sz w:val="24"/>
          <w:szCs w:val="24"/>
          <w:lang w:eastAsia="en-US"/>
        </w:rPr>
        <w:t>ндустриально парка «Родники».</w:t>
      </w:r>
    </w:p>
    <w:p w:rsidR="00BB13D9"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Согласно информации с сайта Индустриального парка «Родники» https://www.ip-rodniki.ru/rezidentyi на территории парка расположено значительное количество производственных и непроизводственных компаний, которые при этом в списке конечных потребителей от сетей ООО «Энергосеть» в соответствии с действующим договором взаимного оказания услуг не учтены.</w:t>
      </w:r>
    </w:p>
    <w:p w:rsidR="00BB13D9"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При этом согласно данным вышеуказанного сайта преимуществами работы на территории ИП «Родники» заявлены:</w:t>
      </w:r>
    </w:p>
    <w:p w:rsidR="00BB13D9"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w:t>
      </w:r>
      <w:r w:rsidRPr="00D26BA2">
        <w:rPr>
          <w:rFonts w:eastAsia="Calibri"/>
          <w:sz w:val="24"/>
          <w:szCs w:val="24"/>
          <w:lang w:eastAsia="en-US"/>
        </w:rPr>
        <w:tab/>
        <w:t>бесплатное подключение производства к энергосети;</w:t>
      </w:r>
    </w:p>
    <w:p w:rsidR="00BB13D9"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w:t>
      </w:r>
      <w:r w:rsidRPr="00D26BA2">
        <w:rPr>
          <w:rFonts w:eastAsia="Calibri"/>
          <w:sz w:val="24"/>
          <w:szCs w:val="24"/>
          <w:lang w:eastAsia="en-US"/>
        </w:rPr>
        <w:tab/>
        <w:t>обеспечение производства одновременно от двух независимых источников э/энергии: ТЭЦ  и ЕЭС.</w:t>
      </w:r>
    </w:p>
    <w:p w:rsidR="000B793E" w:rsidRPr="00D26BA2" w:rsidRDefault="00BB13D9" w:rsidP="00BB13D9">
      <w:pPr>
        <w:widowControl/>
        <w:ind w:firstLine="567"/>
        <w:contextualSpacing/>
        <w:jc w:val="both"/>
        <w:rPr>
          <w:rFonts w:eastAsia="Calibri"/>
          <w:sz w:val="24"/>
          <w:szCs w:val="24"/>
          <w:lang w:eastAsia="en-US"/>
        </w:rPr>
      </w:pPr>
      <w:r w:rsidRPr="00D26BA2">
        <w:rPr>
          <w:rFonts w:eastAsia="Calibri"/>
          <w:sz w:val="24"/>
          <w:szCs w:val="24"/>
          <w:lang w:eastAsia="en-US"/>
        </w:rPr>
        <w:t>Таким образом, с учетом положений действующего законодательства и указанных источников электроснабжения, а также схемы электрической сет</w:t>
      </w:r>
      <w:proofErr w:type="gramStart"/>
      <w:r w:rsidRPr="00D26BA2">
        <w:rPr>
          <w:rFonts w:eastAsia="Calibri"/>
          <w:sz w:val="24"/>
          <w:szCs w:val="24"/>
          <w:lang w:eastAsia="en-US"/>
        </w:rPr>
        <w:t>и ООО</w:t>
      </w:r>
      <w:proofErr w:type="gramEnd"/>
      <w:r w:rsidRPr="00D26BA2">
        <w:rPr>
          <w:rFonts w:eastAsia="Calibri"/>
          <w:sz w:val="24"/>
          <w:szCs w:val="24"/>
          <w:lang w:eastAsia="en-US"/>
        </w:rPr>
        <w:t xml:space="preserve"> «Энергосеть» все резиденты ИП «Родники» должны оплачивать услуги по передаче электроэнергии по региональным сетям по установленным Департаментом единым (котловым) тарифам.</w:t>
      </w:r>
    </w:p>
    <w:p w:rsidR="000B793E" w:rsidRPr="00D26BA2" w:rsidRDefault="00BB13D9" w:rsidP="005657C9">
      <w:pPr>
        <w:widowControl/>
        <w:ind w:firstLine="567"/>
        <w:contextualSpacing/>
        <w:jc w:val="both"/>
        <w:rPr>
          <w:rFonts w:eastAsia="Calibri"/>
          <w:sz w:val="24"/>
          <w:szCs w:val="24"/>
          <w:lang w:eastAsia="en-US"/>
        </w:rPr>
      </w:pPr>
      <w:r w:rsidRPr="00D26BA2">
        <w:rPr>
          <w:rFonts w:eastAsia="Calibri"/>
          <w:sz w:val="24"/>
          <w:szCs w:val="24"/>
          <w:lang w:eastAsia="en-US"/>
        </w:rPr>
        <w:t>С использованием данных из открытых источников с сайта https://zakupki.gov.ru/ Департаментом также выявлено наличие заключенных муниципальных контрактов на энергоснабжение между бюджетными потребителями в г. Родники, фактически присоединенными к объектам электросетевого хозяйств</w:t>
      </w:r>
      <w:proofErr w:type="gramStart"/>
      <w:r w:rsidRPr="00D26BA2">
        <w:rPr>
          <w:rFonts w:eastAsia="Calibri"/>
          <w:sz w:val="24"/>
          <w:szCs w:val="24"/>
          <w:lang w:eastAsia="en-US"/>
        </w:rPr>
        <w:t>а ООО</w:t>
      </w:r>
      <w:proofErr w:type="gramEnd"/>
      <w:r w:rsidRPr="00D26BA2">
        <w:rPr>
          <w:rFonts w:eastAsia="Calibri"/>
          <w:sz w:val="24"/>
          <w:szCs w:val="24"/>
          <w:lang w:eastAsia="en-US"/>
        </w:rPr>
        <w:t xml:space="preserve"> «Энергосеть», и сбытовой организацией ООО «Родники Энерго». При этом услуги по передаче электрической энергии (мощности) в отношении данных потребителей в адрес филиала «Ивэнерго» («держателя котла») по факту не оплачиваются, соответствующие договорные отношения у филиала «Ивэнерго» с ООО «Родники Энерго» не </w:t>
      </w:r>
      <w:r w:rsidR="00B8457A" w:rsidRPr="00D26BA2">
        <w:rPr>
          <w:rFonts w:eastAsia="Calibri"/>
          <w:sz w:val="24"/>
          <w:szCs w:val="24"/>
          <w:lang w:eastAsia="en-US"/>
        </w:rPr>
        <w:t>урегулированы, претензионная работа не проводилась</w:t>
      </w:r>
      <w:r w:rsidRPr="00D26BA2">
        <w:rPr>
          <w:rFonts w:eastAsia="Calibri"/>
          <w:sz w:val="24"/>
          <w:szCs w:val="24"/>
          <w:lang w:eastAsia="en-US"/>
        </w:rPr>
        <w:t>.</w:t>
      </w:r>
    </w:p>
    <w:p w:rsidR="00D81CFF" w:rsidRPr="00D26BA2" w:rsidRDefault="00D81CFF" w:rsidP="00D81CFF">
      <w:pPr>
        <w:widowControl/>
        <w:ind w:firstLine="567"/>
        <w:contextualSpacing/>
        <w:jc w:val="both"/>
        <w:rPr>
          <w:rFonts w:eastAsia="Calibri"/>
          <w:sz w:val="24"/>
          <w:szCs w:val="24"/>
          <w:lang w:eastAsia="en-US"/>
        </w:rPr>
      </w:pPr>
      <w:proofErr w:type="gramStart"/>
      <w:r w:rsidRPr="00D26BA2">
        <w:rPr>
          <w:rFonts w:eastAsia="Calibri"/>
          <w:sz w:val="24"/>
          <w:szCs w:val="24"/>
          <w:lang w:eastAsia="en-US"/>
        </w:rPr>
        <w:t xml:space="preserve">В Департаменте, в составе материалов тарифных дел, имеются </w:t>
      </w:r>
      <w:r w:rsidR="00B8457A" w:rsidRPr="00D26BA2">
        <w:rPr>
          <w:rFonts w:eastAsia="Calibri"/>
          <w:sz w:val="24"/>
          <w:szCs w:val="24"/>
          <w:lang w:eastAsia="en-US"/>
        </w:rPr>
        <w:t xml:space="preserve">также </w:t>
      </w:r>
      <w:r w:rsidRPr="00D26BA2">
        <w:rPr>
          <w:rFonts w:eastAsia="Calibri"/>
          <w:sz w:val="24"/>
          <w:szCs w:val="24"/>
          <w:lang w:eastAsia="en-US"/>
        </w:rPr>
        <w:t>предоставленные регулируемой организацией в сфере теплоснабжения, водоснабжения и водоотведения - ООО «УК ИП «Родники» (ИНН 3703021585) договор энергоснабжения № 35-РЭ от 01.07.2018, заключенный с независимой энергосбытовой организацией ООО «Родники Энерго», а также счета-фактуры и акты выполненных работ (оказанных услуг) в части оплаты за потребленную электроэнергию за 2021 год.</w:t>
      </w:r>
      <w:proofErr w:type="gramEnd"/>
      <w:r w:rsidRPr="00D26BA2">
        <w:rPr>
          <w:rFonts w:eastAsia="Calibri"/>
          <w:sz w:val="24"/>
          <w:szCs w:val="24"/>
          <w:lang w:eastAsia="en-US"/>
        </w:rPr>
        <w:t xml:space="preserve"> Данный договор заключен в отношении энергопринимающих устройств ООО «УК ИП «Родники», фактически присоединенных к объектам электросетевого хозяйств</w:t>
      </w:r>
      <w:proofErr w:type="gramStart"/>
      <w:r w:rsidRPr="00D26BA2">
        <w:rPr>
          <w:rFonts w:eastAsia="Calibri"/>
          <w:sz w:val="24"/>
          <w:szCs w:val="24"/>
          <w:lang w:eastAsia="en-US"/>
        </w:rPr>
        <w:t>а ООО</w:t>
      </w:r>
      <w:proofErr w:type="gramEnd"/>
      <w:r w:rsidRPr="00D26BA2">
        <w:rPr>
          <w:rFonts w:eastAsia="Calibri"/>
          <w:sz w:val="24"/>
          <w:szCs w:val="24"/>
          <w:lang w:eastAsia="en-US"/>
        </w:rPr>
        <w:t xml:space="preserve"> «Энергосеть», расположенным на территории индустриального парка.</w:t>
      </w:r>
    </w:p>
    <w:p w:rsidR="000B793E" w:rsidRPr="00D26BA2" w:rsidRDefault="00D81CFF" w:rsidP="005657C9">
      <w:pPr>
        <w:widowControl/>
        <w:ind w:firstLine="567"/>
        <w:contextualSpacing/>
        <w:jc w:val="both"/>
        <w:rPr>
          <w:rFonts w:eastAsia="Calibri"/>
          <w:sz w:val="24"/>
          <w:szCs w:val="24"/>
          <w:lang w:eastAsia="en-US"/>
        </w:rPr>
      </w:pPr>
      <w:r w:rsidRPr="00D26BA2">
        <w:rPr>
          <w:rFonts w:eastAsia="Calibri"/>
          <w:sz w:val="24"/>
          <w:szCs w:val="24"/>
          <w:lang w:eastAsia="en-US"/>
        </w:rPr>
        <w:t xml:space="preserve">Согласно подписанным с обеих сторон договора актам и счетам-фактурам за 2021 год только потребитель ООО «УК ИП «Родники» потребил из сетей ООО «Энергосеть» 18 750,657 тыс. кВтч. При этом в соответствии с предоставляемой ООО «Энергосеть» в адрес ФАС России отчетностью по формам № 46-ЭЭ (передача) за 2021 год и согласованным актам с филиалом «Ивэнерго» полезный отпуск электроэнергии всем конечным потребителям из сетей ООО «Энергосеть» составил </w:t>
      </w:r>
      <w:r w:rsidR="00B8457A" w:rsidRPr="00D26BA2">
        <w:rPr>
          <w:rFonts w:eastAsia="Calibri"/>
          <w:sz w:val="24"/>
          <w:szCs w:val="24"/>
          <w:lang w:eastAsia="en-US"/>
        </w:rPr>
        <w:t xml:space="preserve">за 2021 год </w:t>
      </w:r>
      <w:r w:rsidRPr="00D26BA2">
        <w:rPr>
          <w:rFonts w:eastAsia="Calibri"/>
          <w:sz w:val="24"/>
          <w:szCs w:val="24"/>
          <w:lang w:eastAsia="en-US"/>
        </w:rPr>
        <w:t>лишь 554,838 тыс. кВтч.</w:t>
      </w:r>
    </w:p>
    <w:p w:rsidR="0015450E" w:rsidRPr="00D26BA2" w:rsidRDefault="00AB5325" w:rsidP="00AB5325">
      <w:pPr>
        <w:widowControl/>
        <w:ind w:firstLine="567"/>
        <w:contextualSpacing/>
        <w:jc w:val="both"/>
        <w:rPr>
          <w:rFonts w:eastAsia="Calibri"/>
          <w:sz w:val="24"/>
          <w:szCs w:val="24"/>
          <w:lang w:eastAsia="en-US"/>
        </w:rPr>
      </w:pPr>
      <w:proofErr w:type="gramStart"/>
      <w:r w:rsidRPr="00D26BA2">
        <w:rPr>
          <w:rFonts w:eastAsia="Calibri"/>
          <w:sz w:val="24"/>
          <w:szCs w:val="24"/>
          <w:lang w:eastAsia="en-US"/>
        </w:rPr>
        <w:t>В соответствии с выводами Ивановского областного суда в решении по делу №</w:t>
      </w:r>
      <w:r w:rsidR="00E22906" w:rsidRPr="00D26BA2">
        <w:rPr>
          <w:rFonts w:eastAsia="Calibri"/>
          <w:sz w:val="24"/>
          <w:szCs w:val="24"/>
          <w:lang w:eastAsia="en-US"/>
        </w:rPr>
        <w:t xml:space="preserve"> 3а-</w:t>
      </w:r>
      <w:r w:rsidRPr="00D26BA2">
        <w:rPr>
          <w:rFonts w:eastAsia="Calibri"/>
          <w:sz w:val="24"/>
          <w:szCs w:val="24"/>
          <w:lang w:eastAsia="en-US"/>
        </w:rPr>
        <w:t>168/2022 от 16.08.2022 филиал «Ивэнерго» своим п</w:t>
      </w:r>
      <w:r w:rsidR="00E22906" w:rsidRPr="00D26BA2">
        <w:rPr>
          <w:rFonts w:eastAsia="Calibri"/>
          <w:sz w:val="24"/>
          <w:szCs w:val="24"/>
          <w:lang w:eastAsia="en-US"/>
        </w:rPr>
        <w:t>равом отказаться от права быть «</w:t>
      </w:r>
      <w:r w:rsidRPr="00D26BA2">
        <w:rPr>
          <w:rFonts w:eastAsia="Calibri"/>
          <w:sz w:val="24"/>
          <w:szCs w:val="24"/>
          <w:lang w:eastAsia="en-US"/>
        </w:rPr>
        <w:t>держателем котла</w:t>
      </w:r>
      <w:r w:rsidR="00E22906" w:rsidRPr="00D26BA2">
        <w:rPr>
          <w:rFonts w:eastAsia="Calibri"/>
          <w:sz w:val="24"/>
          <w:szCs w:val="24"/>
          <w:lang w:eastAsia="en-US"/>
        </w:rPr>
        <w:t>»</w:t>
      </w:r>
      <w:r w:rsidR="00B8457A" w:rsidRPr="00D26BA2">
        <w:rPr>
          <w:rFonts w:eastAsia="Calibri"/>
          <w:sz w:val="24"/>
          <w:szCs w:val="24"/>
          <w:lang w:eastAsia="en-US"/>
        </w:rPr>
        <w:t xml:space="preserve"> (в отношении потребителей, присоединенных к электрическим сетям ООО «Энергосеть»)</w:t>
      </w:r>
      <w:r w:rsidRPr="00D26BA2">
        <w:rPr>
          <w:rFonts w:eastAsia="Calibri"/>
          <w:sz w:val="24"/>
          <w:szCs w:val="24"/>
          <w:lang w:eastAsia="en-US"/>
        </w:rPr>
        <w:t>, которо</w:t>
      </w:r>
      <w:r w:rsidR="00E22906" w:rsidRPr="00D26BA2">
        <w:rPr>
          <w:rFonts w:eastAsia="Calibri"/>
          <w:sz w:val="24"/>
          <w:szCs w:val="24"/>
          <w:lang w:eastAsia="en-US"/>
        </w:rPr>
        <w:t xml:space="preserve">е </w:t>
      </w:r>
      <w:r w:rsidRPr="00D26BA2">
        <w:rPr>
          <w:rFonts w:eastAsia="Calibri"/>
          <w:sz w:val="24"/>
          <w:szCs w:val="24"/>
          <w:lang w:eastAsia="en-US"/>
        </w:rPr>
        <w:t>могло быть реали</w:t>
      </w:r>
      <w:r w:rsidR="00E22906" w:rsidRPr="00D26BA2">
        <w:rPr>
          <w:rFonts w:eastAsia="Calibri"/>
          <w:sz w:val="24"/>
          <w:szCs w:val="24"/>
          <w:lang w:eastAsia="en-US"/>
        </w:rPr>
        <w:t>зовано только в порядке расторже</w:t>
      </w:r>
      <w:r w:rsidRPr="00D26BA2">
        <w:rPr>
          <w:rFonts w:eastAsia="Calibri"/>
          <w:sz w:val="24"/>
          <w:szCs w:val="24"/>
          <w:lang w:eastAsia="en-US"/>
        </w:rPr>
        <w:t>ния (либо изменения условий) договора,</w:t>
      </w:r>
      <w:r w:rsidR="00E22906" w:rsidRPr="00D26BA2">
        <w:rPr>
          <w:rFonts w:eastAsia="Calibri"/>
          <w:sz w:val="24"/>
          <w:szCs w:val="24"/>
          <w:lang w:eastAsia="en-US"/>
        </w:rPr>
        <w:t xml:space="preserve"> </w:t>
      </w:r>
      <w:r w:rsidRPr="00D26BA2">
        <w:rPr>
          <w:rFonts w:eastAsia="Calibri"/>
          <w:sz w:val="24"/>
          <w:szCs w:val="24"/>
          <w:lang w:eastAsia="en-US"/>
        </w:rPr>
        <w:t>в установленном законом и договором порядке до принятия тарифного решения не</w:t>
      </w:r>
      <w:r w:rsidR="00E22906" w:rsidRPr="00D26BA2">
        <w:rPr>
          <w:rFonts w:eastAsia="Calibri"/>
          <w:sz w:val="24"/>
          <w:szCs w:val="24"/>
          <w:lang w:eastAsia="en-US"/>
        </w:rPr>
        <w:t xml:space="preserve"> </w:t>
      </w:r>
      <w:r w:rsidRPr="00D26BA2">
        <w:rPr>
          <w:rFonts w:eastAsia="Calibri"/>
          <w:sz w:val="24"/>
          <w:szCs w:val="24"/>
          <w:lang w:eastAsia="en-US"/>
        </w:rPr>
        <w:t>воспользовался.</w:t>
      </w:r>
      <w:proofErr w:type="gramEnd"/>
      <w:r w:rsidR="00E22906" w:rsidRPr="00D26BA2">
        <w:rPr>
          <w:rFonts w:eastAsia="Calibri"/>
          <w:sz w:val="24"/>
          <w:szCs w:val="24"/>
          <w:lang w:eastAsia="en-US"/>
        </w:rPr>
        <w:t xml:space="preserve"> Таким образом, Департамент отмечает, что по зависящим от организации причинам в предыдущие периоды регулирования, в том числе на 2021 год, филиалом «Ивэнерго»</w:t>
      </w:r>
      <w:r w:rsidR="00B8457A" w:rsidRPr="00D26BA2">
        <w:rPr>
          <w:rFonts w:eastAsia="Calibri"/>
          <w:sz w:val="24"/>
          <w:szCs w:val="24"/>
          <w:lang w:eastAsia="en-US"/>
        </w:rPr>
        <w:t>, в том числе,</w:t>
      </w:r>
      <w:r w:rsidR="00E22906" w:rsidRPr="00D26BA2">
        <w:rPr>
          <w:rFonts w:eastAsia="Calibri"/>
          <w:sz w:val="24"/>
          <w:szCs w:val="24"/>
          <w:lang w:eastAsia="en-US"/>
        </w:rPr>
        <w:t xml:space="preserve"> был заключен соответствующий договор с ООО «Энергосеть» на заведомо невыгодных для филиала «Ивэнерго» условиях.</w:t>
      </w:r>
    </w:p>
    <w:p w:rsidR="00E22906" w:rsidRPr="00D26BA2" w:rsidRDefault="00E22906" w:rsidP="00AB5325">
      <w:pPr>
        <w:widowControl/>
        <w:ind w:firstLine="567"/>
        <w:contextualSpacing/>
        <w:jc w:val="both"/>
        <w:rPr>
          <w:rFonts w:eastAsia="Calibri"/>
          <w:sz w:val="24"/>
          <w:szCs w:val="24"/>
          <w:lang w:eastAsia="en-US"/>
        </w:rPr>
      </w:pPr>
      <w:proofErr w:type="gramStart"/>
      <w:r w:rsidRPr="00D26BA2">
        <w:rPr>
          <w:rFonts w:eastAsia="Calibri"/>
          <w:sz w:val="24"/>
          <w:szCs w:val="24"/>
          <w:lang w:eastAsia="en-US"/>
        </w:rPr>
        <w:t xml:space="preserve">Вышеуказанные факты свидетельствуют о бездействии филиала «Ивэнерго» и данные выпадающие доходы расценены Департаментом как выпадающие доходы по зависящим от регулируемой организации причинам, которые в соответствии с действующим законодательством, в том числе п. 7 Основ ценообразования и Методическими указаниями № 98-э, являются экономически необоснованными и не могут быть учтены при установлении НВВ (в рамках </w:t>
      </w:r>
      <w:r w:rsidRPr="00D26BA2">
        <w:rPr>
          <w:rFonts w:eastAsia="Calibri"/>
          <w:sz w:val="24"/>
          <w:szCs w:val="24"/>
          <w:lang w:eastAsia="en-US"/>
        </w:rPr>
        <w:lastRenderedPageBreak/>
        <w:t>соблюдения баланса интересов Департамент отмечает, что конечные потребители</w:t>
      </w:r>
      <w:proofErr w:type="gramEnd"/>
      <w:r w:rsidRPr="00D26BA2">
        <w:rPr>
          <w:rFonts w:eastAsia="Calibri"/>
          <w:sz w:val="24"/>
          <w:szCs w:val="24"/>
          <w:lang w:eastAsia="en-US"/>
        </w:rPr>
        <w:t xml:space="preserve"> не должны оплачивать убытки организации, возникшие по зависящим от нее причинам).</w:t>
      </w:r>
    </w:p>
    <w:p w:rsidR="0015450E" w:rsidRDefault="00591D17" w:rsidP="005657C9">
      <w:pPr>
        <w:widowControl/>
        <w:ind w:firstLine="567"/>
        <w:contextualSpacing/>
        <w:jc w:val="both"/>
        <w:rPr>
          <w:rFonts w:eastAsia="Calibri"/>
          <w:sz w:val="24"/>
          <w:szCs w:val="24"/>
          <w:lang w:eastAsia="en-US"/>
        </w:rPr>
      </w:pPr>
      <w:proofErr w:type="gramStart"/>
      <w:r w:rsidRPr="00591D17">
        <w:rPr>
          <w:rFonts w:eastAsia="Calibri"/>
          <w:sz w:val="24"/>
          <w:szCs w:val="24"/>
          <w:lang w:eastAsia="en-US"/>
        </w:rPr>
        <w:t>Департамент также отмечает, что в соответствии с положениями абз. 11 п. 7 Основ ценообразования вышеуказанные отрицательные корректировки НВВ предлагается отнести на следующие периоды регулирования (с распределением не более чем на 5 лет) и окончательно оценивать по итогам проведенной филиалом «Ивэнерго» соответствующей претензионной работы по взысканию стоимости фактически оказанных услуг по передаче электрической энергии (мощности).</w:t>
      </w:r>
      <w:proofErr w:type="gramEnd"/>
    </w:p>
    <w:p w:rsidR="00447FE6" w:rsidRPr="00591D17" w:rsidRDefault="00447FE6" w:rsidP="005657C9">
      <w:pPr>
        <w:widowControl/>
        <w:ind w:firstLine="567"/>
        <w:contextualSpacing/>
        <w:jc w:val="both"/>
        <w:rPr>
          <w:rFonts w:eastAsia="Calibri"/>
          <w:sz w:val="24"/>
          <w:szCs w:val="24"/>
          <w:lang w:eastAsia="en-US"/>
        </w:rPr>
      </w:pPr>
    </w:p>
    <w:p w:rsidR="005657C9" w:rsidRPr="009634F9" w:rsidRDefault="000B292B" w:rsidP="005657C9">
      <w:pPr>
        <w:widowControl/>
        <w:numPr>
          <w:ilvl w:val="0"/>
          <w:numId w:val="35"/>
        </w:numPr>
        <w:tabs>
          <w:tab w:val="left" w:pos="993"/>
        </w:tabs>
        <w:suppressAutoHyphens/>
        <w:spacing w:after="200"/>
        <w:ind w:left="0" w:firstLine="567"/>
        <w:contextualSpacing/>
        <w:jc w:val="both"/>
        <w:rPr>
          <w:rFonts w:eastAsia="Calibri"/>
          <w:i/>
          <w:sz w:val="24"/>
          <w:szCs w:val="24"/>
          <w:lang w:eastAsia="en-US"/>
        </w:rPr>
      </w:pPr>
      <w:r w:rsidRPr="009634F9">
        <w:rPr>
          <w:rFonts w:eastAsia="Calibri"/>
          <w:i/>
          <w:sz w:val="24"/>
          <w:szCs w:val="24"/>
          <w:lang w:eastAsia="en-US"/>
        </w:rPr>
        <w:t xml:space="preserve"> Количество условных единиц.</w:t>
      </w:r>
    </w:p>
    <w:p w:rsidR="005657C9" w:rsidRPr="009634F9" w:rsidRDefault="005657C9" w:rsidP="005657C9">
      <w:pPr>
        <w:widowControl/>
        <w:numPr>
          <w:ilvl w:val="0"/>
          <w:numId w:val="38"/>
        </w:numPr>
        <w:spacing w:after="200"/>
        <w:ind w:left="0" w:firstLine="567"/>
        <w:contextualSpacing/>
        <w:jc w:val="both"/>
        <w:rPr>
          <w:rFonts w:eastAsia="Calibri"/>
          <w:sz w:val="24"/>
          <w:szCs w:val="24"/>
          <w:lang w:eastAsia="en-US"/>
        </w:rPr>
      </w:pPr>
      <w:r w:rsidRPr="009634F9">
        <w:rPr>
          <w:rFonts w:eastAsia="Calibri"/>
          <w:sz w:val="24"/>
          <w:szCs w:val="24"/>
          <w:lang w:eastAsia="en-US"/>
        </w:rPr>
        <w:t>В соответствии с положениями Методических указаний № 20-э/2 в примечании к Таблице П</w:t>
      </w:r>
      <w:proofErr w:type="gramStart"/>
      <w:r w:rsidRPr="009634F9">
        <w:rPr>
          <w:rFonts w:eastAsia="Calibri"/>
          <w:sz w:val="24"/>
          <w:szCs w:val="24"/>
          <w:lang w:eastAsia="en-US"/>
        </w:rPr>
        <w:t>2</w:t>
      </w:r>
      <w:proofErr w:type="gramEnd"/>
      <w:r w:rsidRPr="009634F9">
        <w:rPr>
          <w:rFonts w:eastAsia="Calibri"/>
          <w:sz w:val="24"/>
          <w:szCs w:val="24"/>
          <w:lang w:eastAsia="en-US"/>
        </w:rPr>
        <w:t>.2 «Объем подстанций 35 – 1150 кВ, трансформаторных подстанций (ТП), комплексных трансформаторных подстанций (КТП) и распределительных пунктов (РП) 0,4 - 20кВ в условных единицах» дословно указанно следующее:</w:t>
      </w:r>
    </w:p>
    <w:p w:rsidR="005657C9" w:rsidRPr="009634F9" w:rsidRDefault="005657C9" w:rsidP="005657C9">
      <w:pPr>
        <w:widowControl/>
        <w:ind w:firstLine="567"/>
        <w:jc w:val="both"/>
        <w:rPr>
          <w:rFonts w:eastAsia="Calibri"/>
          <w:sz w:val="24"/>
          <w:szCs w:val="24"/>
          <w:lang w:eastAsia="en-US"/>
        </w:rPr>
      </w:pPr>
      <w:r w:rsidRPr="009634F9">
        <w:rPr>
          <w:rFonts w:eastAsia="Calibri"/>
          <w:sz w:val="24"/>
          <w:szCs w:val="24"/>
          <w:lang w:eastAsia="en-US"/>
        </w:rPr>
        <w:t>«Значение условных единиц п.п. 4 и 6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5657C9" w:rsidRPr="008B7CF2" w:rsidRDefault="005657C9" w:rsidP="005657C9">
      <w:pPr>
        <w:widowControl/>
        <w:ind w:firstLine="567"/>
        <w:jc w:val="both"/>
        <w:rPr>
          <w:rFonts w:eastAsia="Calibri"/>
          <w:sz w:val="24"/>
          <w:szCs w:val="24"/>
          <w:lang w:eastAsia="en-US"/>
        </w:rPr>
      </w:pPr>
      <w:r w:rsidRPr="008B7CF2">
        <w:rPr>
          <w:rFonts w:eastAsia="Calibri"/>
          <w:sz w:val="24"/>
          <w:szCs w:val="24"/>
          <w:lang w:eastAsia="en-US"/>
        </w:rPr>
        <w:t>Письмами ФАС России № ВК/92979/17 от 28.12.2017</w:t>
      </w:r>
      <w:r w:rsidR="009634F9" w:rsidRPr="008B7CF2">
        <w:rPr>
          <w:rFonts w:eastAsia="Calibri"/>
          <w:sz w:val="24"/>
          <w:szCs w:val="24"/>
          <w:lang w:eastAsia="en-US"/>
        </w:rPr>
        <w:t>г.</w:t>
      </w:r>
      <w:r w:rsidRPr="008B7CF2">
        <w:rPr>
          <w:rFonts w:eastAsia="Calibri"/>
          <w:sz w:val="24"/>
          <w:szCs w:val="24"/>
          <w:lang w:eastAsia="en-US"/>
        </w:rPr>
        <w:t xml:space="preserve"> и № ВК/20800/17 от 30.03.2017г. (прилагаются к особому мнению) даны разъяснения, что учет в п. 6 «Выключатели нагрузки 1-20 кВ» Таблицы П</w:t>
      </w:r>
      <w:proofErr w:type="gramStart"/>
      <w:r w:rsidRPr="008B7CF2">
        <w:rPr>
          <w:rFonts w:eastAsia="Calibri"/>
          <w:sz w:val="24"/>
          <w:szCs w:val="24"/>
          <w:lang w:eastAsia="en-US"/>
        </w:rPr>
        <w:t>2</w:t>
      </w:r>
      <w:proofErr w:type="gramEnd"/>
      <w:r w:rsidRPr="008B7CF2">
        <w:rPr>
          <w:rFonts w:eastAsia="Calibri"/>
          <w:sz w:val="24"/>
          <w:szCs w:val="24"/>
          <w:lang w:eastAsia="en-US"/>
        </w:rPr>
        <w:t>.2 разъединителей 1-20 кВ, установленных на воздушных линиях для целей секционирования</w:t>
      </w:r>
      <w:r w:rsidR="009634F9" w:rsidRPr="008B7CF2">
        <w:rPr>
          <w:rFonts w:eastAsia="Calibri"/>
          <w:sz w:val="24"/>
          <w:szCs w:val="24"/>
          <w:lang w:eastAsia="en-US"/>
        </w:rPr>
        <w:t>,</w:t>
      </w:r>
      <w:r w:rsidRPr="008B7CF2">
        <w:rPr>
          <w:rFonts w:eastAsia="Calibri"/>
          <w:sz w:val="24"/>
          <w:szCs w:val="24"/>
          <w:lang w:eastAsia="en-US"/>
        </w:rPr>
        <w:t xml:space="preserve"> соответствует Методическим указаниям № 98-э.</w:t>
      </w:r>
    </w:p>
    <w:p w:rsidR="005657C9" w:rsidRPr="008B7CF2" w:rsidRDefault="005657C9" w:rsidP="005657C9">
      <w:pPr>
        <w:widowControl/>
        <w:numPr>
          <w:ilvl w:val="0"/>
          <w:numId w:val="38"/>
        </w:numPr>
        <w:spacing w:after="200"/>
        <w:ind w:left="0" w:firstLine="567"/>
        <w:contextualSpacing/>
        <w:jc w:val="both"/>
        <w:rPr>
          <w:rFonts w:eastAsia="Calibri"/>
          <w:sz w:val="24"/>
          <w:szCs w:val="24"/>
          <w:lang w:eastAsia="en-US"/>
        </w:rPr>
      </w:pPr>
      <w:r w:rsidRPr="008B7CF2">
        <w:rPr>
          <w:rFonts w:eastAsia="Calibri"/>
          <w:sz w:val="24"/>
          <w:szCs w:val="24"/>
          <w:lang w:eastAsia="en-US"/>
        </w:rPr>
        <w:t>Количество однотрансформаторных ТП, КТП, находящихся в собственности филиала «Ивэнерго», утвержденное на 2022г. и принятое на 2023г. Департаментом в объеме 3 547 шт. является некорректным. Факт на 01.01.2022г. по данным автоматизированной системы управления производственными активами составляет 3785</w:t>
      </w:r>
      <w:r w:rsidR="008B7CF2" w:rsidRPr="008B7CF2">
        <w:rPr>
          <w:rFonts w:eastAsia="Calibri"/>
          <w:sz w:val="24"/>
          <w:szCs w:val="24"/>
          <w:lang w:eastAsia="en-US"/>
        </w:rPr>
        <w:t xml:space="preserve"> </w:t>
      </w:r>
      <w:r w:rsidRPr="008B7CF2">
        <w:rPr>
          <w:rFonts w:eastAsia="Calibri"/>
          <w:sz w:val="24"/>
          <w:szCs w:val="24"/>
          <w:lang w:eastAsia="en-US"/>
        </w:rPr>
        <w:t>шт. (выгрузка прилагается), и подтверждается данными бухгалтерского учёта. Плановое значение на 01.01.2023г. принято с учётом ввода объектов в рамках технологического присоединения за 2022-2023гг. и составляет 3 801 шт.</w:t>
      </w:r>
    </w:p>
    <w:p w:rsidR="005657C9" w:rsidRPr="008B7CF2" w:rsidRDefault="005657C9" w:rsidP="005657C9">
      <w:pPr>
        <w:widowControl/>
        <w:numPr>
          <w:ilvl w:val="0"/>
          <w:numId w:val="38"/>
        </w:numPr>
        <w:spacing w:after="200"/>
        <w:ind w:left="0" w:firstLine="567"/>
        <w:contextualSpacing/>
        <w:jc w:val="both"/>
        <w:rPr>
          <w:rFonts w:eastAsia="Calibri"/>
          <w:sz w:val="24"/>
          <w:szCs w:val="24"/>
          <w:lang w:eastAsia="en-US"/>
        </w:rPr>
      </w:pPr>
      <w:r w:rsidRPr="008B7CF2">
        <w:rPr>
          <w:rFonts w:eastAsia="Calibri"/>
          <w:sz w:val="24"/>
          <w:szCs w:val="24"/>
          <w:lang w:eastAsia="en-US"/>
        </w:rPr>
        <w:t>Представленный Департаментом расчет условных единиц на 2023 год не учитывает введенные объекты за истекший период 2022 года и планируемые к вводу до конца 2022 года и в 2023 году в соответствии с утвержденной инвестиционной программой. Подробная детализация по видам объектов представлена в пояснительной записке по расчету условных единиц в составе предложений филиала «Ивэнерго» по размеру тарифов на 2023 год и подтверждается:</w:t>
      </w:r>
    </w:p>
    <w:p w:rsidR="005657C9" w:rsidRPr="008B7CF2" w:rsidRDefault="005657C9" w:rsidP="005657C9">
      <w:pPr>
        <w:widowControl/>
        <w:ind w:firstLine="567"/>
        <w:contextualSpacing/>
        <w:jc w:val="both"/>
        <w:rPr>
          <w:rFonts w:eastAsia="Calibri"/>
          <w:sz w:val="24"/>
          <w:szCs w:val="24"/>
          <w:lang w:eastAsia="en-US"/>
        </w:rPr>
      </w:pPr>
      <w:r w:rsidRPr="008B7CF2">
        <w:rPr>
          <w:rFonts w:eastAsia="Calibri"/>
          <w:sz w:val="24"/>
          <w:szCs w:val="24"/>
          <w:lang w:eastAsia="en-US"/>
        </w:rPr>
        <w:t xml:space="preserve">- утвержденной инвестиционной программой ПАО «Россети Центр и Приволжье» на 2023-2027 гг., размещенной на официальном сайте Минэнерго России: </w:t>
      </w:r>
      <w:hyperlink r:id="rId17" w:history="1">
        <w:r w:rsidRPr="008B7CF2">
          <w:rPr>
            <w:rFonts w:eastAsia="Calibri"/>
            <w:sz w:val="24"/>
            <w:szCs w:val="24"/>
            <w:u w:val="single"/>
            <w:lang w:eastAsia="en-US"/>
          </w:rPr>
          <w:t>https://minenergo.gov.ru/node/4178</w:t>
        </w:r>
      </w:hyperlink>
      <w:r w:rsidRPr="008B7CF2">
        <w:rPr>
          <w:rFonts w:eastAsia="Calibri"/>
          <w:sz w:val="24"/>
          <w:szCs w:val="24"/>
          <w:lang w:eastAsia="en-US"/>
        </w:rPr>
        <w:t>,</w:t>
      </w:r>
    </w:p>
    <w:p w:rsidR="005657C9" w:rsidRPr="008B7CF2" w:rsidRDefault="005657C9" w:rsidP="005657C9">
      <w:pPr>
        <w:widowControl/>
        <w:ind w:firstLine="567"/>
        <w:contextualSpacing/>
        <w:jc w:val="both"/>
        <w:rPr>
          <w:rFonts w:eastAsia="Calibri"/>
          <w:sz w:val="24"/>
          <w:szCs w:val="24"/>
          <w:lang w:eastAsia="en-US"/>
        </w:rPr>
      </w:pPr>
      <w:r w:rsidRPr="008B7CF2">
        <w:rPr>
          <w:rFonts w:eastAsia="Calibri"/>
          <w:sz w:val="24"/>
          <w:szCs w:val="24"/>
          <w:lang w:eastAsia="en-US"/>
        </w:rPr>
        <w:t>- отчетом по исполнению инвестиционной программы за 9 мес. 2022 года в формате приказа Минэнерго России от 25.04.2018 № 320, размещенном в открытом доступе, в том числе на официальном сайте ПАО «Россети Центр и Приволжье» -</w:t>
      </w:r>
    </w:p>
    <w:p w:rsidR="005657C9" w:rsidRPr="008B7CF2" w:rsidRDefault="0007292D" w:rsidP="005657C9">
      <w:pPr>
        <w:widowControl/>
        <w:ind w:firstLine="567"/>
        <w:jc w:val="both"/>
        <w:rPr>
          <w:rFonts w:eastAsia="Calibri"/>
          <w:sz w:val="24"/>
          <w:szCs w:val="24"/>
          <w:lang w:eastAsia="en-US"/>
        </w:rPr>
      </w:pPr>
      <w:hyperlink r:id="rId18" w:history="1">
        <w:r w:rsidR="005657C9" w:rsidRPr="008B7CF2">
          <w:rPr>
            <w:rFonts w:eastAsia="Calibri"/>
            <w:sz w:val="24"/>
            <w:szCs w:val="24"/>
            <w:u w:val="single"/>
            <w:lang w:eastAsia="en-US"/>
          </w:rPr>
          <w:t>https://mrsk-cp.ru/production_activities/investing_activities/investiong_programme/otchety-po-investitsionnoy-deyatelnosti/</w:t>
        </w:r>
      </w:hyperlink>
      <w:r w:rsidR="005657C9" w:rsidRPr="008B7CF2">
        <w:rPr>
          <w:rFonts w:eastAsia="Calibri"/>
          <w:sz w:val="24"/>
          <w:szCs w:val="24"/>
          <w:lang w:eastAsia="en-US"/>
        </w:rPr>
        <w:t>,</w:t>
      </w:r>
    </w:p>
    <w:p w:rsidR="005657C9" w:rsidRPr="008B7CF2" w:rsidRDefault="005657C9" w:rsidP="005657C9">
      <w:pPr>
        <w:widowControl/>
        <w:ind w:firstLine="567"/>
        <w:jc w:val="both"/>
        <w:rPr>
          <w:rFonts w:eastAsia="Calibri"/>
          <w:sz w:val="24"/>
          <w:szCs w:val="24"/>
          <w:lang w:eastAsia="en-US"/>
        </w:rPr>
      </w:pPr>
      <w:r w:rsidRPr="008B7CF2">
        <w:rPr>
          <w:rFonts w:eastAsia="Calibri"/>
          <w:sz w:val="24"/>
          <w:szCs w:val="24"/>
          <w:lang w:eastAsia="en-US"/>
        </w:rPr>
        <w:t>- отчетом по приказу ФАС России от 18.10.2021 № 1123/21,</w:t>
      </w:r>
    </w:p>
    <w:p w:rsidR="005657C9" w:rsidRPr="008B7CF2" w:rsidRDefault="005657C9" w:rsidP="005657C9">
      <w:pPr>
        <w:widowControl/>
        <w:ind w:firstLine="567"/>
        <w:jc w:val="both"/>
        <w:rPr>
          <w:rFonts w:eastAsia="Calibri"/>
          <w:sz w:val="24"/>
          <w:szCs w:val="24"/>
          <w:lang w:eastAsia="en-US"/>
        </w:rPr>
      </w:pPr>
      <w:r w:rsidRPr="008B7CF2">
        <w:rPr>
          <w:rFonts w:eastAsia="Calibri"/>
          <w:sz w:val="24"/>
          <w:szCs w:val="24"/>
          <w:lang w:eastAsia="en-US"/>
        </w:rPr>
        <w:t xml:space="preserve">- отчетом в формате шаблона ФГИС ЕИАС ФАС России </w:t>
      </w:r>
      <w:r w:rsidRPr="008B7CF2">
        <w:rPr>
          <w:rFonts w:eastAsia="Calibri"/>
          <w:sz w:val="24"/>
          <w:szCs w:val="24"/>
          <w:lang w:val="en-US" w:eastAsia="en-US"/>
        </w:rPr>
        <w:t>NET</w:t>
      </w:r>
      <w:r w:rsidRPr="008B7CF2">
        <w:rPr>
          <w:rFonts w:eastAsia="Calibri"/>
          <w:sz w:val="24"/>
          <w:szCs w:val="24"/>
          <w:lang w:eastAsia="en-US"/>
        </w:rPr>
        <w:t>.</w:t>
      </w:r>
      <w:r w:rsidRPr="008B7CF2">
        <w:rPr>
          <w:rFonts w:eastAsia="Calibri"/>
          <w:sz w:val="24"/>
          <w:szCs w:val="24"/>
          <w:lang w:val="en-US" w:eastAsia="en-US"/>
        </w:rPr>
        <w:t>INV</w:t>
      </w:r>
      <w:r w:rsidRPr="008B7CF2">
        <w:rPr>
          <w:rFonts w:eastAsia="Calibri"/>
          <w:sz w:val="24"/>
          <w:szCs w:val="24"/>
          <w:lang w:eastAsia="en-US"/>
        </w:rPr>
        <w:t xml:space="preserve"> «Мониторинг инвестиционных программ субъектов Российской Федер</w:t>
      </w:r>
      <w:r w:rsidR="008B7CF2">
        <w:rPr>
          <w:rFonts w:eastAsia="Calibri"/>
          <w:sz w:val="24"/>
          <w:szCs w:val="24"/>
          <w:lang w:eastAsia="en-US"/>
        </w:rPr>
        <w:t xml:space="preserve">ации по сетевым организациям». </w:t>
      </w:r>
    </w:p>
    <w:p w:rsidR="00DE1256" w:rsidRPr="008D0F15" w:rsidRDefault="0015450E" w:rsidP="005657C9">
      <w:pPr>
        <w:tabs>
          <w:tab w:val="left" w:pos="0"/>
        </w:tabs>
        <w:ind w:firstLine="567"/>
        <w:jc w:val="both"/>
        <w:rPr>
          <w:bCs/>
          <w:sz w:val="24"/>
          <w:szCs w:val="24"/>
        </w:rPr>
      </w:pPr>
      <w:r w:rsidRPr="008D0F15">
        <w:rPr>
          <w:bCs/>
          <w:sz w:val="24"/>
          <w:szCs w:val="24"/>
        </w:rPr>
        <w:t>Департамент по вышеперечисленным доводам отмечает следующее.</w:t>
      </w:r>
    </w:p>
    <w:p w:rsidR="00DE1256" w:rsidRDefault="001F2F0F" w:rsidP="005657C9">
      <w:pPr>
        <w:tabs>
          <w:tab w:val="left" w:pos="0"/>
        </w:tabs>
        <w:ind w:firstLine="567"/>
        <w:jc w:val="both"/>
        <w:rPr>
          <w:bCs/>
          <w:sz w:val="24"/>
          <w:szCs w:val="24"/>
        </w:rPr>
      </w:pPr>
      <w:r w:rsidRPr="008D0F15">
        <w:rPr>
          <w:bCs/>
          <w:sz w:val="24"/>
          <w:szCs w:val="24"/>
        </w:rPr>
        <w:t>Относительно дополнительного учета объема условных единиц разъединителей 1-20 кВ, установленных на воздушных линиях для целей секционирования, Департамент отмечает, что данное оборудование установлено не впервые в 2021 г. и не может быть расценено в качестве обоснованного прироста объема условных единиц, как за 2021 год, так и на 2023 год. В случае учета данного оборудования в расчете объема условных единиц необходим соответствующий перерасчет условных единиц оборудования за предыдущий долгосрочный период регулирования (2017-2021гг.)</w:t>
      </w:r>
      <w:r w:rsidR="008D0F15" w:rsidRPr="008D0F15">
        <w:rPr>
          <w:bCs/>
          <w:sz w:val="24"/>
          <w:szCs w:val="24"/>
        </w:rPr>
        <w:t xml:space="preserve"> -</w:t>
      </w:r>
      <w:r w:rsidRPr="008D0F15">
        <w:rPr>
          <w:bCs/>
          <w:sz w:val="24"/>
          <w:szCs w:val="24"/>
        </w:rPr>
        <w:t xml:space="preserve"> с перерасчетом ранее принятых корректировок по подконтрольным расходам, и на первый (базовый) год очередного долгосрочного период</w:t>
      </w:r>
      <w:r w:rsidR="008D0F15" w:rsidRPr="008D0F15">
        <w:rPr>
          <w:bCs/>
          <w:sz w:val="24"/>
          <w:szCs w:val="24"/>
        </w:rPr>
        <w:t>а регулирования (2022-2026гг.). Вышеуказанные расчеты в материалы тарифного дела филиалом «Ивэнерго» не предоставлены.</w:t>
      </w:r>
    </w:p>
    <w:p w:rsidR="0054671C" w:rsidRPr="0054671C" w:rsidRDefault="0054671C" w:rsidP="005657C9">
      <w:pPr>
        <w:tabs>
          <w:tab w:val="left" w:pos="0"/>
        </w:tabs>
        <w:ind w:firstLine="567"/>
        <w:jc w:val="both"/>
        <w:rPr>
          <w:bCs/>
          <w:sz w:val="24"/>
          <w:szCs w:val="24"/>
        </w:rPr>
      </w:pPr>
      <w:proofErr w:type="gramStart"/>
      <w:r w:rsidRPr="0054671C">
        <w:rPr>
          <w:bCs/>
          <w:sz w:val="24"/>
          <w:szCs w:val="24"/>
        </w:rPr>
        <w:lastRenderedPageBreak/>
        <w:t>Относительно</w:t>
      </w:r>
      <w:r w:rsidRPr="0054671C">
        <w:rPr>
          <w:sz w:val="24"/>
          <w:szCs w:val="24"/>
        </w:rPr>
        <w:t xml:space="preserve"> количества </w:t>
      </w:r>
      <w:r w:rsidRPr="0054671C">
        <w:rPr>
          <w:bCs/>
          <w:sz w:val="24"/>
          <w:szCs w:val="24"/>
        </w:rPr>
        <w:t>однотрансформаторных ТП, КТП, находящихся в собственности филиала «Ивэнерго»</w:t>
      </w:r>
      <w:r>
        <w:rPr>
          <w:bCs/>
          <w:sz w:val="24"/>
          <w:szCs w:val="24"/>
        </w:rPr>
        <w:t xml:space="preserve"> по предоставленному перечню по данным </w:t>
      </w:r>
      <w:r w:rsidRPr="0054671C">
        <w:rPr>
          <w:bCs/>
          <w:sz w:val="24"/>
          <w:szCs w:val="24"/>
        </w:rPr>
        <w:t>автоматизированной системы управления производственными активами</w:t>
      </w:r>
      <w:r>
        <w:rPr>
          <w:bCs/>
          <w:sz w:val="24"/>
          <w:szCs w:val="24"/>
        </w:rPr>
        <w:t xml:space="preserve">, Департамент отмечает, что в количестве </w:t>
      </w:r>
      <w:r w:rsidRPr="0054671C">
        <w:rPr>
          <w:bCs/>
          <w:sz w:val="24"/>
          <w:szCs w:val="24"/>
        </w:rPr>
        <w:t>однотрансформаторных ТП, КТП</w:t>
      </w:r>
      <w:r>
        <w:rPr>
          <w:bCs/>
          <w:sz w:val="24"/>
          <w:szCs w:val="24"/>
        </w:rPr>
        <w:t xml:space="preserve"> филиалом «Ивэнерго» учтены, в том числе, демонтированные и (или) находящиеся на складе ТП, КТП, которые фактически не участвуют в регулируемой деятельности по передаче электрической энергии (мощности).</w:t>
      </w:r>
      <w:proofErr w:type="gramEnd"/>
    </w:p>
    <w:p w:rsidR="00956EEA" w:rsidRPr="0066587A" w:rsidRDefault="00956EEA" w:rsidP="00956EEA">
      <w:pPr>
        <w:tabs>
          <w:tab w:val="left" w:pos="0"/>
        </w:tabs>
        <w:ind w:firstLine="567"/>
        <w:jc w:val="both"/>
        <w:rPr>
          <w:bCs/>
          <w:sz w:val="24"/>
          <w:szCs w:val="24"/>
        </w:rPr>
      </w:pPr>
      <w:r w:rsidRPr="0054671C">
        <w:rPr>
          <w:bCs/>
          <w:sz w:val="24"/>
          <w:szCs w:val="24"/>
        </w:rPr>
        <w:t>В соответствии с положениями</w:t>
      </w:r>
      <w:r w:rsidRPr="0066587A">
        <w:rPr>
          <w:bCs/>
          <w:sz w:val="24"/>
          <w:szCs w:val="24"/>
        </w:rPr>
        <w:t xml:space="preserve"> п. 38 Основ ценообразования перед началом каждого года долгосрочного периода регулирования определяются планируемые значения параметров расчета тарифов</w:t>
      </w:r>
      <w:r w:rsidR="0066587A" w:rsidRPr="0066587A">
        <w:rPr>
          <w:bCs/>
          <w:sz w:val="24"/>
          <w:szCs w:val="24"/>
        </w:rPr>
        <w:t>, в том числе</w:t>
      </w:r>
      <w:r w:rsidRPr="0066587A">
        <w:rPr>
          <w:bCs/>
          <w:sz w:val="24"/>
          <w:szCs w:val="24"/>
        </w:rPr>
        <w:t>:</w:t>
      </w:r>
    </w:p>
    <w:p w:rsidR="00DE1256" w:rsidRPr="0066587A" w:rsidRDefault="00956EEA" w:rsidP="00956EEA">
      <w:pPr>
        <w:tabs>
          <w:tab w:val="left" w:pos="0"/>
        </w:tabs>
        <w:ind w:firstLine="567"/>
        <w:jc w:val="both"/>
        <w:rPr>
          <w:bCs/>
          <w:sz w:val="24"/>
          <w:szCs w:val="24"/>
        </w:rPr>
      </w:pPr>
      <w:r w:rsidRPr="0066587A">
        <w:rPr>
          <w:bCs/>
          <w:sz w:val="24"/>
          <w:szCs w:val="24"/>
        </w:rPr>
        <w:t xml:space="preserve">размер активов, определяемый регулирующими органами. </w:t>
      </w:r>
      <w:proofErr w:type="gramStart"/>
      <w:r w:rsidRPr="0066587A">
        <w:rPr>
          <w:bCs/>
          <w:sz w:val="24"/>
          <w:szCs w:val="24"/>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w:t>
      </w:r>
      <w:r w:rsidRPr="0066587A">
        <w:rPr>
          <w:bCs/>
          <w:sz w:val="24"/>
          <w:szCs w:val="24"/>
          <w:u w:val="single"/>
        </w:rPr>
        <w:t>на основании данных за последний отчетный период текущего года о фактически введенных в эксплуатацию</w:t>
      </w:r>
      <w:r w:rsidRPr="0066587A">
        <w:rPr>
          <w:bCs/>
          <w:sz w:val="24"/>
          <w:szCs w:val="24"/>
        </w:rPr>
        <w:t xml:space="preserve">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w:t>
      </w:r>
      <w:proofErr w:type="gramEnd"/>
      <w:r w:rsidRPr="0066587A">
        <w:rPr>
          <w:bCs/>
          <w:sz w:val="24"/>
          <w:szCs w:val="24"/>
        </w:rPr>
        <w:t xml:space="preserve"> энергетики Российской Федерации</w:t>
      </w:r>
      <w:r w:rsidR="0066587A" w:rsidRPr="0066587A">
        <w:rPr>
          <w:bCs/>
          <w:sz w:val="24"/>
          <w:szCs w:val="24"/>
        </w:rPr>
        <w:t>.</w:t>
      </w:r>
    </w:p>
    <w:p w:rsidR="0066587A" w:rsidRPr="00AB5325" w:rsidRDefault="0066587A" w:rsidP="00956EEA">
      <w:pPr>
        <w:tabs>
          <w:tab w:val="left" w:pos="0"/>
        </w:tabs>
        <w:ind w:firstLine="567"/>
        <w:jc w:val="both"/>
        <w:rPr>
          <w:bCs/>
          <w:sz w:val="24"/>
          <w:szCs w:val="24"/>
        </w:rPr>
      </w:pPr>
      <w:r w:rsidRPr="00AB5325">
        <w:rPr>
          <w:bCs/>
          <w:sz w:val="24"/>
          <w:szCs w:val="24"/>
        </w:rPr>
        <w:t xml:space="preserve">Таким образом, действующим законодательством не предусмотрен учет объема активов с учетом плановых вводов, объем условных единиц на 2023 год принят Департаментом в </w:t>
      </w:r>
      <w:r w:rsidR="009C631A" w:rsidRPr="00AB5325">
        <w:rPr>
          <w:bCs/>
          <w:sz w:val="24"/>
          <w:szCs w:val="24"/>
        </w:rPr>
        <w:t>размере</w:t>
      </w:r>
      <w:r w:rsidRPr="00AB5325">
        <w:rPr>
          <w:bCs/>
          <w:sz w:val="24"/>
          <w:szCs w:val="24"/>
        </w:rPr>
        <w:t xml:space="preserve">        74 590,82 у.е.</w:t>
      </w:r>
    </w:p>
    <w:p w:rsidR="00B26A62" w:rsidRPr="00D6711F" w:rsidRDefault="00B26A62" w:rsidP="00B26A62">
      <w:pPr>
        <w:tabs>
          <w:tab w:val="left" w:pos="0"/>
          <w:tab w:val="left" w:pos="993"/>
          <w:tab w:val="left" w:pos="1418"/>
          <w:tab w:val="left" w:pos="4020"/>
        </w:tabs>
        <w:ind w:firstLine="567"/>
        <w:jc w:val="both"/>
        <w:rPr>
          <w:bCs/>
          <w:sz w:val="24"/>
          <w:szCs w:val="24"/>
        </w:rPr>
      </w:pPr>
      <w:r w:rsidRPr="00AB5325">
        <w:rPr>
          <w:bCs/>
          <w:sz w:val="24"/>
          <w:szCs w:val="24"/>
        </w:rPr>
        <w:t xml:space="preserve">Ассоциация «НП Совет </w:t>
      </w:r>
      <w:r w:rsidRPr="00D6711F">
        <w:rPr>
          <w:bCs/>
          <w:sz w:val="24"/>
          <w:szCs w:val="24"/>
        </w:rPr>
        <w:t xml:space="preserve">рынка» в отношении </w:t>
      </w:r>
      <w:r w:rsidR="00370D57" w:rsidRPr="00370D57">
        <w:rPr>
          <w:bCs/>
          <w:sz w:val="24"/>
          <w:szCs w:val="24"/>
        </w:rPr>
        <w:t>филиала ПАО «Россети Центр и Приволжье» - «Ивэнерго»</w:t>
      </w:r>
      <w:r w:rsidRPr="00D6711F">
        <w:rPr>
          <w:bCs/>
          <w:sz w:val="24"/>
          <w:szCs w:val="24"/>
        </w:rPr>
        <w:t xml:space="preserve"> голосует по данному вопросу «против», так как:</w:t>
      </w:r>
    </w:p>
    <w:p w:rsidR="00B4497A" w:rsidRDefault="00370D57" w:rsidP="00FE0A3A">
      <w:pPr>
        <w:pStyle w:val="ConsPlusNormal"/>
        <w:tabs>
          <w:tab w:val="left" w:pos="993"/>
        </w:tabs>
        <w:ind w:firstLine="567"/>
        <w:jc w:val="both"/>
        <w:rPr>
          <w:rFonts w:ascii="Times New Roman" w:hAnsi="Times New Roman" w:cs="Times New Roman"/>
          <w:sz w:val="24"/>
          <w:szCs w:val="24"/>
        </w:rPr>
      </w:pPr>
      <w:r w:rsidRPr="00370D57">
        <w:rPr>
          <w:rFonts w:ascii="Times New Roman" w:hAnsi="Times New Roman" w:cs="Times New Roman"/>
          <w:sz w:val="24"/>
          <w:szCs w:val="24"/>
        </w:rPr>
        <w:t></w:t>
      </w:r>
      <w:r w:rsidRPr="00370D57">
        <w:rPr>
          <w:rFonts w:ascii="Times New Roman" w:hAnsi="Times New Roman" w:cs="Times New Roman"/>
          <w:sz w:val="24"/>
          <w:szCs w:val="24"/>
        </w:rPr>
        <w:tab/>
        <w:t>на 09:00 по мск 23.11.2022г. не представлены экспертные заключения, расчеты.</w:t>
      </w:r>
    </w:p>
    <w:p w:rsidR="00370D57" w:rsidRDefault="00370D57" w:rsidP="00FE0A3A">
      <w:pPr>
        <w:pStyle w:val="ConsPlusNormal"/>
        <w:tabs>
          <w:tab w:val="left" w:pos="993"/>
        </w:tabs>
        <w:ind w:firstLine="567"/>
        <w:jc w:val="both"/>
        <w:rPr>
          <w:rFonts w:ascii="Times New Roman" w:hAnsi="Times New Roman" w:cs="Times New Roman"/>
          <w:sz w:val="24"/>
          <w:szCs w:val="24"/>
        </w:rPr>
      </w:pPr>
      <w:r w:rsidRPr="00370D57">
        <w:rPr>
          <w:rFonts w:ascii="Times New Roman" w:hAnsi="Times New Roman" w:cs="Times New Roman"/>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FE0A3A" w:rsidRPr="000B2498" w:rsidRDefault="00FE0A3A" w:rsidP="00FE0A3A">
      <w:pPr>
        <w:pStyle w:val="ConsPlusNormal"/>
        <w:tabs>
          <w:tab w:val="left" w:pos="993"/>
        </w:tabs>
        <w:ind w:firstLine="567"/>
        <w:jc w:val="both"/>
        <w:rPr>
          <w:rFonts w:ascii="Times New Roman" w:hAnsi="Times New Roman" w:cs="Times New Roman"/>
          <w:b/>
          <w:sz w:val="24"/>
          <w:szCs w:val="24"/>
        </w:rPr>
      </w:pPr>
      <w:r w:rsidRPr="000B2498">
        <w:rPr>
          <w:rFonts w:ascii="Times New Roman" w:hAnsi="Times New Roman" w:cs="Times New Roman"/>
          <w:b/>
          <w:sz w:val="24"/>
          <w:szCs w:val="24"/>
        </w:rPr>
        <w:t>РЕШИЛИ:</w:t>
      </w:r>
    </w:p>
    <w:p w:rsidR="00FE0A3A" w:rsidRPr="002672CB" w:rsidRDefault="00B26A62" w:rsidP="00FE0A3A">
      <w:pPr>
        <w:tabs>
          <w:tab w:val="left" w:pos="1276"/>
        </w:tabs>
        <w:autoSpaceDE w:val="0"/>
        <w:autoSpaceDN w:val="0"/>
        <w:adjustRightInd w:val="0"/>
        <w:ind w:firstLine="540"/>
        <w:jc w:val="both"/>
        <w:rPr>
          <w:sz w:val="24"/>
          <w:szCs w:val="24"/>
        </w:rPr>
      </w:pPr>
      <w:proofErr w:type="gramStart"/>
      <w:r w:rsidRPr="008B7CF2">
        <w:rPr>
          <w:sz w:val="24"/>
          <w:szCs w:val="24"/>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008B7CF2" w:rsidRPr="008B7CF2">
        <w:rPr>
          <w:sz w:val="24"/>
          <w:szCs w:val="24"/>
        </w:rPr>
        <w:t xml:space="preserve">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r w:rsidRPr="008B7CF2">
        <w:rPr>
          <w:sz w:val="24"/>
          <w:szCs w:val="24"/>
        </w:rPr>
        <w:t>постановлением</w:t>
      </w:r>
      <w:proofErr w:type="gramEnd"/>
      <w:r w:rsidRPr="008B7CF2">
        <w:rPr>
          <w:sz w:val="24"/>
          <w:szCs w:val="24"/>
        </w:rPr>
        <w:t xml:space="preserve">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w:t>
      </w:r>
      <w:r w:rsidRPr="002672CB">
        <w:rPr>
          <w:sz w:val="24"/>
          <w:szCs w:val="24"/>
        </w:rPr>
        <w:t>электрической энергии и оказания этих услуг, утвержденными постановлением Правительства Российской Федерации от 27.12.2004 № 861:</w:t>
      </w:r>
    </w:p>
    <w:p w:rsidR="00FE0A3A" w:rsidRPr="002672CB" w:rsidRDefault="00B26A62" w:rsidP="008B7CF2">
      <w:pPr>
        <w:pStyle w:val="aa"/>
        <w:numPr>
          <w:ilvl w:val="0"/>
          <w:numId w:val="30"/>
        </w:numPr>
        <w:tabs>
          <w:tab w:val="left" w:pos="993"/>
        </w:tabs>
        <w:autoSpaceDE w:val="0"/>
        <w:autoSpaceDN w:val="0"/>
        <w:adjustRightInd w:val="0"/>
        <w:ind w:left="0" w:firstLine="567"/>
        <w:jc w:val="both"/>
        <w:rPr>
          <w:sz w:val="24"/>
          <w:szCs w:val="24"/>
        </w:rPr>
      </w:pPr>
      <w:proofErr w:type="gramStart"/>
      <w:r w:rsidRPr="002672CB">
        <w:rPr>
          <w:sz w:val="24"/>
          <w:szCs w:val="24"/>
        </w:rPr>
        <w:t xml:space="preserve">Внести изменения в постановление Департамента энергетики и тарифов Ивановской области </w:t>
      </w:r>
      <w:r w:rsidR="008B7CF2" w:rsidRPr="002672CB">
        <w:rPr>
          <w:sz w:val="24"/>
          <w:szCs w:val="24"/>
        </w:rPr>
        <w:t>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2672CB">
        <w:rPr>
          <w:sz w:val="24"/>
          <w:szCs w:val="24"/>
        </w:rPr>
        <w:t>, изложив приложение 2 к постановлению Департамента энергетики и тарифов Ивановской</w:t>
      </w:r>
      <w:proofErr w:type="gramEnd"/>
      <w:r w:rsidRPr="002672CB">
        <w:rPr>
          <w:sz w:val="24"/>
          <w:szCs w:val="24"/>
        </w:rPr>
        <w:t xml:space="preserve"> области от </w:t>
      </w:r>
      <w:r w:rsidR="008B7CF2" w:rsidRPr="002672CB">
        <w:rPr>
          <w:sz w:val="24"/>
          <w:szCs w:val="24"/>
        </w:rPr>
        <w:t>29</w:t>
      </w:r>
      <w:r w:rsidRPr="002672CB">
        <w:rPr>
          <w:sz w:val="24"/>
          <w:szCs w:val="24"/>
        </w:rPr>
        <w:t>.12.202</w:t>
      </w:r>
      <w:r w:rsidR="008B7CF2" w:rsidRPr="002672CB">
        <w:rPr>
          <w:sz w:val="24"/>
          <w:szCs w:val="24"/>
        </w:rPr>
        <w:t>1</w:t>
      </w:r>
      <w:r w:rsidRPr="002672CB">
        <w:rPr>
          <w:sz w:val="24"/>
          <w:szCs w:val="24"/>
        </w:rPr>
        <w:t xml:space="preserve"> № </w:t>
      </w:r>
      <w:r w:rsidR="008B7CF2" w:rsidRPr="002672CB">
        <w:rPr>
          <w:sz w:val="24"/>
          <w:szCs w:val="24"/>
        </w:rPr>
        <w:t>60</w:t>
      </w:r>
      <w:r w:rsidRPr="002672CB">
        <w:rPr>
          <w:sz w:val="24"/>
          <w:szCs w:val="24"/>
        </w:rPr>
        <w:t>-э/</w:t>
      </w:r>
      <w:r w:rsidR="00D327E6" w:rsidRPr="002672CB">
        <w:rPr>
          <w:sz w:val="24"/>
          <w:szCs w:val="24"/>
        </w:rPr>
        <w:t>1</w:t>
      </w:r>
      <w:r w:rsidRPr="002672CB">
        <w:rPr>
          <w:sz w:val="24"/>
          <w:szCs w:val="24"/>
        </w:rPr>
        <w:t xml:space="preserve"> в новой редакции согласно Таблице:</w:t>
      </w:r>
    </w:p>
    <w:p w:rsidR="00C530BA" w:rsidRPr="002672CB" w:rsidRDefault="00C530BA" w:rsidP="00FE0A3A">
      <w:pPr>
        <w:pStyle w:val="aa"/>
        <w:tabs>
          <w:tab w:val="left" w:pos="993"/>
        </w:tabs>
        <w:autoSpaceDE w:val="0"/>
        <w:autoSpaceDN w:val="0"/>
        <w:adjustRightInd w:val="0"/>
        <w:ind w:left="398"/>
        <w:jc w:val="center"/>
        <w:rPr>
          <w:sz w:val="24"/>
          <w:szCs w:val="24"/>
          <w:highlight w:val="yellow"/>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07292D" w:rsidRDefault="0007292D" w:rsidP="00D327E6">
      <w:pPr>
        <w:tabs>
          <w:tab w:val="left" w:pos="1276"/>
        </w:tabs>
        <w:autoSpaceDE w:val="0"/>
        <w:autoSpaceDN w:val="0"/>
        <w:adjustRightInd w:val="0"/>
        <w:ind w:right="-3"/>
        <w:jc w:val="center"/>
        <w:rPr>
          <w:sz w:val="24"/>
          <w:szCs w:val="24"/>
        </w:rPr>
      </w:pPr>
    </w:p>
    <w:p w:rsidR="00D327E6" w:rsidRPr="003C20F8" w:rsidRDefault="00D327E6" w:rsidP="00D327E6">
      <w:pPr>
        <w:tabs>
          <w:tab w:val="left" w:pos="1276"/>
        </w:tabs>
        <w:autoSpaceDE w:val="0"/>
        <w:autoSpaceDN w:val="0"/>
        <w:adjustRightInd w:val="0"/>
        <w:ind w:right="-3"/>
        <w:jc w:val="center"/>
        <w:rPr>
          <w:sz w:val="24"/>
          <w:szCs w:val="24"/>
        </w:rPr>
      </w:pPr>
      <w:bookmarkStart w:id="0" w:name="_GoBack"/>
      <w:bookmarkEnd w:id="0"/>
      <w:r w:rsidRPr="002672CB">
        <w:rPr>
          <w:sz w:val="24"/>
          <w:szCs w:val="24"/>
        </w:rPr>
        <w:lastRenderedPageBreak/>
        <w:t xml:space="preserve">НВВ </w:t>
      </w:r>
      <w:r w:rsidR="002672CB" w:rsidRPr="003C20F8">
        <w:rPr>
          <w:sz w:val="24"/>
          <w:szCs w:val="24"/>
        </w:rPr>
        <w:t>филиала ПАО «Россети Центр и Приволжье» - «Ивэнерго»</w:t>
      </w:r>
      <w:r w:rsidRPr="003C20F8">
        <w:rPr>
          <w:sz w:val="24"/>
          <w:szCs w:val="24"/>
        </w:rPr>
        <w:t xml:space="preserve"> на долгосрочный период регулирования (без учета оплаты потерь)</w:t>
      </w:r>
    </w:p>
    <w:p w:rsidR="00D327E6" w:rsidRPr="003C20F8" w:rsidRDefault="00D327E6" w:rsidP="00D327E6">
      <w:pPr>
        <w:tabs>
          <w:tab w:val="left" w:pos="1276"/>
        </w:tabs>
        <w:autoSpaceDE w:val="0"/>
        <w:autoSpaceDN w:val="0"/>
        <w:adjustRightInd w:val="0"/>
        <w:ind w:right="-3"/>
        <w:jc w:val="both"/>
        <w:rPr>
          <w:sz w:val="24"/>
          <w:szCs w:val="24"/>
        </w:rPr>
      </w:pPr>
    </w:p>
    <w:tbl>
      <w:tblPr>
        <w:tblW w:w="9938" w:type="dxa"/>
        <w:tblInd w:w="93" w:type="dxa"/>
        <w:tblLook w:val="04A0" w:firstRow="1" w:lastRow="0" w:firstColumn="1" w:lastColumn="0" w:noHBand="0" w:noVBand="1"/>
      </w:tblPr>
      <w:tblGrid>
        <w:gridCol w:w="520"/>
        <w:gridCol w:w="4700"/>
        <w:gridCol w:w="1100"/>
        <w:gridCol w:w="3618"/>
      </w:tblGrid>
      <w:tr w:rsidR="003C20F8" w:rsidRPr="003C20F8" w:rsidTr="00F5082F">
        <w:trPr>
          <w:trHeight w:val="615"/>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3C20F8" w:rsidRDefault="00D327E6" w:rsidP="00D327E6">
            <w:pPr>
              <w:widowControl/>
              <w:jc w:val="center"/>
              <w:rPr>
                <w:sz w:val="22"/>
                <w:szCs w:val="22"/>
              </w:rPr>
            </w:pPr>
            <w:r w:rsidRPr="003C20F8">
              <w:rPr>
                <w:sz w:val="22"/>
                <w:szCs w:val="22"/>
              </w:rPr>
              <w:t xml:space="preserve">№ </w:t>
            </w:r>
            <w:proofErr w:type="gramStart"/>
            <w:r w:rsidRPr="003C20F8">
              <w:rPr>
                <w:sz w:val="22"/>
                <w:szCs w:val="22"/>
              </w:rPr>
              <w:t>п</w:t>
            </w:r>
            <w:proofErr w:type="gramEnd"/>
            <w:r w:rsidRPr="003C20F8">
              <w:rPr>
                <w:sz w:val="22"/>
                <w:szCs w:val="22"/>
              </w:rPr>
              <w:t>/п</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3C20F8" w:rsidRDefault="00D327E6" w:rsidP="00D327E6">
            <w:pPr>
              <w:widowControl/>
              <w:jc w:val="center"/>
              <w:rPr>
                <w:sz w:val="22"/>
                <w:szCs w:val="22"/>
              </w:rPr>
            </w:pPr>
            <w:r w:rsidRPr="003C20F8">
              <w:rPr>
                <w:sz w:val="22"/>
                <w:szCs w:val="22"/>
              </w:rPr>
              <w:t>Наименование сетевой организации в субъекте Российской Федерации</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27E6" w:rsidRPr="003C20F8" w:rsidRDefault="00D327E6" w:rsidP="00D327E6">
            <w:pPr>
              <w:widowControl/>
              <w:jc w:val="center"/>
              <w:rPr>
                <w:sz w:val="22"/>
                <w:szCs w:val="22"/>
              </w:rPr>
            </w:pPr>
            <w:r w:rsidRPr="003C20F8">
              <w:rPr>
                <w:sz w:val="22"/>
                <w:szCs w:val="22"/>
              </w:rPr>
              <w:t>Год</w:t>
            </w:r>
          </w:p>
        </w:tc>
        <w:tc>
          <w:tcPr>
            <w:tcW w:w="3618" w:type="dxa"/>
            <w:tcBorders>
              <w:top w:val="single" w:sz="4" w:space="0" w:color="000000"/>
              <w:left w:val="nil"/>
              <w:bottom w:val="single" w:sz="4" w:space="0" w:color="000000"/>
              <w:right w:val="single" w:sz="4" w:space="0" w:color="000000"/>
            </w:tcBorders>
            <w:shd w:val="clear" w:color="auto" w:fill="auto"/>
            <w:vAlign w:val="center"/>
            <w:hideMark/>
          </w:tcPr>
          <w:p w:rsidR="00D327E6" w:rsidRPr="003C20F8" w:rsidRDefault="00D327E6" w:rsidP="00D327E6">
            <w:pPr>
              <w:widowControl/>
              <w:jc w:val="center"/>
              <w:rPr>
                <w:sz w:val="22"/>
                <w:szCs w:val="22"/>
              </w:rPr>
            </w:pPr>
            <w:r w:rsidRPr="003C20F8">
              <w:rPr>
                <w:sz w:val="22"/>
                <w:szCs w:val="22"/>
              </w:rPr>
              <w:t>НВВ сетевых организаций без учета оплаты потерь</w:t>
            </w:r>
          </w:p>
        </w:tc>
      </w:tr>
      <w:tr w:rsidR="003C20F8" w:rsidRPr="003C20F8" w:rsidTr="00F5082F">
        <w:trPr>
          <w:trHeight w:val="315"/>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D327E6" w:rsidRPr="003C20F8" w:rsidRDefault="00D327E6" w:rsidP="00D327E6">
            <w:pPr>
              <w:widowControl/>
              <w:rPr>
                <w:sz w:val="22"/>
                <w:szCs w:val="22"/>
              </w:rPr>
            </w:pPr>
          </w:p>
        </w:tc>
        <w:tc>
          <w:tcPr>
            <w:tcW w:w="4700" w:type="dxa"/>
            <w:vMerge/>
            <w:tcBorders>
              <w:top w:val="single" w:sz="4" w:space="0" w:color="000000"/>
              <w:left w:val="single" w:sz="4" w:space="0" w:color="000000"/>
              <w:bottom w:val="single" w:sz="4" w:space="0" w:color="000000"/>
              <w:right w:val="single" w:sz="4" w:space="0" w:color="000000"/>
            </w:tcBorders>
            <w:vAlign w:val="center"/>
            <w:hideMark/>
          </w:tcPr>
          <w:p w:rsidR="00D327E6" w:rsidRPr="003C20F8" w:rsidRDefault="00D327E6" w:rsidP="00D327E6">
            <w:pPr>
              <w:widowControl/>
              <w:rPr>
                <w:sz w:val="22"/>
                <w:szCs w:val="22"/>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D327E6" w:rsidRPr="003C20F8" w:rsidRDefault="00D327E6" w:rsidP="00D327E6">
            <w:pPr>
              <w:widowControl/>
              <w:rPr>
                <w:sz w:val="22"/>
                <w:szCs w:val="22"/>
              </w:rPr>
            </w:pPr>
          </w:p>
        </w:tc>
        <w:tc>
          <w:tcPr>
            <w:tcW w:w="3618" w:type="dxa"/>
            <w:tcBorders>
              <w:top w:val="nil"/>
              <w:left w:val="nil"/>
              <w:bottom w:val="single" w:sz="4" w:space="0" w:color="000000"/>
              <w:right w:val="single" w:sz="4" w:space="0" w:color="000000"/>
            </w:tcBorders>
            <w:shd w:val="clear" w:color="auto" w:fill="auto"/>
            <w:noWrap/>
            <w:vAlign w:val="center"/>
            <w:hideMark/>
          </w:tcPr>
          <w:p w:rsidR="00D327E6" w:rsidRPr="003C20F8" w:rsidRDefault="00D327E6" w:rsidP="00D327E6">
            <w:pPr>
              <w:widowControl/>
              <w:jc w:val="center"/>
              <w:rPr>
                <w:sz w:val="22"/>
                <w:szCs w:val="22"/>
              </w:rPr>
            </w:pPr>
            <w:r w:rsidRPr="003C20F8">
              <w:rPr>
                <w:sz w:val="22"/>
                <w:szCs w:val="22"/>
              </w:rPr>
              <w:t>тыс. руб.</w:t>
            </w:r>
          </w:p>
        </w:tc>
      </w:tr>
      <w:tr w:rsidR="003C20F8" w:rsidRPr="003C20F8" w:rsidTr="002672CB">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D327E6" w:rsidRPr="003C20F8" w:rsidRDefault="00D327E6" w:rsidP="00D327E6">
            <w:pPr>
              <w:widowControl/>
              <w:jc w:val="center"/>
              <w:rPr>
                <w:sz w:val="22"/>
                <w:szCs w:val="22"/>
              </w:rPr>
            </w:pPr>
            <w:r w:rsidRPr="003C20F8">
              <w:rPr>
                <w:sz w:val="22"/>
                <w:szCs w:val="22"/>
              </w:rPr>
              <w:t>1.</w:t>
            </w:r>
          </w:p>
        </w:tc>
        <w:tc>
          <w:tcPr>
            <w:tcW w:w="47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327E6" w:rsidRPr="003C20F8" w:rsidRDefault="002672CB" w:rsidP="002672CB">
            <w:pPr>
              <w:widowControl/>
              <w:jc w:val="center"/>
              <w:rPr>
                <w:sz w:val="22"/>
                <w:szCs w:val="22"/>
              </w:rPr>
            </w:pPr>
            <w:r w:rsidRPr="003C20F8">
              <w:rPr>
                <w:sz w:val="22"/>
                <w:szCs w:val="22"/>
              </w:rPr>
              <w:t>Филиал ПАО «Россети Центр и Приволжье» - «Ивэнерго»</w:t>
            </w:r>
          </w:p>
        </w:tc>
        <w:tc>
          <w:tcPr>
            <w:tcW w:w="1100" w:type="dxa"/>
            <w:tcBorders>
              <w:top w:val="nil"/>
              <w:left w:val="nil"/>
              <w:bottom w:val="single" w:sz="4" w:space="0" w:color="000000"/>
              <w:right w:val="single" w:sz="4" w:space="0" w:color="000000"/>
            </w:tcBorders>
            <w:shd w:val="clear" w:color="FFFFCC" w:fill="FFFFFF"/>
            <w:noWrap/>
            <w:hideMark/>
          </w:tcPr>
          <w:p w:rsidR="00D327E6" w:rsidRPr="003C20F8" w:rsidRDefault="002672CB" w:rsidP="00D327E6">
            <w:pPr>
              <w:widowControl/>
              <w:jc w:val="center"/>
              <w:rPr>
                <w:sz w:val="22"/>
                <w:szCs w:val="22"/>
              </w:rPr>
            </w:pPr>
            <w:r w:rsidRPr="003C20F8">
              <w:rPr>
                <w:sz w:val="22"/>
                <w:szCs w:val="22"/>
              </w:rPr>
              <w:t>2022</w:t>
            </w:r>
          </w:p>
        </w:tc>
        <w:tc>
          <w:tcPr>
            <w:tcW w:w="3618" w:type="dxa"/>
            <w:tcBorders>
              <w:top w:val="nil"/>
              <w:left w:val="nil"/>
              <w:bottom w:val="single" w:sz="4" w:space="0" w:color="000000"/>
              <w:right w:val="single" w:sz="4" w:space="0" w:color="000000"/>
            </w:tcBorders>
            <w:shd w:val="clear" w:color="FFFFCC" w:fill="FFFFFF"/>
            <w:noWrap/>
          </w:tcPr>
          <w:p w:rsidR="00D327E6" w:rsidRPr="003C20F8" w:rsidRDefault="003C20F8" w:rsidP="00D327E6">
            <w:pPr>
              <w:widowControl/>
              <w:jc w:val="center"/>
              <w:rPr>
                <w:sz w:val="22"/>
                <w:szCs w:val="22"/>
              </w:rPr>
            </w:pPr>
            <w:r w:rsidRPr="003C20F8">
              <w:rPr>
                <w:sz w:val="22"/>
                <w:szCs w:val="22"/>
              </w:rPr>
              <w:t>3 917 986,12</w:t>
            </w:r>
          </w:p>
        </w:tc>
      </w:tr>
      <w:tr w:rsidR="003C20F8" w:rsidRPr="003C20F8" w:rsidTr="002672CB">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327E6" w:rsidRPr="003C20F8" w:rsidRDefault="00D327E6"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D327E6" w:rsidRPr="003C20F8" w:rsidRDefault="00D327E6"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D327E6" w:rsidRPr="003C20F8" w:rsidRDefault="002672CB" w:rsidP="00D327E6">
            <w:pPr>
              <w:widowControl/>
              <w:jc w:val="center"/>
              <w:rPr>
                <w:sz w:val="22"/>
                <w:szCs w:val="22"/>
              </w:rPr>
            </w:pPr>
            <w:r w:rsidRPr="003C20F8">
              <w:rPr>
                <w:sz w:val="22"/>
                <w:szCs w:val="22"/>
              </w:rPr>
              <w:t>2023</w:t>
            </w:r>
          </w:p>
        </w:tc>
        <w:tc>
          <w:tcPr>
            <w:tcW w:w="3618" w:type="dxa"/>
            <w:tcBorders>
              <w:top w:val="nil"/>
              <w:left w:val="nil"/>
              <w:bottom w:val="single" w:sz="4" w:space="0" w:color="000000"/>
              <w:right w:val="single" w:sz="4" w:space="0" w:color="000000"/>
            </w:tcBorders>
            <w:shd w:val="clear" w:color="FFFFCC" w:fill="FFFFFF"/>
            <w:noWrap/>
          </w:tcPr>
          <w:p w:rsidR="00D327E6" w:rsidRPr="003C20F8" w:rsidRDefault="003C20F8" w:rsidP="00D327E6">
            <w:pPr>
              <w:widowControl/>
              <w:jc w:val="center"/>
              <w:rPr>
                <w:sz w:val="22"/>
                <w:szCs w:val="22"/>
              </w:rPr>
            </w:pPr>
            <w:r w:rsidRPr="003C20F8">
              <w:rPr>
                <w:sz w:val="22"/>
                <w:szCs w:val="22"/>
              </w:rPr>
              <w:t>4 499 987,61</w:t>
            </w:r>
          </w:p>
        </w:tc>
      </w:tr>
      <w:tr w:rsidR="00726C0D" w:rsidRPr="003C20F8" w:rsidTr="009B5894">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726C0D" w:rsidRPr="003C20F8" w:rsidRDefault="00726C0D" w:rsidP="00D327E6">
            <w:pPr>
              <w:widowControl/>
              <w:jc w:val="center"/>
              <w:rPr>
                <w:sz w:val="22"/>
                <w:szCs w:val="22"/>
              </w:rPr>
            </w:pPr>
            <w:r w:rsidRPr="003C20F8">
              <w:rPr>
                <w:sz w:val="22"/>
                <w:szCs w:val="22"/>
              </w:rPr>
              <w:t>2024</w:t>
            </w:r>
          </w:p>
        </w:tc>
        <w:tc>
          <w:tcPr>
            <w:tcW w:w="3618" w:type="dxa"/>
            <w:tcBorders>
              <w:top w:val="nil"/>
              <w:left w:val="nil"/>
              <w:bottom w:val="nil"/>
              <w:right w:val="single" w:sz="4" w:space="0" w:color="000000"/>
            </w:tcBorders>
            <w:shd w:val="clear" w:color="FFFFCC" w:fill="FFFFFF"/>
            <w:noWrap/>
            <w:vAlign w:val="center"/>
          </w:tcPr>
          <w:p w:rsidR="00726C0D" w:rsidRPr="00447FE6" w:rsidRDefault="00726C0D" w:rsidP="002814F9">
            <w:pPr>
              <w:jc w:val="center"/>
              <w:rPr>
                <w:sz w:val="22"/>
                <w:szCs w:val="22"/>
              </w:rPr>
            </w:pPr>
            <w:r w:rsidRPr="00447FE6">
              <w:rPr>
                <w:sz w:val="22"/>
                <w:szCs w:val="22"/>
              </w:rPr>
              <w:t>4 499 862,16</w:t>
            </w:r>
          </w:p>
        </w:tc>
      </w:tr>
      <w:tr w:rsidR="00726C0D" w:rsidRPr="003C20F8" w:rsidTr="009B5894">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726C0D" w:rsidRPr="003C20F8" w:rsidRDefault="00726C0D" w:rsidP="00D327E6">
            <w:pPr>
              <w:widowControl/>
              <w:jc w:val="center"/>
              <w:rPr>
                <w:sz w:val="22"/>
                <w:szCs w:val="22"/>
              </w:rPr>
            </w:pPr>
            <w:r w:rsidRPr="003C20F8">
              <w:rPr>
                <w:sz w:val="22"/>
                <w:szCs w:val="22"/>
              </w:rPr>
              <w:t>2025</w:t>
            </w:r>
          </w:p>
        </w:tc>
        <w:tc>
          <w:tcPr>
            <w:tcW w:w="3618" w:type="dxa"/>
            <w:tcBorders>
              <w:top w:val="single" w:sz="4" w:space="0" w:color="auto"/>
              <w:left w:val="nil"/>
              <w:bottom w:val="single" w:sz="4" w:space="0" w:color="auto"/>
              <w:right w:val="single" w:sz="4" w:space="0" w:color="auto"/>
            </w:tcBorders>
            <w:shd w:val="clear" w:color="auto" w:fill="auto"/>
            <w:noWrap/>
            <w:vAlign w:val="center"/>
          </w:tcPr>
          <w:p w:rsidR="00726C0D" w:rsidRPr="00447FE6" w:rsidRDefault="00726C0D" w:rsidP="002814F9">
            <w:pPr>
              <w:jc w:val="center"/>
              <w:rPr>
                <w:sz w:val="22"/>
                <w:szCs w:val="22"/>
              </w:rPr>
            </w:pPr>
            <w:r w:rsidRPr="00447FE6">
              <w:rPr>
                <w:sz w:val="22"/>
                <w:szCs w:val="22"/>
              </w:rPr>
              <w:t>4 317 423,85</w:t>
            </w:r>
          </w:p>
        </w:tc>
      </w:tr>
      <w:tr w:rsidR="00726C0D" w:rsidRPr="003C20F8" w:rsidTr="009B5894">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726C0D" w:rsidRPr="003C20F8" w:rsidRDefault="00726C0D" w:rsidP="00D327E6">
            <w:pPr>
              <w:widowControl/>
              <w:rPr>
                <w:sz w:val="22"/>
                <w:szCs w:val="22"/>
              </w:rPr>
            </w:pPr>
          </w:p>
        </w:tc>
        <w:tc>
          <w:tcPr>
            <w:tcW w:w="1100" w:type="dxa"/>
            <w:tcBorders>
              <w:top w:val="nil"/>
              <w:left w:val="nil"/>
              <w:bottom w:val="single" w:sz="4" w:space="0" w:color="000000"/>
              <w:right w:val="single" w:sz="4" w:space="0" w:color="000000"/>
            </w:tcBorders>
            <w:shd w:val="clear" w:color="FFFFCC" w:fill="FFFFFF"/>
            <w:noWrap/>
            <w:hideMark/>
          </w:tcPr>
          <w:p w:rsidR="00726C0D" w:rsidRPr="003C20F8" w:rsidRDefault="00726C0D" w:rsidP="00D327E6">
            <w:pPr>
              <w:widowControl/>
              <w:jc w:val="center"/>
              <w:rPr>
                <w:sz w:val="22"/>
                <w:szCs w:val="22"/>
              </w:rPr>
            </w:pPr>
            <w:r w:rsidRPr="003C20F8">
              <w:rPr>
                <w:sz w:val="22"/>
                <w:szCs w:val="22"/>
              </w:rPr>
              <w:t>2026</w:t>
            </w:r>
          </w:p>
        </w:tc>
        <w:tc>
          <w:tcPr>
            <w:tcW w:w="3618" w:type="dxa"/>
            <w:tcBorders>
              <w:top w:val="nil"/>
              <w:left w:val="nil"/>
              <w:bottom w:val="single" w:sz="4" w:space="0" w:color="auto"/>
              <w:right w:val="single" w:sz="4" w:space="0" w:color="auto"/>
            </w:tcBorders>
            <w:shd w:val="clear" w:color="auto" w:fill="auto"/>
            <w:noWrap/>
            <w:vAlign w:val="center"/>
          </w:tcPr>
          <w:p w:rsidR="00726C0D" w:rsidRPr="00447FE6" w:rsidRDefault="00726C0D" w:rsidP="002814F9">
            <w:pPr>
              <w:jc w:val="center"/>
              <w:rPr>
                <w:sz w:val="22"/>
                <w:szCs w:val="22"/>
              </w:rPr>
            </w:pPr>
            <w:r w:rsidRPr="00447FE6">
              <w:rPr>
                <w:sz w:val="22"/>
                <w:szCs w:val="22"/>
              </w:rPr>
              <w:t>4 214 189,44</w:t>
            </w:r>
          </w:p>
        </w:tc>
      </w:tr>
    </w:tbl>
    <w:p w:rsidR="00D327E6" w:rsidRPr="003C20F8" w:rsidRDefault="00D327E6" w:rsidP="00FE0A3A">
      <w:pPr>
        <w:tabs>
          <w:tab w:val="left" w:pos="1276"/>
        </w:tabs>
        <w:autoSpaceDE w:val="0"/>
        <w:autoSpaceDN w:val="0"/>
        <w:adjustRightInd w:val="0"/>
        <w:jc w:val="both"/>
        <w:rPr>
          <w:sz w:val="24"/>
          <w:szCs w:val="24"/>
          <w:highlight w:val="yellow"/>
        </w:rPr>
      </w:pPr>
    </w:p>
    <w:p w:rsidR="00FE0A3A" w:rsidRPr="003C20F8" w:rsidRDefault="00D327E6" w:rsidP="00FE0A3A">
      <w:pPr>
        <w:tabs>
          <w:tab w:val="left" w:pos="1276"/>
        </w:tabs>
        <w:autoSpaceDE w:val="0"/>
        <w:autoSpaceDN w:val="0"/>
        <w:adjustRightInd w:val="0"/>
        <w:ind w:firstLine="540"/>
        <w:jc w:val="both"/>
        <w:rPr>
          <w:b/>
          <w:sz w:val="24"/>
          <w:szCs w:val="24"/>
        </w:rPr>
      </w:pPr>
      <w:r w:rsidRPr="003C20F8">
        <w:rPr>
          <w:sz w:val="24"/>
          <w:szCs w:val="24"/>
        </w:rPr>
        <w:t>2</w:t>
      </w:r>
      <w:r w:rsidR="00FE0A3A" w:rsidRPr="003C20F8">
        <w:rPr>
          <w:sz w:val="24"/>
          <w:szCs w:val="24"/>
        </w:rPr>
        <w:t>. Настоящее постановление вступает в силу со дня его официального опубликования.</w:t>
      </w:r>
    </w:p>
    <w:p w:rsidR="00FE0A3A" w:rsidRPr="003C20F8" w:rsidRDefault="00FE0A3A" w:rsidP="00FE0A3A">
      <w:pPr>
        <w:pStyle w:val="a6"/>
        <w:spacing w:before="0" w:beforeAutospacing="0" w:after="0" w:afterAutospacing="0"/>
        <w:ind w:firstLine="567"/>
        <w:jc w:val="both"/>
      </w:pPr>
    </w:p>
    <w:p w:rsidR="00FE0A3A" w:rsidRPr="00C530BA" w:rsidRDefault="00FE0A3A" w:rsidP="00FE0A3A">
      <w:pPr>
        <w:tabs>
          <w:tab w:val="left" w:pos="4020"/>
        </w:tabs>
        <w:ind w:firstLine="540"/>
        <w:rPr>
          <w:sz w:val="24"/>
          <w:szCs w:val="24"/>
        </w:rPr>
      </w:pPr>
      <w:r w:rsidRPr="00C530BA">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 xml:space="preserve">№ </w:t>
            </w:r>
            <w:proofErr w:type="gramStart"/>
            <w:r w:rsidRPr="00C530BA">
              <w:rPr>
                <w:sz w:val="24"/>
                <w:szCs w:val="24"/>
              </w:rPr>
              <w:t>п</w:t>
            </w:r>
            <w:proofErr w:type="gramEnd"/>
            <w:r w:rsidRPr="00C530BA">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rPr>
                <w:sz w:val="24"/>
                <w:szCs w:val="24"/>
              </w:rPr>
            </w:pPr>
            <w:r w:rsidRPr="00C530BA">
              <w:rPr>
                <w:sz w:val="24"/>
                <w:szCs w:val="24"/>
              </w:rPr>
              <w:t>Результаты голосования</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за</w:t>
            </w:r>
          </w:p>
        </w:tc>
      </w:tr>
      <w:tr w:rsidR="00FE0A3A" w:rsidRPr="00C530BA" w:rsidTr="00FE0A3A">
        <w:tc>
          <w:tcPr>
            <w:tcW w:w="959"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540"/>
              <w:rPr>
                <w:sz w:val="24"/>
                <w:szCs w:val="24"/>
              </w:rPr>
            </w:pPr>
            <w:r w:rsidRPr="00C530BA">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15"/>
              <w:rPr>
                <w:sz w:val="24"/>
                <w:szCs w:val="24"/>
              </w:rPr>
            </w:pPr>
            <w:r w:rsidRPr="00C530BA">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C530BA" w:rsidRDefault="00FE0A3A" w:rsidP="00FE0A3A">
            <w:pPr>
              <w:tabs>
                <w:tab w:val="left" w:pos="4020"/>
              </w:tabs>
              <w:ind w:firstLine="33"/>
              <w:jc w:val="center"/>
              <w:rPr>
                <w:sz w:val="24"/>
                <w:szCs w:val="24"/>
              </w:rPr>
            </w:pPr>
            <w:r w:rsidRPr="00C530BA">
              <w:rPr>
                <w:sz w:val="24"/>
                <w:szCs w:val="24"/>
              </w:rPr>
              <w:t>против</w:t>
            </w:r>
          </w:p>
        </w:tc>
      </w:tr>
    </w:tbl>
    <w:p w:rsidR="00FE0A3A" w:rsidRPr="006D357B" w:rsidRDefault="00FE0A3A" w:rsidP="00FE0A3A">
      <w:pPr>
        <w:tabs>
          <w:tab w:val="left" w:pos="4020"/>
        </w:tabs>
        <w:ind w:left="284" w:firstLine="283"/>
        <w:rPr>
          <w:sz w:val="24"/>
          <w:szCs w:val="24"/>
        </w:rPr>
      </w:pPr>
      <w:r w:rsidRPr="00C530BA">
        <w:rPr>
          <w:sz w:val="24"/>
          <w:szCs w:val="24"/>
        </w:rPr>
        <w:t>Итого: за – 7, против – 1, воздержался – 0, отсутствуют – 0.</w:t>
      </w:r>
    </w:p>
    <w:p w:rsidR="006A3BBE" w:rsidRPr="009B4C3C" w:rsidRDefault="006A3BBE" w:rsidP="006A3BBE">
      <w:pPr>
        <w:tabs>
          <w:tab w:val="left" w:pos="4020"/>
        </w:tabs>
        <w:ind w:left="284" w:firstLine="283"/>
        <w:jc w:val="both"/>
        <w:rPr>
          <w:b/>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9B4C3C" w:rsidRPr="009B4C3C"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9B4C3C" w:rsidRDefault="00CB2DB7" w:rsidP="00FB144C">
            <w:pPr>
              <w:rPr>
                <w:sz w:val="24"/>
                <w:szCs w:val="24"/>
              </w:rPr>
            </w:pPr>
            <w:r w:rsidRPr="009B4C3C">
              <w:rPr>
                <w:sz w:val="24"/>
                <w:szCs w:val="24"/>
              </w:rPr>
              <w:t>О</w:t>
            </w:r>
            <w:r w:rsidR="005B384C" w:rsidRPr="009B4C3C">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9B4C3C"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9B4C3C" w:rsidRDefault="00DE195F" w:rsidP="00FB144C">
            <w:pPr>
              <w:tabs>
                <w:tab w:val="left" w:pos="4020"/>
              </w:tabs>
              <w:jc w:val="right"/>
              <w:rPr>
                <w:sz w:val="24"/>
                <w:szCs w:val="24"/>
              </w:rPr>
            </w:pPr>
            <w:r w:rsidRPr="009B4C3C">
              <w:rPr>
                <w:sz w:val="24"/>
                <w:szCs w:val="24"/>
              </w:rPr>
              <w:t xml:space="preserve">М.В. Аскярова </w:t>
            </w:r>
          </w:p>
        </w:tc>
      </w:tr>
      <w:tr w:rsidR="00466942" w:rsidRPr="009B4C3C"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9B4C3C" w:rsidRDefault="005B384C" w:rsidP="00FB144C">
            <w:pPr>
              <w:jc w:val="both"/>
              <w:rPr>
                <w:b/>
                <w:sz w:val="24"/>
                <w:szCs w:val="24"/>
              </w:rPr>
            </w:pPr>
            <w:r w:rsidRPr="009B4C3C">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9B4C3C"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9B4C3C" w:rsidRDefault="005B384C" w:rsidP="00FB144C">
            <w:pPr>
              <w:tabs>
                <w:tab w:val="left" w:pos="4020"/>
              </w:tabs>
              <w:jc w:val="right"/>
              <w:rPr>
                <w:sz w:val="24"/>
                <w:szCs w:val="24"/>
              </w:rPr>
            </w:pP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r w:rsidRPr="009B4C3C">
              <w:rPr>
                <w:sz w:val="24"/>
                <w:szCs w:val="24"/>
              </w:rPr>
              <w:t xml:space="preserve">С.Е. Бугаева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100123" w:rsidP="00100123">
            <w:pPr>
              <w:tabs>
                <w:tab w:val="left" w:pos="4020"/>
              </w:tabs>
              <w:jc w:val="right"/>
              <w:rPr>
                <w:sz w:val="24"/>
                <w:szCs w:val="24"/>
              </w:rPr>
            </w:pPr>
            <w:r w:rsidRPr="009B4C3C">
              <w:rPr>
                <w:sz w:val="24"/>
                <w:szCs w:val="24"/>
              </w:rPr>
              <w:t xml:space="preserve">Н.Б. Гущина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rPr>
                <w:sz w:val="24"/>
                <w:szCs w:val="24"/>
              </w:rPr>
            </w:pPr>
            <w:r w:rsidRPr="009B4C3C">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A73314" w:rsidP="00100123">
            <w:pPr>
              <w:tabs>
                <w:tab w:val="left" w:pos="4020"/>
              </w:tabs>
              <w:jc w:val="right"/>
              <w:rPr>
                <w:sz w:val="24"/>
                <w:szCs w:val="24"/>
              </w:rPr>
            </w:pPr>
            <w:r w:rsidRPr="009B4C3C">
              <w:rPr>
                <w:sz w:val="24"/>
                <w:szCs w:val="24"/>
              </w:rPr>
              <w:t>Е.В. Турбачкина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100123">
            <w:pPr>
              <w:jc w:val="both"/>
              <w:rPr>
                <w:sz w:val="24"/>
                <w:szCs w:val="24"/>
              </w:rPr>
            </w:pPr>
            <w:r w:rsidRPr="009B4C3C">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jc w:val="right"/>
              <w:rPr>
                <w:sz w:val="24"/>
                <w:szCs w:val="24"/>
              </w:rPr>
            </w:pPr>
          </w:p>
          <w:p w:rsidR="00100123" w:rsidRPr="009B4C3C" w:rsidRDefault="00102CEC" w:rsidP="00102CEC">
            <w:pPr>
              <w:tabs>
                <w:tab w:val="left" w:pos="4020"/>
              </w:tabs>
              <w:jc w:val="right"/>
              <w:rPr>
                <w:sz w:val="24"/>
                <w:szCs w:val="24"/>
              </w:rPr>
            </w:pPr>
            <w:r w:rsidRPr="009B4C3C">
              <w:rPr>
                <w:sz w:val="24"/>
                <w:szCs w:val="24"/>
              </w:rPr>
              <w:t>Е.А. Коннова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6A3BBE" w:rsidP="00100123">
            <w:pPr>
              <w:rPr>
                <w:sz w:val="24"/>
                <w:szCs w:val="24"/>
              </w:rPr>
            </w:pPr>
            <w:r w:rsidRPr="009B4C3C">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9B4C3C"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9B4C3C" w:rsidRDefault="006A3BBE" w:rsidP="00100123">
            <w:pPr>
              <w:tabs>
                <w:tab w:val="left" w:pos="4020"/>
              </w:tabs>
              <w:jc w:val="right"/>
              <w:rPr>
                <w:sz w:val="24"/>
                <w:szCs w:val="24"/>
              </w:rPr>
            </w:pPr>
            <w:r w:rsidRPr="009B4C3C">
              <w:rPr>
                <w:sz w:val="24"/>
                <w:szCs w:val="24"/>
              </w:rPr>
              <w:t>И.Г. Полозов</w:t>
            </w:r>
          </w:p>
        </w:tc>
      </w:tr>
      <w:tr w:rsidR="00750E43" w:rsidRPr="009B4C3C" w:rsidTr="00AD318E">
        <w:tc>
          <w:tcPr>
            <w:tcW w:w="7088" w:type="dxa"/>
            <w:tcBorders>
              <w:top w:val="dotted" w:sz="4" w:space="0" w:color="auto"/>
              <w:left w:val="dotted" w:sz="4" w:space="0" w:color="auto"/>
              <w:bottom w:val="dotted" w:sz="4" w:space="0" w:color="auto"/>
              <w:right w:val="dotted" w:sz="4" w:space="0" w:color="auto"/>
            </w:tcBorders>
          </w:tcPr>
          <w:p w:rsidR="00750E43" w:rsidRPr="009B4C3C" w:rsidRDefault="00750E43" w:rsidP="00FB144C">
            <w:pPr>
              <w:jc w:val="both"/>
              <w:rPr>
                <w:sz w:val="24"/>
                <w:szCs w:val="24"/>
              </w:rPr>
            </w:pPr>
            <w:r w:rsidRPr="009B4C3C">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9B4C3C" w:rsidRDefault="00750E43" w:rsidP="00FB144C">
            <w:pPr>
              <w:tabs>
                <w:tab w:val="left" w:pos="4020"/>
              </w:tabs>
              <w:rPr>
                <w:sz w:val="24"/>
                <w:szCs w:val="24"/>
              </w:rPr>
            </w:pPr>
          </w:p>
          <w:p w:rsidR="00750E43" w:rsidRPr="009B4C3C"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9B4C3C" w:rsidRDefault="00750E43" w:rsidP="00750E43">
            <w:pPr>
              <w:tabs>
                <w:tab w:val="left" w:pos="4020"/>
              </w:tabs>
              <w:jc w:val="right"/>
              <w:rPr>
                <w:sz w:val="24"/>
                <w:szCs w:val="24"/>
              </w:rPr>
            </w:pPr>
          </w:p>
          <w:p w:rsidR="00750E43" w:rsidRPr="009B4C3C" w:rsidRDefault="00750E43" w:rsidP="00750E43">
            <w:pPr>
              <w:tabs>
                <w:tab w:val="left" w:pos="4020"/>
              </w:tabs>
              <w:jc w:val="right"/>
              <w:rPr>
                <w:sz w:val="24"/>
                <w:szCs w:val="24"/>
              </w:rPr>
            </w:pPr>
            <w:r w:rsidRPr="009B4C3C">
              <w:rPr>
                <w:sz w:val="24"/>
                <w:szCs w:val="24"/>
              </w:rPr>
              <w:t>О.П. Агапова</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750E43" w:rsidP="00750E43">
            <w:pPr>
              <w:jc w:val="both"/>
              <w:rPr>
                <w:sz w:val="24"/>
                <w:szCs w:val="24"/>
                <w:highlight w:val="yellow"/>
              </w:rPr>
            </w:pPr>
            <w:r w:rsidRPr="009B4C3C">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rPr>
                <w:sz w:val="24"/>
                <w:szCs w:val="24"/>
                <w:highlight w:val="yellow"/>
              </w:rPr>
            </w:pPr>
          </w:p>
          <w:p w:rsidR="00100123" w:rsidRPr="009B4C3C"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jc w:val="right"/>
              <w:rPr>
                <w:sz w:val="24"/>
                <w:szCs w:val="24"/>
                <w:highlight w:val="yellow"/>
              </w:rPr>
            </w:pPr>
          </w:p>
          <w:p w:rsidR="00100123" w:rsidRPr="009B4C3C" w:rsidRDefault="006A3BBE" w:rsidP="006A3BBE">
            <w:pPr>
              <w:tabs>
                <w:tab w:val="left" w:pos="4020"/>
              </w:tabs>
              <w:jc w:val="right"/>
              <w:rPr>
                <w:sz w:val="24"/>
                <w:szCs w:val="24"/>
                <w:highlight w:val="yellow"/>
              </w:rPr>
            </w:pPr>
            <w:r w:rsidRPr="009B4C3C">
              <w:rPr>
                <w:sz w:val="24"/>
                <w:szCs w:val="24"/>
              </w:rPr>
              <w:t xml:space="preserve">З.Б. Виднова </w:t>
            </w:r>
          </w:p>
        </w:tc>
      </w:tr>
      <w:tr w:rsidR="00466942" w:rsidRPr="009B4C3C" w:rsidTr="00AD318E">
        <w:tc>
          <w:tcPr>
            <w:tcW w:w="7088"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jc w:val="both"/>
              <w:rPr>
                <w:sz w:val="24"/>
                <w:szCs w:val="24"/>
              </w:rPr>
            </w:pPr>
            <w:r w:rsidRPr="009B4C3C">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rPr>
                <w:sz w:val="24"/>
                <w:szCs w:val="24"/>
              </w:rPr>
            </w:pPr>
          </w:p>
          <w:p w:rsidR="00100123" w:rsidRPr="009B4C3C"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9B4C3C" w:rsidRDefault="00100123" w:rsidP="00FB144C">
            <w:pPr>
              <w:tabs>
                <w:tab w:val="left" w:pos="4020"/>
              </w:tabs>
              <w:jc w:val="right"/>
              <w:rPr>
                <w:sz w:val="24"/>
                <w:szCs w:val="24"/>
              </w:rPr>
            </w:pPr>
          </w:p>
          <w:p w:rsidR="00100123" w:rsidRPr="009B4C3C" w:rsidRDefault="00100123" w:rsidP="00FB144C">
            <w:pPr>
              <w:tabs>
                <w:tab w:val="left" w:pos="4020"/>
              </w:tabs>
              <w:jc w:val="right"/>
              <w:rPr>
                <w:sz w:val="24"/>
                <w:szCs w:val="24"/>
              </w:rPr>
            </w:pPr>
            <w:r w:rsidRPr="009B4C3C">
              <w:rPr>
                <w:sz w:val="24"/>
                <w:szCs w:val="24"/>
              </w:rPr>
              <w:t>А.И. Кулешов</w:t>
            </w:r>
          </w:p>
        </w:tc>
      </w:tr>
    </w:tbl>
    <w:p w:rsidR="006A3BBE" w:rsidRPr="009B4C3C" w:rsidRDefault="00C8155C" w:rsidP="00C8155C">
      <w:pPr>
        <w:jc w:val="right"/>
        <w:rPr>
          <w:sz w:val="24"/>
          <w:szCs w:val="24"/>
        </w:rPr>
      </w:pPr>
      <w:r w:rsidRPr="009B4C3C">
        <w:rPr>
          <w:sz w:val="24"/>
          <w:szCs w:val="24"/>
        </w:rPr>
        <w:t xml:space="preserve"> </w:t>
      </w:r>
    </w:p>
    <w:sectPr w:rsidR="006A3BBE" w:rsidRPr="009B4C3C" w:rsidSect="00175CED">
      <w:headerReference w:type="even" r:id="rId19"/>
      <w:headerReference w:type="default" r:id="rId20"/>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B81" w:rsidRDefault="002C5B81">
      <w:r>
        <w:separator/>
      </w:r>
    </w:p>
  </w:endnote>
  <w:endnote w:type="continuationSeparator" w:id="0">
    <w:p w:rsidR="002C5B81" w:rsidRDefault="002C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B81" w:rsidRDefault="002C5B81">
      <w:r>
        <w:separator/>
      </w:r>
    </w:p>
  </w:footnote>
  <w:footnote w:type="continuationSeparator" w:id="0">
    <w:p w:rsidR="002C5B81" w:rsidRDefault="002C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81" w:rsidRDefault="002C5B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5B81" w:rsidRDefault="002C5B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81" w:rsidRDefault="002C5B81"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292D">
      <w:rPr>
        <w:rStyle w:val="a5"/>
        <w:noProof/>
      </w:rPr>
      <w:t>22</w:t>
    </w:r>
    <w:r>
      <w:rPr>
        <w:rStyle w:val="a5"/>
      </w:rPr>
      <w:fldChar w:fldCharType="end"/>
    </w:r>
  </w:p>
  <w:p w:rsidR="002C5B81" w:rsidRDefault="002C5B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0753700"/>
    <w:multiLevelType w:val="hybridMultilevel"/>
    <w:tmpl w:val="AC780E1E"/>
    <w:lvl w:ilvl="0" w:tplc="6C04685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BA2475"/>
    <w:multiLevelType w:val="multilevel"/>
    <w:tmpl w:val="0F9C10F0"/>
    <w:lvl w:ilvl="0">
      <w:start w:val="1"/>
      <w:numFmt w:val="upperRoman"/>
      <w:lvlText w:val="%1."/>
      <w:lvlJc w:val="left"/>
      <w:pPr>
        <w:ind w:left="2007" w:hanging="720"/>
      </w:pPr>
    </w:lvl>
    <w:lvl w:ilvl="1">
      <w:start w:val="1"/>
      <w:numFmt w:val="decimal"/>
      <w:isLgl/>
      <w:lvlText w:val="%1.%2."/>
      <w:lvlJc w:val="left"/>
      <w:pPr>
        <w:ind w:left="2214" w:hanging="360"/>
      </w:pPr>
    </w:lvl>
    <w:lvl w:ilvl="2">
      <w:start w:val="1"/>
      <w:numFmt w:val="decimal"/>
      <w:isLgl/>
      <w:lvlText w:val="%1.%2.%3."/>
      <w:lvlJc w:val="left"/>
      <w:pPr>
        <w:ind w:left="3141" w:hanging="720"/>
      </w:pPr>
    </w:lvl>
    <w:lvl w:ilvl="3">
      <w:start w:val="1"/>
      <w:numFmt w:val="decimal"/>
      <w:isLgl/>
      <w:lvlText w:val="%1.%2.%3.%4."/>
      <w:lvlJc w:val="left"/>
      <w:pPr>
        <w:ind w:left="3708" w:hanging="720"/>
      </w:pPr>
    </w:lvl>
    <w:lvl w:ilvl="4">
      <w:start w:val="1"/>
      <w:numFmt w:val="decimal"/>
      <w:isLgl/>
      <w:lvlText w:val="%1.%2.%3.%4.%5."/>
      <w:lvlJc w:val="left"/>
      <w:pPr>
        <w:ind w:left="4635" w:hanging="1080"/>
      </w:pPr>
    </w:lvl>
    <w:lvl w:ilvl="5">
      <w:start w:val="1"/>
      <w:numFmt w:val="decimal"/>
      <w:isLgl/>
      <w:lvlText w:val="%1.%2.%3.%4.%5.%6."/>
      <w:lvlJc w:val="left"/>
      <w:pPr>
        <w:ind w:left="5202" w:hanging="1080"/>
      </w:pPr>
    </w:lvl>
    <w:lvl w:ilvl="6">
      <w:start w:val="1"/>
      <w:numFmt w:val="decimal"/>
      <w:isLgl/>
      <w:lvlText w:val="%1.%2.%3.%4.%5.%6.%7."/>
      <w:lvlJc w:val="left"/>
      <w:pPr>
        <w:ind w:left="6129" w:hanging="1440"/>
      </w:pPr>
    </w:lvl>
    <w:lvl w:ilvl="7">
      <w:start w:val="1"/>
      <w:numFmt w:val="decimal"/>
      <w:isLgl/>
      <w:lvlText w:val="%1.%2.%3.%4.%5.%6.%7.%8."/>
      <w:lvlJc w:val="left"/>
      <w:pPr>
        <w:ind w:left="6696" w:hanging="1440"/>
      </w:pPr>
    </w:lvl>
    <w:lvl w:ilvl="8">
      <w:start w:val="1"/>
      <w:numFmt w:val="decimal"/>
      <w:isLgl/>
      <w:lvlText w:val="%1.%2.%3.%4.%5.%6.%7.%8.%9."/>
      <w:lvlJc w:val="left"/>
      <w:pPr>
        <w:ind w:left="7623" w:hanging="1800"/>
      </w:pPr>
    </w:lvl>
  </w:abstractNum>
  <w:abstractNum w:abstractNumId="3">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5">
    <w:nsid w:val="0CF243EC"/>
    <w:multiLevelType w:val="hybridMultilevel"/>
    <w:tmpl w:val="30382CCE"/>
    <w:lvl w:ilvl="0" w:tplc="F830D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3D30B3A"/>
    <w:multiLevelType w:val="hybridMultilevel"/>
    <w:tmpl w:val="7E5E40CA"/>
    <w:lvl w:ilvl="0" w:tplc="C142901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3519B4"/>
    <w:multiLevelType w:val="hybridMultilevel"/>
    <w:tmpl w:val="BAF2892C"/>
    <w:lvl w:ilvl="0" w:tplc="349E14F8">
      <w:start w:val="1"/>
      <w:numFmt w:val="decimal"/>
      <w:lvlText w:val="%1."/>
      <w:lvlJc w:val="left"/>
      <w:pPr>
        <w:ind w:left="3447" w:hanging="13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C97EFF"/>
    <w:multiLevelType w:val="hybridMultilevel"/>
    <w:tmpl w:val="410CD122"/>
    <w:lvl w:ilvl="0" w:tplc="93A25CD8">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EB575E0"/>
    <w:multiLevelType w:val="hybridMultilevel"/>
    <w:tmpl w:val="4BC2B1F0"/>
    <w:lvl w:ilvl="0" w:tplc="111E2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7F6657"/>
    <w:multiLevelType w:val="hybridMultilevel"/>
    <w:tmpl w:val="D6DC72A0"/>
    <w:lvl w:ilvl="0" w:tplc="BE34564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45C720A2"/>
    <w:multiLevelType w:val="hybridMultilevel"/>
    <w:tmpl w:val="AF7814CA"/>
    <w:lvl w:ilvl="0" w:tplc="AFAE16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95F0E75"/>
    <w:multiLevelType w:val="multilevel"/>
    <w:tmpl w:val="627CBCB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1F44D38"/>
    <w:multiLevelType w:val="hybridMultilevel"/>
    <w:tmpl w:val="3FD6537A"/>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37461CA"/>
    <w:multiLevelType w:val="hybridMultilevel"/>
    <w:tmpl w:val="23FA87FE"/>
    <w:lvl w:ilvl="0" w:tplc="BE34564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30">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A52460"/>
    <w:multiLevelType w:val="hybridMultilevel"/>
    <w:tmpl w:val="4B6CC66A"/>
    <w:lvl w:ilvl="0" w:tplc="93A25C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7BD61587"/>
    <w:multiLevelType w:val="multilevel"/>
    <w:tmpl w:val="7BD61587"/>
    <w:lvl w:ilvl="0">
      <w:start w:val="1"/>
      <w:numFmt w:val="bullet"/>
      <w:lvlText w:val=""/>
      <w:lvlJc w:val="left"/>
      <w:pPr>
        <w:ind w:left="2345" w:hanging="360"/>
      </w:pPr>
      <w:rPr>
        <w:rFonts w:ascii="Symbol" w:hAnsi="Symbol" w:hint="default"/>
      </w:rPr>
    </w:lvl>
    <w:lvl w:ilvl="1">
      <w:start w:val="1"/>
      <w:numFmt w:val="bullet"/>
      <w:lvlText w:val="o"/>
      <w:lvlJc w:val="left"/>
      <w:pPr>
        <w:ind w:left="3065" w:hanging="360"/>
      </w:pPr>
      <w:rPr>
        <w:rFonts w:ascii="Courier New" w:hAnsi="Courier New" w:cs="Courier New" w:hint="default"/>
      </w:rPr>
    </w:lvl>
    <w:lvl w:ilvl="2">
      <w:start w:val="1"/>
      <w:numFmt w:val="bullet"/>
      <w:lvlText w:val=""/>
      <w:lvlJc w:val="left"/>
      <w:pPr>
        <w:ind w:left="3785" w:hanging="360"/>
      </w:pPr>
      <w:rPr>
        <w:rFonts w:ascii="Wingdings" w:hAnsi="Wingdings" w:hint="default"/>
      </w:rPr>
    </w:lvl>
    <w:lvl w:ilvl="3">
      <w:start w:val="1"/>
      <w:numFmt w:val="bullet"/>
      <w:lvlText w:val=""/>
      <w:lvlJc w:val="left"/>
      <w:pPr>
        <w:ind w:left="4505" w:hanging="360"/>
      </w:pPr>
      <w:rPr>
        <w:rFonts w:ascii="Symbol" w:hAnsi="Symbol" w:hint="default"/>
      </w:rPr>
    </w:lvl>
    <w:lvl w:ilvl="4">
      <w:start w:val="1"/>
      <w:numFmt w:val="bullet"/>
      <w:lvlText w:val="o"/>
      <w:lvlJc w:val="left"/>
      <w:pPr>
        <w:ind w:left="5225" w:hanging="360"/>
      </w:pPr>
      <w:rPr>
        <w:rFonts w:ascii="Courier New" w:hAnsi="Courier New" w:cs="Courier New" w:hint="default"/>
      </w:rPr>
    </w:lvl>
    <w:lvl w:ilvl="5">
      <w:start w:val="1"/>
      <w:numFmt w:val="bullet"/>
      <w:lvlText w:val=""/>
      <w:lvlJc w:val="left"/>
      <w:pPr>
        <w:ind w:left="5945" w:hanging="360"/>
      </w:pPr>
      <w:rPr>
        <w:rFonts w:ascii="Wingdings" w:hAnsi="Wingdings" w:hint="default"/>
      </w:rPr>
    </w:lvl>
    <w:lvl w:ilvl="6">
      <w:start w:val="1"/>
      <w:numFmt w:val="bullet"/>
      <w:lvlText w:val=""/>
      <w:lvlJc w:val="left"/>
      <w:pPr>
        <w:ind w:left="6665" w:hanging="360"/>
      </w:pPr>
      <w:rPr>
        <w:rFonts w:ascii="Symbol" w:hAnsi="Symbol" w:hint="default"/>
      </w:rPr>
    </w:lvl>
    <w:lvl w:ilvl="7">
      <w:start w:val="1"/>
      <w:numFmt w:val="bullet"/>
      <w:lvlText w:val="o"/>
      <w:lvlJc w:val="left"/>
      <w:pPr>
        <w:ind w:left="7385" w:hanging="360"/>
      </w:pPr>
      <w:rPr>
        <w:rFonts w:ascii="Courier New" w:hAnsi="Courier New" w:cs="Courier New" w:hint="default"/>
      </w:rPr>
    </w:lvl>
    <w:lvl w:ilvl="8">
      <w:start w:val="1"/>
      <w:numFmt w:val="bullet"/>
      <w:lvlText w:val=""/>
      <w:lvlJc w:val="left"/>
      <w:pPr>
        <w:ind w:left="8105" w:hanging="360"/>
      </w:pPr>
      <w:rPr>
        <w:rFonts w:ascii="Wingdings" w:hAnsi="Wingdings" w:hint="default"/>
      </w:rPr>
    </w:lvl>
  </w:abstractNum>
  <w:abstractNum w:abstractNumId="36">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9"/>
  </w:num>
  <w:num w:numId="2">
    <w:abstractNumId w:val="36"/>
  </w:num>
  <w:num w:numId="3">
    <w:abstractNumId w:val="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28"/>
  </w:num>
  <w:num w:numId="8">
    <w:abstractNumId w:val="34"/>
  </w:num>
  <w:num w:numId="9">
    <w:abstractNumId w:val="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8"/>
  </w:num>
  <w:num w:numId="14">
    <w:abstractNumId w:val="21"/>
  </w:num>
  <w:num w:numId="15">
    <w:abstractNumId w:val="32"/>
  </w:num>
  <w:num w:numId="16">
    <w:abstractNumId w:val="27"/>
  </w:num>
  <w:num w:numId="17">
    <w:abstractNumId w:val="18"/>
  </w:num>
  <w:num w:numId="18">
    <w:abstractNumId w:val="10"/>
  </w:num>
  <w:num w:numId="19">
    <w:abstractNumId w:val="15"/>
  </w:num>
  <w:num w:numId="20">
    <w:abstractNumId w:val="26"/>
  </w:num>
  <w:num w:numId="21">
    <w:abstractNumId w:val="13"/>
  </w:num>
  <w:num w:numId="22">
    <w:abstractNumId w:val="24"/>
  </w:num>
  <w:num w:numId="23">
    <w:abstractNumId w:val="14"/>
  </w:num>
  <w:num w:numId="24">
    <w:abstractNumId w:val="1"/>
  </w:num>
  <w:num w:numId="25">
    <w:abstractNumId w:val="5"/>
  </w:num>
  <w:num w:numId="26">
    <w:abstractNumId w:val="0"/>
  </w:num>
  <w:num w:numId="27">
    <w:abstractNumId w:val="12"/>
  </w:num>
  <w:num w:numId="28">
    <w:abstractNumId w:val="22"/>
  </w:num>
  <w:num w:numId="29">
    <w:abstractNumId w:val="33"/>
  </w:num>
  <w:num w:numId="30">
    <w:abstractNumId w:val="6"/>
  </w:num>
  <w:num w:numId="31">
    <w:abstractNumId w:val="35"/>
  </w:num>
  <w:num w:numId="32">
    <w:abstractNumId w:val="17"/>
  </w:num>
  <w:num w:numId="33">
    <w:abstractNumId w:val="11"/>
  </w:num>
  <w:num w:numId="34">
    <w:abstractNumId w:val="3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34F9"/>
    <w:rsid w:val="000064CF"/>
    <w:rsid w:val="0000686F"/>
    <w:rsid w:val="000137F0"/>
    <w:rsid w:val="00015145"/>
    <w:rsid w:val="000277EB"/>
    <w:rsid w:val="000301BD"/>
    <w:rsid w:val="00030E80"/>
    <w:rsid w:val="00034065"/>
    <w:rsid w:val="00035973"/>
    <w:rsid w:val="00035D7B"/>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843"/>
    <w:rsid w:val="000949BD"/>
    <w:rsid w:val="0009775D"/>
    <w:rsid w:val="000A4B37"/>
    <w:rsid w:val="000A6172"/>
    <w:rsid w:val="000B2498"/>
    <w:rsid w:val="000B292B"/>
    <w:rsid w:val="000B6D4C"/>
    <w:rsid w:val="000B793E"/>
    <w:rsid w:val="000C03C8"/>
    <w:rsid w:val="000C2866"/>
    <w:rsid w:val="000C7F31"/>
    <w:rsid w:val="000D61F7"/>
    <w:rsid w:val="000E6693"/>
    <w:rsid w:val="000E6C4A"/>
    <w:rsid w:val="00100123"/>
    <w:rsid w:val="00102665"/>
    <w:rsid w:val="00102CEC"/>
    <w:rsid w:val="00102ED2"/>
    <w:rsid w:val="0010702C"/>
    <w:rsid w:val="00110AC3"/>
    <w:rsid w:val="00113A9D"/>
    <w:rsid w:val="00147B89"/>
    <w:rsid w:val="00150B76"/>
    <w:rsid w:val="001512A5"/>
    <w:rsid w:val="00151E68"/>
    <w:rsid w:val="0015450E"/>
    <w:rsid w:val="001674F2"/>
    <w:rsid w:val="00174CA1"/>
    <w:rsid w:val="00174DB7"/>
    <w:rsid w:val="00175CED"/>
    <w:rsid w:val="0017733A"/>
    <w:rsid w:val="00181BF3"/>
    <w:rsid w:val="00181D4D"/>
    <w:rsid w:val="00181F32"/>
    <w:rsid w:val="00186589"/>
    <w:rsid w:val="00190A38"/>
    <w:rsid w:val="0019314A"/>
    <w:rsid w:val="001938D2"/>
    <w:rsid w:val="001A1815"/>
    <w:rsid w:val="001A211D"/>
    <w:rsid w:val="001A269F"/>
    <w:rsid w:val="001A68A8"/>
    <w:rsid w:val="001C1817"/>
    <w:rsid w:val="001C3FF6"/>
    <w:rsid w:val="001C5116"/>
    <w:rsid w:val="001C6E2F"/>
    <w:rsid w:val="001D267C"/>
    <w:rsid w:val="001E449B"/>
    <w:rsid w:val="001F100B"/>
    <w:rsid w:val="001F29F1"/>
    <w:rsid w:val="001F2F0F"/>
    <w:rsid w:val="001F414F"/>
    <w:rsid w:val="001F742F"/>
    <w:rsid w:val="0020423A"/>
    <w:rsid w:val="00207C1F"/>
    <w:rsid w:val="00211B49"/>
    <w:rsid w:val="0021547D"/>
    <w:rsid w:val="00217DC7"/>
    <w:rsid w:val="00222418"/>
    <w:rsid w:val="00230516"/>
    <w:rsid w:val="00230A1D"/>
    <w:rsid w:val="002339C5"/>
    <w:rsid w:val="00236CD7"/>
    <w:rsid w:val="002476A2"/>
    <w:rsid w:val="00252198"/>
    <w:rsid w:val="002524C2"/>
    <w:rsid w:val="00262B8E"/>
    <w:rsid w:val="00262C82"/>
    <w:rsid w:val="00264EE1"/>
    <w:rsid w:val="002672CB"/>
    <w:rsid w:val="00267E21"/>
    <w:rsid w:val="00271547"/>
    <w:rsid w:val="0027284C"/>
    <w:rsid w:val="00273544"/>
    <w:rsid w:val="00273BD2"/>
    <w:rsid w:val="00283F36"/>
    <w:rsid w:val="002853CF"/>
    <w:rsid w:val="0028579F"/>
    <w:rsid w:val="00293AF9"/>
    <w:rsid w:val="002C07D9"/>
    <w:rsid w:val="002C5B81"/>
    <w:rsid w:val="002D04FB"/>
    <w:rsid w:val="002D0AF6"/>
    <w:rsid w:val="002E3293"/>
    <w:rsid w:val="002E3372"/>
    <w:rsid w:val="002E4504"/>
    <w:rsid w:val="002E7787"/>
    <w:rsid w:val="002F0C90"/>
    <w:rsid w:val="002F5643"/>
    <w:rsid w:val="002F7851"/>
    <w:rsid w:val="003042C4"/>
    <w:rsid w:val="00310AE0"/>
    <w:rsid w:val="00315EEF"/>
    <w:rsid w:val="00324EED"/>
    <w:rsid w:val="00334250"/>
    <w:rsid w:val="00335AB5"/>
    <w:rsid w:val="00340099"/>
    <w:rsid w:val="00341E04"/>
    <w:rsid w:val="00353E00"/>
    <w:rsid w:val="00356705"/>
    <w:rsid w:val="00362392"/>
    <w:rsid w:val="00370909"/>
    <w:rsid w:val="00370D57"/>
    <w:rsid w:val="003768AC"/>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D2E03"/>
    <w:rsid w:val="003E55E7"/>
    <w:rsid w:val="003E5A74"/>
    <w:rsid w:val="003E7C83"/>
    <w:rsid w:val="003F081D"/>
    <w:rsid w:val="003F3FC6"/>
    <w:rsid w:val="00401E5C"/>
    <w:rsid w:val="00410FAC"/>
    <w:rsid w:val="004118FC"/>
    <w:rsid w:val="00412FA2"/>
    <w:rsid w:val="0041444D"/>
    <w:rsid w:val="00414B01"/>
    <w:rsid w:val="004268A5"/>
    <w:rsid w:val="004271A1"/>
    <w:rsid w:val="00427593"/>
    <w:rsid w:val="0043607E"/>
    <w:rsid w:val="00447FE6"/>
    <w:rsid w:val="00451273"/>
    <w:rsid w:val="00456648"/>
    <w:rsid w:val="00462E68"/>
    <w:rsid w:val="00463003"/>
    <w:rsid w:val="004649EB"/>
    <w:rsid w:val="00465DE5"/>
    <w:rsid w:val="00466942"/>
    <w:rsid w:val="0047135E"/>
    <w:rsid w:val="00473802"/>
    <w:rsid w:val="00473BF9"/>
    <w:rsid w:val="0047755F"/>
    <w:rsid w:val="00485F6E"/>
    <w:rsid w:val="0048693C"/>
    <w:rsid w:val="004A3C0A"/>
    <w:rsid w:val="004A3F1A"/>
    <w:rsid w:val="004A64E7"/>
    <w:rsid w:val="004B0782"/>
    <w:rsid w:val="004B191C"/>
    <w:rsid w:val="004B347B"/>
    <w:rsid w:val="004C0143"/>
    <w:rsid w:val="004C116C"/>
    <w:rsid w:val="004C360E"/>
    <w:rsid w:val="004C3F09"/>
    <w:rsid w:val="004C4178"/>
    <w:rsid w:val="004C6E09"/>
    <w:rsid w:val="004D0A10"/>
    <w:rsid w:val="004E2154"/>
    <w:rsid w:val="004E2C77"/>
    <w:rsid w:val="004E35E5"/>
    <w:rsid w:val="004F3A3D"/>
    <w:rsid w:val="005010B2"/>
    <w:rsid w:val="0050264C"/>
    <w:rsid w:val="00503415"/>
    <w:rsid w:val="00504AFD"/>
    <w:rsid w:val="005065A4"/>
    <w:rsid w:val="00515FCE"/>
    <w:rsid w:val="00520414"/>
    <w:rsid w:val="0052099A"/>
    <w:rsid w:val="00522274"/>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57C9"/>
    <w:rsid w:val="00576EDF"/>
    <w:rsid w:val="0058180F"/>
    <w:rsid w:val="00591D17"/>
    <w:rsid w:val="00593C83"/>
    <w:rsid w:val="00596AAD"/>
    <w:rsid w:val="005B132A"/>
    <w:rsid w:val="005B2A72"/>
    <w:rsid w:val="005B384C"/>
    <w:rsid w:val="005B57C8"/>
    <w:rsid w:val="005B6B08"/>
    <w:rsid w:val="005C0C82"/>
    <w:rsid w:val="005C5306"/>
    <w:rsid w:val="005D13EC"/>
    <w:rsid w:val="005D3BD4"/>
    <w:rsid w:val="005D4BBE"/>
    <w:rsid w:val="005F268F"/>
    <w:rsid w:val="005F2896"/>
    <w:rsid w:val="00606AFA"/>
    <w:rsid w:val="00610136"/>
    <w:rsid w:val="00615F0C"/>
    <w:rsid w:val="006208AA"/>
    <w:rsid w:val="006218E7"/>
    <w:rsid w:val="00626A32"/>
    <w:rsid w:val="00630F85"/>
    <w:rsid w:val="006340C7"/>
    <w:rsid w:val="006376B4"/>
    <w:rsid w:val="00637B5E"/>
    <w:rsid w:val="006479A0"/>
    <w:rsid w:val="00657A22"/>
    <w:rsid w:val="00662303"/>
    <w:rsid w:val="006629F6"/>
    <w:rsid w:val="006651B9"/>
    <w:rsid w:val="0066587A"/>
    <w:rsid w:val="00670278"/>
    <w:rsid w:val="00671CC5"/>
    <w:rsid w:val="006732ED"/>
    <w:rsid w:val="0067528C"/>
    <w:rsid w:val="00675A8B"/>
    <w:rsid w:val="00690DA4"/>
    <w:rsid w:val="00691745"/>
    <w:rsid w:val="006923ED"/>
    <w:rsid w:val="00693F4E"/>
    <w:rsid w:val="00694117"/>
    <w:rsid w:val="0069698E"/>
    <w:rsid w:val="006A3BBE"/>
    <w:rsid w:val="006A5EB4"/>
    <w:rsid w:val="006B54D8"/>
    <w:rsid w:val="006B6625"/>
    <w:rsid w:val="006B7720"/>
    <w:rsid w:val="006C3F8F"/>
    <w:rsid w:val="006C3FC4"/>
    <w:rsid w:val="006C6386"/>
    <w:rsid w:val="006C7FD6"/>
    <w:rsid w:val="006D00A4"/>
    <w:rsid w:val="006D357B"/>
    <w:rsid w:val="006E2C97"/>
    <w:rsid w:val="006E56E3"/>
    <w:rsid w:val="006E6693"/>
    <w:rsid w:val="006E7BB8"/>
    <w:rsid w:val="006F1364"/>
    <w:rsid w:val="006F54B2"/>
    <w:rsid w:val="006F70A3"/>
    <w:rsid w:val="0070141D"/>
    <w:rsid w:val="007068DC"/>
    <w:rsid w:val="00725F00"/>
    <w:rsid w:val="00726C0D"/>
    <w:rsid w:val="00737365"/>
    <w:rsid w:val="00742F8D"/>
    <w:rsid w:val="00745585"/>
    <w:rsid w:val="00750E43"/>
    <w:rsid w:val="00757CCA"/>
    <w:rsid w:val="0076398B"/>
    <w:rsid w:val="00764D5A"/>
    <w:rsid w:val="007660C9"/>
    <w:rsid w:val="00771B42"/>
    <w:rsid w:val="00772D93"/>
    <w:rsid w:val="0077531F"/>
    <w:rsid w:val="00784053"/>
    <w:rsid w:val="00784702"/>
    <w:rsid w:val="00790FF1"/>
    <w:rsid w:val="007921B5"/>
    <w:rsid w:val="0079386D"/>
    <w:rsid w:val="00796DE0"/>
    <w:rsid w:val="007A0214"/>
    <w:rsid w:val="007B37CA"/>
    <w:rsid w:val="007B5DD0"/>
    <w:rsid w:val="007C2BFE"/>
    <w:rsid w:val="007D340D"/>
    <w:rsid w:val="007D42E6"/>
    <w:rsid w:val="007D776C"/>
    <w:rsid w:val="007E5863"/>
    <w:rsid w:val="007E5A1F"/>
    <w:rsid w:val="008018D0"/>
    <w:rsid w:val="0080253E"/>
    <w:rsid w:val="00802AFD"/>
    <w:rsid w:val="00803D70"/>
    <w:rsid w:val="00804CFB"/>
    <w:rsid w:val="008064A2"/>
    <w:rsid w:val="008069CD"/>
    <w:rsid w:val="00806B96"/>
    <w:rsid w:val="00817FB8"/>
    <w:rsid w:val="00822448"/>
    <w:rsid w:val="00827C6C"/>
    <w:rsid w:val="00832278"/>
    <w:rsid w:val="00834454"/>
    <w:rsid w:val="00843EBE"/>
    <w:rsid w:val="008465E8"/>
    <w:rsid w:val="00847CC3"/>
    <w:rsid w:val="008536F3"/>
    <w:rsid w:val="00866AD7"/>
    <w:rsid w:val="00876CAB"/>
    <w:rsid w:val="00884BA4"/>
    <w:rsid w:val="00884C58"/>
    <w:rsid w:val="00885A4A"/>
    <w:rsid w:val="00887937"/>
    <w:rsid w:val="008A156D"/>
    <w:rsid w:val="008A5F9F"/>
    <w:rsid w:val="008B4AF5"/>
    <w:rsid w:val="008B720C"/>
    <w:rsid w:val="008B75D9"/>
    <w:rsid w:val="008B7CF2"/>
    <w:rsid w:val="008C042F"/>
    <w:rsid w:val="008D0D47"/>
    <w:rsid w:val="008D0F15"/>
    <w:rsid w:val="008D1B66"/>
    <w:rsid w:val="008E1C37"/>
    <w:rsid w:val="008E24DC"/>
    <w:rsid w:val="008E343B"/>
    <w:rsid w:val="008E7EDA"/>
    <w:rsid w:val="008F0C67"/>
    <w:rsid w:val="00902327"/>
    <w:rsid w:val="00906527"/>
    <w:rsid w:val="0091037F"/>
    <w:rsid w:val="00910440"/>
    <w:rsid w:val="009162A7"/>
    <w:rsid w:val="009162DA"/>
    <w:rsid w:val="00917700"/>
    <w:rsid w:val="00925ECE"/>
    <w:rsid w:val="0092634E"/>
    <w:rsid w:val="00945A23"/>
    <w:rsid w:val="00946ADC"/>
    <w:rsid w:val="00947799"/>
    <w:rsid w:val="00950173"/>
    <w:rsid w:val="00950A6E"/>
    <w:rsid w:val="009541AA"/>
    <w:rsid w:val="0095422B"/>
    <w:rsid w:val="00956EEA"/>
    <w:rsid w:val="00957A06"/>
    <w:rsid w:val="00960CB6"/>
    <w:rsid w:val="009634F9"/>
    <w:rsid w:val="009643B0"/>
    <w:rsid w:val="00966575"/>
    <w:rsid w:val="00971250"/>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E3FD1"/>
    <w:rsid w:val="009E75E7"/>
    <w:rsid w:val="009F131D"/>
    <w:rsid w:val="009F2C7F"/>
    <w:rsid w:val="009F77AE"/>
    <w:rsid w:val="00A00FE4"/>
    <w:rsid w:val="00A01D42"/>
    <w:rsid w:val="00A02F26"/>
    <w:rsid w:val="00A0421C"/>
    <w:rsid w:val="00A06490"/>
    <w:rsid w:val="00A14BD5"/>
    <w:rsid w:val="00A17C95"/>
    <w:rsid w:val="00A23C58"/>
    <w:rsid w:val="00A26D02"/>
    <w:rsid w:val="00A32482"/>
    <w:rsid w:val="00A33801"/>
    <w:rsid w:val="00A342A8"/>
    <w:rsid w:val="00A41D7A"/>
    <w:rsid w:val="00A423D8"/>
    <w:rsid w:val="00A4262F"/>
    <w:rsid w:val="00A43114"/>
    <w:rsid w:val="00A525DD"/>
    <w:rsid w:val="00A53A61"/>
    <w:rsid w:val="00A6055A"/>
    <w:rsid w:val="00A64548"/>
    <w:rsid w:val="00A658B7"/>
    <w:rsid w:val="00A73314"/>
    <w:rsid w:val="00A75A23"/>
    <w:rsid w:val="00A83083"/>
    <w:rsid w:val="00A8315D"/>
    <w:rsid w:val="00A833E0"/>
    <w:rsid w:val="00A8570A"/>
    <w:rsid w:val="00A8662B"/>
    <w:rsid w:val="00A94DE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318E"/>
    <w:rsid w:val="00AD339B"/>
    <w:rsid w:val="00AD6195"/>
    <w:rsid w:val="00AE001D"/>
    <w:rsid w:val="00AE1D47"/>
    <w:rsid w:val="00AE592F"/>
    <w:rsid w:val="00AE5EEB"/>
    <w:rsid w:val="00AF0BE9"/>
    <w:rsid w:val="00B00CF1"/>
    <w:rsid w:val="00B03A77"/>
    <w:rsid w:val="00B06DEC"/>
    <w:rsid w:val="00B1374E"/>
    <w:rsid w:val="00B150D4"/>
    <w:rsid w:val="00B173E4"/>
    <w:rsid w:val="00B21B80"/>
    <w:rsid w:val="00B26A62"/>
    <w:rsid w:val="00B30208"/>
    <w:rsid w:val="00B308D6"/>
    <w:rsid w:val="00B31BA4"/>
    <w:rsid w:val="00B31F9F"/>
    <w:rsid w:val="00B32C3D"/>
    <w:rsid w:val="00B4497A"/>
    <w:rsid w:val="00B55ABA"/>
    <w:rsid w:val="00B62729"/>
    <w:rsid w:val="00B731B4"/>
    <w:rsid w:val="00B73526"/>
    <w:rsid w:val="00B8457A"/>
    <w:rsid w:val="00B8486A"/>
    <w:rsid w:val="00B854A8"/>
    <w:rsid w:val="00B86551"/>
    <w:rsid w:val="00B86D23"/>
    <w:rsid w:val="00B86D30"/>
    <w:rsid w:val="00B87002"/>
    <w:rsid w:val="00B872E8"/>
    <w:rsid w:val="00B911BA"/>
    <w:rsid w:val="00B942FC"/>
    <w:rsid w:val="00B96B60"/>
    <w:rsid w:val="00BA20E7"/>
    <w:rsid w:val="00BA4212"/>
    <w:rsid w:val="00BA5A30"/>
    <w:rsid w:val="00BB13D9"/>
    <w:rsid w:val="00BC0D42"/>
    <w:rsid w:val="00BC172E"/>
    <w:rsid w:val="00BC1905"/>
    <w:rsid w:val="00BD0351"/>
    <w:rsid w:val="00BD4C16"/>
    <w:rsid w:val="00BD50D3"/>
    <w:rsid w:val="00BE2600"/>
    <w:rsid w:val="00BE4E6F"/>
    <w:rsid w:val="00BF6CDF"/>
    <w:rsid w:val="00C007C7"/>
    <w:rsid w:val="00C06793"/>
    <w:rsid w:val="00C10AF5"/>
    <w:rsid w:val="00C2349C"/>
    <w:rsid w:val="00C2375A"/>
    <w:rsid w:val="00C25B38"/>
    <w:rsid w:val="00C306BE"/>
    <w:rsid w:val="00C34509"/>
    <w:rsid w:val="00C3474D"/>
    <w:rsid w:val="00C433FF"/>
    <w:rsid w:val="00C45974"/>
    <w:rsid w:val="00C530BA"/>
    <w:rsid w:val="00C57BF7"/>
    <w:rsid w:val="00C6399E"/>
    <w:rsid w:val="00C64358"/>
    <w:rsid w:val="00C645A4"/>
    <w:rsid w:val="00C81296"/>
    <w:rsid w:val="00C8155C"/>
    <w:rsid w:val="00C828F9"/>
    <w:rsid w:val="00C82BB3"/>
    <w:rsid w:val="00C8449F"/>
    <w:rsid w:val="00C875E3"/>
    <w:rsid w:val="00C92030"/>
    <w:rsid w:val="00C97D8E"/>
    <w:rsid w:val="00CA4CA8"/>
    <w:rsid w:val="00CA63C7"/>
    <w:rsid w:val="00CB07AC"/>
    <w:rsid w:val="00CB2DB7"/>
    <w:rsid w:val="00CB5495"/>
    <w:rsid w:val="00CC64E9"/>
    <w:rsid w:val="00CC6A50"/>
    <w:rsid w:val="00CD0B04"/>
    <w:rsid w:val="00CD1ACA"/>
    <w:rsid w:val="00CD2D4F"/>
    <w:rsid w:val="00CD3A4E"/>
    <w:rsid w:val="00CE0328"/>
    <w:rsid w:val="00CE5B58"/>
    <w:rsid w:val="00CE7A74"/>
    <w:rsid w:val="00CF12C1"/>
    <w:rsid w:val="00CF4FEE"/>
    <w:rsid w:val="00D07894"/>
    <w:rsid w:val="00D116AE"/>
    <w:rsid w:val="00D13CE4"/>
    <w:rsid w:val="00D2174F"/>
    <w:rsid w:val="00D22BDC"/>
    <w:rsid w:val="00D26BA2"/>
    <w:rsid w:val="00D270C4"/>
    <w:rsid w:val="00D303A6"/>
    <w:rsid w:val="00D32096"/>
    <w:rsid w:val="00D323A6"/>
    <w:rsid w:val="00D327E6"/>
    <w:rsid w:val="00D330F6"/>
    <w:rsid w:val="00D37CFC"/>
    <w:rsid w:val="00D43B0B"/>
    <w:rsid w:val="00D51D69"/>
    <w:rsid w:val="00D6543B"/>
    <w:rsid w:val="00D65A0C"/>
    <w:rsid w:val="00D6711F"/>
    <w:rsid w:val="00D6783D"/>
    <w:rsid w:val="00D72A8C"/>
    <w:rsid w:val="00D81313"/>
    <w:rsid w:val="00D81CFF"/>
    <w:rsid w:val="00D86FA6"/>
    <w:rsid w:val="00D871F9"/>
    <w:rsid w:val="00D913B7"/>
    <w:rsid w:val="00D937E2"/>
    <w:rsid w:val="00D97388"/>
    <w:rsid w:val="00DB156E"/>
    <w:rsid w:val="00DB2BAD"/>
    <w:rsid w:val="00DC690C"/>
    <w:rsid w:val="00DC70E0"/>
    <w:rsid w:val="00DC7CDD"/>
    <w:rsid w:val="00DD26C2"/>
    <w:rsid w:val="00DD3D8E"/>
    <w:rsid w:val="00DE1256"/>
    <w:rsid w:val="00DE195F"/>
    <w:rsid w:val="00DE310B"/>
    <w:rsid w:val="00DE36BB"/>
    <w:rsid w:val="00DE58A7"/>
    <w:rsid w:val="00DE63F9"/>
    <w:rsid w:val="00DF0829"/>
    <w:rsid w:val="00DF2186"/>
    <w:rsid w:val="00DF497E"/>
    <w:rsid w:val="00E22906"/>
    <w:rsid w:val="00E2741D"/>
    <w:rsid w:val="00E330EB"/>
    <w:rsid w:val="00E34193"/>
    <w:rsid w:val="00E363CB"/>
    <w:rsid w:val="00E40365"/>
    <w:rsid w:val="00E424F9"/>
    <w:rsid w:val="00E454AF"/>
    <w:rsid w:val="00E51103"/>
    <w:rsid w:val="00E55D61"/>
    <w:rsid w:val="00E566D5"/>
    <w:rsid w:val="00E56940"/>
    <w:rsid w:val="00E623C2"/>
    <w:rsid w:val="00E65D99"/>
    <w:rsid w:val="00E84606"/>
    <w:rsid w:val="00E86E4E"/>
    <w:rsid w:val="00E95F9F"/>
    <w:rsid w:val="00EA2A52"/>
    <w:rsid w:val="00EA6678"/>
    <w:rsid w:val="00EB1E8D"/>
    <w:rsid w:val="00EB56EB"/>
    <w:rsid w:val="00EB7064"/>
    <w:rsid w:val="00EB77D5"/>
    <w:rsid w:val="00EB7A7F"/>
    <w:rsid w:val="00EC77B9"/>
    <w:rsid w:val="00ED3715"/>
    <w:rsid w:val="00EE40BF"/>
    <w:rsid w:val="00EE48B6"/>
    <w:rsid w:val="00EF043D"/>
    <w:rsid w:val="00EF2F65"/>
    <w:rsid w:val="00F07056"/>
    <w:rsid w:val="00F07C93"/>
    <w:rsid w:val="00F16252"/>
    <w:rsid w:val="00F164B6"/>
    <w:rsid w:val="00F23C80"/>
    <w:rsid w:val="00F24F21"/>
    <w:rsid w:val="00F31207"/>
    <w:rsid w:val="00F35018"/>
    <w:rsid w:val="00F36FBC"/>
    <w:rsid w:val="00F37033"/>
    <w:rsid w:val="00F37527"/>
    <w:rsid w:val="00F378D1"/>
    <w:rsid w:val="00F43C50"/>
    <w:rsid w:val="00F5082F"/>
    <w:rsid w:val="00F57773"/>
    <w:rsid w:val="00F620F1"/>
    <w:rsid w:val="00F62C64"/>
    <w:rsid w:val="00F64F61"/>
    <w:rsid w:val="00F66464"/>
    <w:rsid w:val="00F66CD0"/>
    <w:rsid w:val="00F72658"/>
    <w:rsid w:val="00F81200"/>
    <w:rsid w:val="00F81A89"/>
    <w:rsid w:val="00F8260E"/>
    <w:rsid w:val="00F836FE"/>
    <w:rsid w:val="00F84FCF"/>
    <w:rsid w:val="00F925F7"/>
    <w:rsid w:val="00F92613"/>
    <w:rsid w:val="00F939D1"/>
    <w:rsid w:val="00F93FAF"/>
    <w:rsid w:val="00F9461C"/>
    <w:rsid w:val="00FA3885"/>
    <w:rsid w:val="00FB144C"/>
    <w:rsid w:val="00FB2BA8"/>
    <w:rsid w:val="00FC0647"/>
    <w:rsid w:val="00FC453A"/>
    <w:rsid w:val="00FD73D3"/>
    <w:rsid w:val="00FE0A3A"/>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A7"/>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A7"/>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mrsk-cp.ru/production_activities/investing_activities/investiong_programme/otchety-po-investitsionnoy-deyatelnos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s://minenergo.gov.ru/node/4178" TargetMode="External"/><Relationship Id="rId2" Type="http://schemas.openxmlformats.org/officeDocument/2006/relationships/numbering" Target="numbering.xml"/><Relationship Id="rId16" Type="http://schemas.openxmlformats.org/officeDocument/2006/relationships/hyperlink" Target="consultantplus://offline/ref=D521B6AFCD8A28B32EFA80456E84429F66FCF2E2ECB42852819539EF6BC0CC4BE74A331B64715179C6A5976D2731D5EC28750974B45BC664D6Z5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D521B6AFCD8A28B32EFA80456E84429F66FCF2E2ECB42852819539EF6BC0CC4BE74A331B64715179C6A5976D2731D5EC28750974B45BC664D6Z5J" TargetMode="Externa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0DE7DB5D8755D40545FBE059A0D6DB3045DB10894B991100D4DAEFD8A0C93906B92C940D9F70412F856E1BDE11A8451746E8BAAF0260DP6K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B20BA-7706-405A-A35C-D08D438D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6797</TotalTime>
  <Pages>24</Pages>
  <Words>13698</Words>
  <Characters>78083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91598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Кузьмичева</cp:lastModifiedBy>
  <cp:revision>226</cp:revision>
  <cp:lastPrinted>2022-11-07T08:17:00Z</cp:lastPrinted>
  <dcterms:created xsi:type="dcterms:W3CDTF">2020-11-06T12:27:00Z</dcterms:created>
  <dcterms:modified xsi:type="dcterms:W3CDTF">2022-12-07T13:54:00Z</dcterms:modified>
</cp:coreProperties>
</file>