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84C" w:rsidRPr="00D63A3D" w:rsidRDefault="005B384C" w:rsidP="005B384C">
      <w:pPr>
        <w:tabs>
          <w:tab w:val="left" w:pos="8789"/>
        </w:tabs>
        <w:jc w:val="right"/>
        <w:rPr>
          <w:b/>
          <w:sz w:val="24"/>
          <w:szCs w:val="24"/>
        </w:rPr>
      </w:pPr>
      <w:r w:rsidRPr="00D63A3D">
        <w:rPr>
          <w:b/>
          <w:sz w:val="24"/>
          <w:szCs w:val="24"/>
        </w:rPr>
        <w:t>Утверждаю</w:t>
      </w:r>
    </w:p>
    <w:p w:rsidR="005B384C" w:rsidRPr="00D63A3D" w:rsidRDefault="005B384C" w:rsidP="005B384C">
      <w:pPr>
        <w:tabs>
          <w:tab w:val="left" w:pos="8789"/>
        </w:tabs>
        <w:jc w:val="right"/>
        <w:rPr>
          <w:b/>
          <w:sz w:val="24"/>
          <w:szCs w:val="24"/>
        </w:rPr>
      </w:pPr>
      <w:r w:rsidRPr="00D63A3D">
        <w:rPr>
          <w:b/>
          <w:sz w:val="24"/>
          <w:szCs w:val="24"/>
        </w:rPr>
        <w:t>Председатель Правления</w:t>
      </w:r>
    </w:p>
    <w:p w:rsidR="005B384C" w:rsidRPr="00D63A3D" w:rsidRDefault="005B384C" w:rsidP="005B384C">
      <w:pPr>
        <w:tabs>
          <w:tab w:val="left" w:pos="8789"/>
        </w:tabs>
        <w:jc w:val="right"/>
        <w:rPr>
          <w:b/>
          <w:sz w:val="24"/>
          <w:szCs w:val="24"/>
        </w:rPr>
      </w:pPr>
      <w:r w:rsidRPr="00D63A3D">
        <w:rPr>
          <w:b/>
          <w:sz w:val="24"/>
          <w:szCs w:val="24"/>
        </w:rPr>
        <w:t>Департамента энергетики и тарифов</w:t>
      </w:r>
    </w:p>
    <w:p w:rsidR="005B384C" w:rsidRPr="00D63A3D" w:rsidRDefault="005B384C" w:rsidP="005B384C">
      <w:pPr>
        <w:tabs>
          <w:tab w:val="left" w:pos="8789"/>
        </w:tabs>
        <w:jc w:val="right"/>
        <w:rPr>
          <w:b/>
          <w:sz w:val="24"/>
          <w:szCs w:val="24"/>
        </w:rPr>
      </w:pPr>
      <w:r w:rsidRPr="00D63A3D">
        <w:rPr>
          <w:b/>
          <w:sz w:val="24"/>
          <w:szCs w:val="24"/>
        </w:rPr>
        <w:t>Ивановской области</w:t>
      </w:r>
    </w:p>
    <w:p w:rsidR="005B384C" w:rsidRPr="00D63A3D" w:rsidRDefault="005B384C" w:rsidP="005B384C">
      <w:pPr>
        <w:tabs>
          <w:tab w:val="left" w:pos="8789"/>
        </w:tabs>
        <w:jc w:val="right"/>
        <w:rPr>
          <w:b/>
          <w:sz w:val="24"/>
          <w:szCs w:val="24"/>
        </w:rPr>
      </w:pPr>
    </w:p>
    <w:p w:rsidR="005B384C" w:rsidRPr="00D63A3D" w:rsidRDefault="005B384C" w:rsidP="005B384C">
      <w:pPr>
        <w:tabs>
          <w:tab w:val="left" w:pos="8789"/>
        </w:tabs>
        <w:jc w:val="right"/>
        <w:rPr>
          <w:b/>
          <w:sz w:val="24"/>
          <w:szCs w:val="24"/>
          <w:u w:val="single"/>
        </w:rPr>
      </w:pPr>
      <w:r w:rsidRPr="00D63A3D">
        <w:rPr>
          <w:b/>
          <w:sz w:val="24"/>
          <w:szCs w:val="24"/>
        </w:rPr>
        <w:t>______________________Е.Н. Морева</w:t>
      </w:r>
    </w:p>
    <w:p w:rsidR="005B384C" w:rsidRPr="00D63A3D" w:rsidRDefault="005B384C" w:rsidP="005B384C">
      <w:pPr>
        <w:tabs>
          <w:tab w:val="left" w:pos="8789"/>
        </w:tabs>
        <w:jc w:val="center"/>
        <w:rPr>
          <w:b/>
          <w:sz w:val="24"/>
          <w:szCs w:val="24"/>
          <w:u w:val="single"/>
        </w:rPr>
      </w:pPr>
    </w:p>
    <w:p w:rsidR="005B384C" w:rsidRPr="00D63A3D" w:rsidRDefault="005B384C" w:rsidP="005B384C">
      <w:pPr>
        <w:tabs>
          <w:tab w:val="left" w:pos="8789"/>
        </w:tabs>
        <w:jc w:val="center"/>
        <w:rPr>
          <w:b/>
          <w:sz w:val="24"/>
          <w:szCs w:val="24"/>
          <w:u w:val="single"/>
        </w:rPr>
      </w:pPr>
      <w:proofErr w:type="gramStart"/>
      <w:r w:rsidRPr="00D63A3D">
        <w:rPr>
          <w:b/>
          <w:sz w:val="24"/>
          <w:szCs w:val="24"/>
          <w:u w:val="single"/>
        </w:rPr>
        <w:t>П</w:t>
      </w:r>
      <w:proofErr w:type="gramEnd"/>
      <w:r w:rsidRPr="00D63A3D">
        <w:rPr>
          <w:b/>
          <w:sz w:val="24"/>
          <w:szCs w:val="24"/>
          <w:u w:val="single"/>
        </w:rPr>
        <w:t xml:space="preserve"> Р О Т О К О Л    № </w:t>
      </w:r>
      <w:r w:rsidR="007F24F4">
        <w:rPr>
          <w:b/>
          <w:sz w:val="24"/>
          <w:szCs w:val="24"/>
          <w:u w:val="single"/>
        </w:rPr>
        <w:t>55</w:t>
      </w:r>
      <w:r w:rsidR="00C45974" w:rsidRPr="00D63A3D">
        <w:rPr>
          <w:b/>
          <w:sz w:val="24"/>
          <w:szCs w:val="24"/>
          <w:u w:val="single"/>
        </w:rPr>
        <w:t>/1</w:t>
      </w:r>
    </w:p>
    <w:p w:rsidR="005B384C" w:rsidRPr="00D63A3D" w:rsidRDefault="005B384C" w:rsidP="005B384C">
      <w:pPr>
        <w:tabs>
          <w:tab w:val="left" w:pos="8789"/>
        </w:tabs>
        <w:jc w:val="center"/>
        <w:rPr>
          <w:sz w:val="24"/>
          <w:szCs w:val="24"/>
        </w:rPr>
      </w:pPr>
      <w:r w:rsidRPr="00D63A3D">
        <w:rPr>
          <w:sz w:val="24"/>
          <w:szCs w:val="24"/>
        </w:rPr>
        <w:t>заседания Правления Департамента энергетики и тарифов Ивановской области</w:t>
      </w:r>
    </w:p>
    <w:p w:rsidR="005B384C" w:rsidRPr="00D63A3D" w:rsidRDefault="005B384C" w:rsidP="003A364D">
      <w:pPr>
        <w:spacing w:line="276" w:lineRule="auto"/>
        <w:jc w:val="center"/>
        <w:rPr>
          <w:sz w:val="24"/>
          <w:szCs w:val="24"/>
        </w:rPr>
      </w:pPr>
    </w:p>
    <w:p w:rsidR="005B384C" w:rsidRPr="00D63A3D" w:rsidRDefault="007F24F4" w:rsidP="005B384C">
      <w:pPr>
        <w:jc w:val="center"/>
        <w:rPr>
          <w:sz w:val="24"/>
          <w:szCs w:val="24"/>
        </w:rPr>
      </w:pPr>
      <w:r>
        <w:rPr>
          <w:sz w:val="24"/>
          <w:szCs w:val="24"/>
        </w:rPr>
        <w:t>10</w:t>
      </w:r>
      <w:r w:rsidR="00C45974" w:rsidRPr="00D63A3D">
        <w:rPr>
          <w:sz w:val="24"/>
          <w:szCs w:val="24"/>
        </w:rPr>
        <w:t xml:space="preserve"> </w:t>
      </w:r>
      <w:r>
        <w:rPr>
          <w:sz w:val="24"/>
          <w:szCs w:val="24"/>
        </w:rPr>
        <w:t>декабря</w:t>
      </w:r>
      <w:r w:rsidR="00CD1ACA" w:rsidRPr="00D63A3D">
        <w:rPr>
          <w:sz w:val="24"/>
          <w:szCs w:val="24"/>
        </w:rPr>
        <w:t xml:space="preserve"> </w:t>
      </w:r>
      <w:r w:rsidR="00C45974" w:rsidRPr="00D63A3D">
        <w:rPr>
          <w:sz w:val="24"/>
          <w:szCs w:val="24"/>
        </w:rPr>
        <w:t>202</w:t>
      </w:r>
      <w:r w:rsidR="00A423D8" w:rsidRPr="00D63A3D">
        <w:rPr>
          <w:sz w:val="24"/>
          <w:szCs w:val="24"/>
        </w:rPr>
        <w:t>1</w:t>
      </w:r>
      <w:r w:rsidR="00B173E4" w:rsidRPr="00D63A3D">
        <w:rPr>
          <w:sz w:val="24"/>
          <w:szCs w:val="24"/>
        </w:rPr>
        <w:t xml:space="preserve"> </w:t>
      </w:r>
      <w:r w:rsidR="005B384C" w:rsidRPr="00D63A3D">
        <w:rPr>
          <w:sz w:val="24"/>
          <w:szCs w:val="24"/>
        </w:rPr>
        <w:t>г.</w:t>
      </w:r>
      <w:r w:rsidR="005B384C" w:rsidRPr="00D63A3D">
        <w:rPr>
          <w:sz w:val="24"/>
          <w:szCs w:val="24"/>
        </w:rPr>
        <w:tab/>
        <w:t xml:space="preserve"> </w:t>
      </w:r>
      <w:r w:rsidR="005B384C" w:rsidRPr="00D63A3D">
        <w:rPr>
          <w:sz w:val="24"/>
          <w:szCs w:val="24"/>
        </w:rPr>
        <w:tab/>
      </w:r>
      <w:r w:rsidR="005B384C" w:rsidRPr="00D63A3D">
        <w:rPr>
          <w:sz w:val="24"/>
          <w:szCs w:val="24"/>
        </w:rPr>
        <w:tab/>
      </w:r>
      <w:r w:rsidR="005B384C" w:rsidRPr="00D63A3D">
        <w:rPr>
          <w:sz w:val="24"/>
          <w:szCs w:val="24"/>
        </w:rPr>
        <w:tab/>
      </w:r>
      <w:r w:rsidR="005B384C" w:rsidRPr="00D63A3D">
        <w:rPr>
          <w:sz w:val="24"/>
          <w:szCs w:val="24"/>
        </w:rPr>
        <w:tab/>
      </w:r>
      <w:r w:rsidR="005B384C" w:rsidRPr="00D63A3D">
        <w:rPr>
          <w:sz w:val="24"/>
          <w:szCs w:val="24"/>
        </w:rPr>
        <w:tab/>
      </w:r>
      <w:r w:rsidR="005B384C" w:rsidRPr="00D63A3D">
        <w:rPr>
          <w:sz w:val="24"/>
          <w:szCs w:val="24"/>
        </w:rPr>
        <w:tab/>
      </w:r>
      <w:r w:rsidR="005B384C" w:rsidRPr="00D63A3D">
        <w:rPr>
          <w:sz w:val="24"/>
          <w:szCs w:val="24"/>
        </w:rPr>
        <w:tab/>
        <w:t xml:space="preserve">  </w:t>
      </w:r>
      <w:r w:rsidR="005B384C" w:rsidRPr="00D63A3D">
        <w:rPr>
          <w:sz w:val="24"/>
          <w:szCs w:val="24"/>
        </w:rPr>
        <w:tab/>
      </w:r>
      <w:r w:rsidR="004E2154" w:rsidRPr="00D63A3D">
        <w:rPr>
          <w:sz w:val="24"/>
          <w:szCs w:val="24"/>
        </w:rPr>
        <w:t xml:space="preserve">       </w:t>
      </w:r>
      <w:r w:rsidR="005B384C" w:rsidRPr="00D63A3D">
        <w:rPr>
          <w:sz w:val="24"/>
          <w:szCs w:val="24"/>
        </w:rPr>
        <w:t xml:space="preserve">   г. Иваново</w:t>
      </w:r>
    </w:p>
    <w:p w:rsidR="005B384C" w:rsidRPr="00D63A3D" w:rsidRDefault="005B384C" w:rsidP="005B384C">
      <w:pPr>
        <w:tabs>
          <w:tab w:val="left" w:pos="8789"/>
        </w:tabs>
        <w:jc w:val="center"/>
        <w:rPr>
          <w:sz w:val="24"/>
          <w:szCs w:val="24"/>
        </w:rPr>
      </w:pPr>
    </w:p>
    <w:p w:rsidR="005B384C" w:rsidRPr="00D63A3D" w:rsidRDefault="005B384C" w:rsidP="005B384C">
      <w:pPr>
        <w:pStyle w:val="21"/>
        <w:widowControl/>
        <w:ind w:firstLine="0"/>
        <w:rPr>
          <w:szCs w:val="24"/>
        </w:rPr>
      </w:pPr>
      <w:r w:rsidRPr="00D63A3D">
        <w:rPr>
          <w:szCs w:val="24"/>
        </w:rPr>
        <w:t>Присутствовали:</w:t>
      </w:r>
    </w:p>
    <w:p w:rsidR="005B384C" w:rsidRPr="00D63A3D" w:rsidRDefault="005B384C" w:rsidP="005B384C">
      <w:pPr>
        <w:pStyle w:val="21"/>
        <w:widowControl/>
        <w:ind w:firstLine="0"/>
        <w:rPr>
          <w:szCs w:val="24"/>
        </w:rPr>
      </w:pPr>
      <w:r w:rsidRPr="00D63A3D">
        <w:rPr>
          <w:szCs w:val="24"/>
        </w:rPr>
        <w:t>Председатель Правления: Морева Е.Н.</w:t>
      </w:r>
    </w:p>
    <w:p w:rsidR="00593C83" w:rsidRPr="00D63A3D" w:rsidRDefault="00593C83" w:rsidP="00593C83">
      <w:pPr>
        <w:jc w:val="both"/>
        <w:rPr>
          <w:sz w:val="24"/>
          <w:szCs w:val="24"/>
        </w:rPr>
      </w:pPr>
      <w:r w:rsidRPr="00D63A3D">
        <w:rPr>
          <w:sz w:val="24"/>
          <w:szCs w:val="24"/>
        </w:rPr>
        <w:t xml:space="preserve">Члены Правления: Бугаева С.Е., </w:t>
      </w:r>
      <w:r w:rsidR="00BD3E90">
        <w:rPr>
          <w:sz w:val="24"/>
          <w:szCs w:val="24"/>
        </w:rPr>
        <w:t xml:space="preserve">Гущина Н.Б., </w:t>
      </w:r>
      <w:r w:rsidR="005010B2" w:rsidRPr="00D63A3D">
        <w:rPr>
          <w:sz w:val="24"/>
          <w:szCs w:val="24"/>
        </w:rPr>
        <w:t>Турбачкина Е.В.</w:t>
      </w:r>
      <w:r w:rsidRPr="00D63A3D">
        <w:rPr>
          <w:sz w:val="24"/>
          <w:szCs w:val="24"/>
        </w:rPr>
        <w:t xml:space="preserve">, Курчанинова О.А., </w:t>
      </w:r>
      <w:r w:rsidR="00335AB5" w:rsidRPr="00D63A3D">
        <w:rPr>
          <w:sz w:val="24"/>
          <w:szCs w:val="24"/>
        </w:rPr>
        <w:t>Коннова Е.А</w:t>
      </w:r>
      <w:r w:rsidR="009D60BE" w:rsidRPr="00D63A3D">
        <w:rPr>
          <w:sz w:val="24"/>
          <w:szCs w:val="24"/>
        </w:rPr>
        <w:t>.</w:t>
      </w:r>
      <w:r w:rsidR="00AB2502" w:rsidRPr="00D63A3D">
        <w:rPr>
          <w:sz w:val="24"/>
          <w:szCs w:val="24"/>
        </w:rPr>
        <w:t>, Агапова О</w:t>
      </w:r>
      <w:r w:rsidR="00F93FAF" w:rsidRPr="00D63A3D">
        <w:rPr>
          <w:sz w:val="24"/>
          <w:szCs w:val="24"/>
        </w:rPr>
        <w:t>.</w:t>
      </w:r>
      <w:r w:rsidR="00AB2502" w:rsidRPr="00D63A3D">
        <w:rPr>
          <w:sz w:val="24"/>
          <w:szCs w:val="24"/>
        </w:rPr>
        <w:t>П</w:t>
      </w:r>
      <w:r w:rsidRPr="00D63A3D">
        <w:rPr>
          <w:sz w:val="24"/>
          <w:szCs w:val="24"/>
        </w:rPr>
        <w:t>.</w:t>
      </w:r>
    </w:p>
    <w:p w:rsidR="005B384C" w:rsidRPr="00D63A3D" w:rsidRDefault="005B384C" w:rsidP="005B384C">
      <w:pPr>
        <w:jc w:val="both"/>
        <w:rPr>
          <w:sz w:val="24"/>
          <w:szCs w:val="24"/>
        </w:rPr>
      </w:pPr>
      <w:r w:rsidRPr="00D63A3D">
        <w:rPr>
          <w:sz w:val="24"/>
          <w:szCs w:val="24"/>
        </w:rPr>
        <w:t xml:space="preserve">От Департамента энергетики и тарифов Ивановской области: </w:t>
      </w:r>
      <w:r w:rsidR="008B6AA7" w:rsidRPr="00D63A3D">
        <w:rPr>
          <w:sz w:val="24"/>
          <w:szCs w:val="24"/>
        </w:rPr>
        <w:t>Назарова О.А.</w:t>
      </w:r>
    </w:p>
    <w:p w:rsidR="005010B2" w:rsidRPr="00D63A3D" w:rsidRDefault="00F93FAF" w:rsidP="005B384C">
      <w:pPr>
        <w:pStyle w:val="21"/>
        <w:widowControl/>
        <w:ind w:firstLine="0"/>
        <w:rPr>
          <w:szCs w:val="24"/>
        </w:rPr>
      </w:pPr>
      <w:r w:rsidRPr="00D63A3D">
        <w:rPr>
          <w:szCs w:val="24"/>
        </w:rPr>
        <w:t>Грехов М.В.</w:t>
      </w:r>
      <w:r w:rsidR="009D5AB3" w:rsidRPr="00D63A3D">
        <w:rPr>
          <w:szCs w:val="24"/>
        </w:rPr>
        <w:t xml:space="preserve"> </w:t>
      </w:r>
      <w:r w:rsidR="005010B2" w:rsidRPr="00D63A3D">
        <w:rPr>
          <w:szCs w:val="24"/>
        </w:rPr>
        <w:t>(от УФАС России по Ивановской области на праве совещательного голоса, участие в голосовании не принимает).</w:t>
      </w:r>
    </w:p>
    <w:p w:rsidR="005B384C" w:rsidRPr="00D63A3D" w:rsidRDefault="005B384C" w:rsidP="005B384C">
      <w:pPr>
        <w:pStyle w:val="21"/>
        <w:widowControl/>
        <w:ind w:firstLine="0"/>
        <w:rPr>
          <w:szCs w:val="24"/>
        </w:rPr>
      </w:pPr>
      <w:r w:rsidRPr="00D63A3D">
        <w:rPr>
          <w:szCs w:val="24"/>
        </w:rPr>
        <w:t>От Ассоциации «НП Совет рынка»: Кулешов А.И.</w:t>
      </w:r>
    </w:p>
    <w:p w:rsidR="005B384C" w:rsidRDefault="005B384C" w:rsidP="005B384C">
      <w:pPr>
        <w:jc w:val="both"/>
        <w:rPr>
          <w:sz w:val="24"/>
          <w:szCs w:val="24"/>
        </w:rPr>
      </w:pPr>
      <w:r w:rsidRPr="00D63A3D">
        <w:rPr>
          <w:sz w:val="24"/>
          <w:szCs w:val="24"/>
        </w:rPr>
        <w:t>Ответственный секретарь Правления:</w:t>
      </w:r>
      <w:r w:rsidR="00C828F9" w:rsidRPr="00D63A3D">
        <w:rPr>
          <w:sz w:val="24"/>
          <w:szCs w:val="24"/>
        </w:rPr>
        <w:t xml:space="preserve"> Соколова А.В.</w:t>
      </w:r>
    </w:p>
    <w:p w:rsidR="00FA00A0" w:rsidRPr="00D63A3D" w:rsidRDefault="00FA00A0" w:rsidP="005B384C">
      <w:pPr>
        <w:jc w:val="both"/>
        <w:rPr>
          <w:sz w:val="24"/>
          <w:szCs w:val="24"/>
        </w:rPr>
      </w:pPr>
      <w:r w:rsidRPr="00FA00A0">
        <w:rPr>
          <w:sz w:val="24"/>
          <w:szCs w:val="24"/>
        </w:rPr>
        <w:t>От ООО Промэнергосеть-</w:t>
      </w:r>
      <w:r>
        <w:rPr>
          <w:sz w:val="24"/>
          <w:szCs w:val="24"/>
        </w:rPr>
        <w:t>Лежнево</w:t>
      </w:r>
      <w:r w:rsidRPr="00FA00A0">
        <w:rPr>
          <w:sz w:val="24"/>
          <w:szCs w:val="24"/>
        </w:rPr>
        <w:t>»: Артемьев Н.В., Макушкина О.Н.</w:t>
      </w:r>
    </w:p>
    <w:p w:rsidR="005B384C" w:rsidRPr="00D63A3D" w:rsidRDefault="005B384C" w:rsidP="005B384C">
      <w:pPr>
        <w:jc w:val="both"/>
        <w:rPr>
          <w:b/>
          <w:sz w:val="24"/>
          <w:szCs w:val="24"/>
        </w:rPr>
      </w:pPr>
    </w:p>
    <w:p w:rsidR="005B384C" w:rsidRPr="00D63A3D" w:rsidRDefault="005B384C" w:rsidP="005B384C">
      <w:pPr>
        <w:tabs>
          <w:tab w:val="left" w:pos="851"/>
        </w:tabs>
        <w:ind w:firstLine="567"/>
        <w:jc w:val="center"/>
        <w:rPr>
          <w:b/>
          <w:sz w:val="24"/>
          <w:szCs w:val="24"/>
        </w:rPr>
      </w:pPr>
      <w:proofErr w:type="gramStart"/>
      <w:r w:rsidRPr="00D63A3D">
        <w:rPr>
          <w:b/>
          <w:sz w:val="24"/>
          <w:szCs w:val="24"/>
        </w:rPr>
        <w:t>П</w:t>
      </w:r>
      <w:proofErr w:type="gramEnd"/>
      <w:r w:rsidRPr="00D63A3D">
        <w:rPr>
          <w:b/>
          <w:sz w:val="24"/>
          <w:szCs w:val="24"/>
        </w:rPr>
        <w:t xml:space="preserve"> О В Е С Т К А:</w:t>
      </w:r>
    </w:p>
    <w:p w:rsidR="005B384C" w:rsidRPr="00D63A3D" w:rsidRDefault="005B384C" w:rsidP="005B384C">
      <w:pPr>
        <w:tabs>
          <w:tab w:val="left" w:pos="851"/>
        </w:tabs>
        <w:ind w:firstLine="567"/>
        <w:jc w:val="center"/>
        <w:rPr>
          <w:b/>
          <w:sz w:val="24"/>
          <w:szCs w:val="24"/>
        </w:rPr>
      </w:pPr>
    </w:p>
    <w:p w:rsidR="00D63A3D" w:rsidRPr="00D63A3D" w:rsidRDefault="00F61D56" w:rsidP="00D63A3D">
      <w:pPr>
        <w:pStyle w:val="aa"/>
        <w:numPr>
          <w:ilvl w:val="0"/>
          <w:numId w:val="21"/>
        </w:numPr>
        <w:tabs>
          <w:tab w:val="left" w:pos="0"/>
          <w:tab w:val="left" w:pos="709"/>
          <w:tab w:val="left" w:pos="851"/>
        </w:tabs>
        <w:ind w:left="0" w:firstLine="567"/>
        <w:jc w:val="both"/>
        <w:rPr>
          <w:b/>
          <w:bCs/>
          <w:sz w:val="24"/>
          <w:szCs w:val="24"/>
        </w:rPr>
      </w:pPr>
      <w:r w:rsidRPr="00D63A3D">
        <w:rPr>
          <w:b/>
          <w:bCs/>
          <w:sz w:val="24"/>
          <w:szCs w:val="24"/>
        </w:rPr>
        <w:t>О внесении изменений в постановление Департамента энергетики и тарифов Ив</w:t>
      </w:r>
      <w:r w:rsidR="009B7572">
        <w:rPr>
          <w:b/>
          <w:bCs/>
          <w:sz w:val="24"/>
          <w:szCs w:val="24"/>
        </w:rPr>
        <w:t xml:space="preserve">ановской области от 27.12.2019 </w:t>
      </w:r>
      <w:r w:rsidRPr="00D63A3D">
        <w:rPr>
          <w:b/>
          <w:bCs/>
          <w:sz w:val="24"/>
          <w:szCs w:val="24"/>
        </w:rPr>
        <w:t>№ 61-э/2 «Об установлении необходимой валовой выручки и долгосрочных параметров регулирования для сетевых организаций Ивановской области на 2020-2022 годы, в отношении которых тарифы на услуги по передаче электрической энергии устанавливаются на основе долгосрочных параметров регулирования».</w:t>
      </w:r>
    </w:p>
    <w:p w:rsidR="00D63A3D" w:rsidRPr="007F24F4" w:rsidRDefault="00D63A3D" w:rsidP="007F24F4">
      <w:pPr>
        <w:tabs>
          <w:tab w:val="left" w:pos="0"/>
          <w:tab w:val="left" w:pos="709"/>
          <w:tab w:val="left" w:pos="851"/>
        </w:tabs>
        <w:jc w:val="both"/>
        <w:rPr>
          <w:b/>
          <w:bCs/>
          <w:sz w:val="24"/>
          <w:szCs w:val="24"/>
        </w:rPr>
      </w:pPr>
    </w:p>
    <w:p w:rsidR="00147B89" w:rsidRPr="00D63A3D" w:rsidRDefault="00D63A3D" w:rsidP="00D63A3D">
      <w:pPr>
        <w:pStyle w:val="aa"/>
        <w:tabs>
          <w:tab w:val="left" w:pos="709"/>
          <w:tab w:val="left" w:pos="851"/>
        </w:tabs>
        <w:ind w:left="0" w:firstLine="567"/>
        <w:jc w:val="both"/>
        <w:rPr>
          <w:b/>
          <w:bCs/>
          <w:sz w:val="24"/>
          <w:szCs w:val="24"/>
          <w:highlight w:val="yellow"/>
        </w:rPr>
      </w:pPr>
      <w:r w:rsidRPr="00D63A3D">
        <w:rPr>
          <w:b/>
          <w:bCs/>
          <w:sz w:val="24"/>
          <w:szCs w:val="24"/>
        </w:rPr>
        <w:t>I.</w:t>
      </w:r>
      <w:r w:rsidRPr="00D63A3D">
        <w:rPr>
          <w:b/>
          <w:bCs/>
          <w:sz w:val="24"/>
          <w:szCs w:val="24"/>
        </w:rPr>
        <w:tab/>
        <w:t>СЛУШАЛИ: О внесении изменений в постановление Департамента энергетики и тарифов Ив</w:t>
      </w:r>
      <w:r w:rsidR="009B7572">
        <w:rPr>
          <w:b/>
          <w:bCs/>
          <w:sz w:val="24"/>
          <w:szCs w:val="24"/>
        </w:rPr>
        <w:t xml:space="preserve">ановской области от 27.12.2019 </w:t>
      </w:r>
      <w:r w:rsidRPr="00D63A3D">
        <w:rPr>
          <w:b/>
          <w:bCs/>
          <w:sz w:val="24"/>
          <w:szCs w:val="24"/>
        </w:rPr>
        <w:t>№ 61-э/2 «Об установлении необходимой валовой выручки и долгосрочных параметров регулирования для сетевых организаций Ивановской области на 2020-2022 годы, в отношении которых тарифы на услуги по передаче электрической энергии устанавливаются на основе долгосрочных параметров регулирования» (Морева, Коннова, Назарова).</w:t>
      </w:r>
    </w:p>
    <w:p w:rsidR="0098043C" w:rsidRPr="00D63A3D" w:rsidRDefault="0098043C" w:rsidP="0098043C">
      <w:pPr>
        <w:tabs>
          <w:tab w:val="left" w:pos="993"/>
          <w:tab w:val="left" w:pos="1418"/>
          <w:tab w:val="left" w:pos="4020"/>
        </w:tabs>
        <w:ind w:firstLine="567"/>
        <w:jc w:val="both"/>
        <w:rPr>
          <w:bCs/>
          <w:sz w:val="24"/>
          <w:szCs w:val="24"/>
        </w:rPr>
      </w:pPr>
      <w:r w:rsidRPr="00D63A3D">
        <w:rPr>
          <w:bCs/>
          <w:sz w:val="24"/>
          <w:szCs w:val="24"/>
        </w:rPr>
        <w:t xml:space="preserve">Рассмотрено дело в части корректировки </w:t>
      </w:r>
      <w:r w:rsidRPr="00D63A3D">
        <w:rPr>
          <w:sz w:val="24"/>
          <w:szCs w:val="24"/>
        </w:rPr>
        <w:t xml:space="preserve">НВВ на содержание электрических сетей на 2022 год, </w:t>
      </w:r>
      <w:r w:rsidRPr="00D63A3D">
        <w:rPr>
          <w:bCs/>
          <w:sz w:val="24"/>
          <w:szCs w:val="24"/>
        </w:rPr>
        <w:t>принимаемой в расчет единых (котловых) и индивидуальных тарифов на услуги по передаче электрической энергии (без учета оплаты потерь), для ООО «</w:t>
      </w:r>
      <w:r w:rsidR="007F24F4">
        <w:rPr>
          <w:bCs/>
          <w:sz w:val="24"/>
          <w:szCs w:val="24"/>
        </w:rPr>
        <w:t>Промэнергосеть-Лежнево</w:t>
      </w:r>
      <w:r w:rsidRPr="00D63A3D">
        <w:rPr>
          <w:bCs/>
          <w:sz w:val="24"/>
          <w:szCs w:val="24"/>
        </w:rPr>
        <w:t>» (долгосрочный период регулирования 2020-202</w:t>
      </w:r>
      <w:r w:rsidR="001509A7" w:rsidRPr="00D63A3D">
        <w:rPr>
          <w:bCs/>
          <w:sz w:val="24"/>
          <w:szCs w:val="24"/>
        </w:rPr>
        <w:t>2</w:t>
      </w:r>
      <w:r w:rsidRPr="00D63A3D">
        <w:rPr>
          <w:bCs/>
          <w:sz w:val="24"/>
          <w:szCs w:val="24"/>
        </w:rPr>
        <w:t xml:space="preserve"> гг.).</w:t>
      </w:r>
    </w:p>
    <w:p w:rsidR="0098043C" w:rsidRPr="00D63A3D" w:rsidRDefault="0098043C" w:rsidP="0098043C">
      <w:pPr>
        <w:tabs>
          <w:tab w:val="left" w:pos="993"/>
          <w:tab w:val="left" w:pos="1418"/>
          <w:tab w:val="left" w:pos="4020"/>
        </w:tabs>
        <w:ind w:firstLine="567"/>
        <w:jc w:val="both"/>
        <w:rPr>
          <w:sz w:val="24"/>
          <w:szCs w:val="24"/>
        </w:rPr>
      </w:pPr>
      <w:r w:rsidRPr="00D63A3D">
        <w:rPr>
          <w:sz w:val="24"/>
          <w:szCs w:val="24"/>
        </w:rPr>
        <w:t>В соответствии с проведенной экспертизой установлено, что вышеуказанная сетевая организация соответству</w:t>
      </w:r>
      <w:r w:rsidR="009B7572">
        <w:rPr>
          <w:sz w:val="24"/>
          <w:szCs w:val="24"/>
        </w:rPr>
        <w:t>е</w:t>
      </w:r>
      <w:r w:rsidRPr="00D63A3D">
        <w:rPr>
          <w:sz w:val="24"/>
          <w:szCs w:val="24"/>
        </w:rPr>
        <w:t>т Критериям отнесения владельцев объектов электросетевого хозяйства к территориальным сетевым организациям, утвержденным постановлением Правительства РФ от 28.02.2015 № 184.</w:t>
      </w:r>
    </w:p>
    <w:p w:rsidR="0098043C" w:rsidRPr="00D63A3D" w:rsidRDefault="0098043C" w:rsidP="0098043C">
      <w:pPr>
        <w:ind w:firstLine="567"/>
        <w:jc w:val="both"/>
        <w:rPr>
          <w:sz w:val="24"/>
          <w:szCs w:val="24"/>
        </w:rPr>
      </w:pPr>
      <w:r w:rsidRPr="00D63A3D">
        <w:rPr>
          <w:bCs/>
          <w:sz w:val="24"/>
          <w:szCs w:val="24"/>
        </w:rPr>
        <w:t>Департамент энергетики и тарифов Ивановской области (далее – Департамент) отмечает, что расчет произведен специалистами Департамента в</w:t>
      </w:r>
      <w:r w:rsidRPr="00D63A3D">
        <w:rPr>
          <w:sz w:val="24"/>
          <w:szCs w:val="24"/>
        </w:rPr>
        <w:t xml:space="preserve"> соответствии </w:t>
      </w:r>
      <w:proofErr w:type="gramStart"/>
      <w:r w:rsidRPr="00D63A3D">
        <w:rPr>
          <w:sz w:val="24"/>
          <w:szCs w:val="24"/>
        </w:rPr>
        <w:t>с</w:t>
      </w:r>
      <w:proofErr w:type="gramEnd"/>
      <w:r w:rsidRPr="00D63A3D">
        <w:rPr>
          <w:sz w:val="24"/>
          <w:szCs w:val="24"/>
        </w:rPr>
        <w:t>:</w:t>
      </w:r>
    </w:p>
    <w:p w:rsidR="0098043C" w:rsidRPr="00D63A3D" w:rsidRDefault="0098043C" w:rsidP="0098043C">
      <w:pPr>
        <w:numPr>
          <w:ilvl w:val="0"/>
          <w:numId w:val="1"/>
        </w:numPr>
        <w:tabs>
          <w:tab w:val="left" w:pos="709"/>
          <w:tab w:val="left" w:pos="851"/>
          <w:tab w:val="left" w:pos="4020"/>
        </w:tabs>
        <w:ind w:left="0" w:firstLine="567"/>
        <w:jc w:val="both"/>
        <w:rPr>
          <w:sz w:val="24"/>
          <w:szCs w:val="24"/>
        </w:rPr>
      </w:pPr>
      <w:r w:rsidRPr="00D63A3D">
        <w:rPr>
          <w:bCs/>
          <w:sz w:val="24"/>
          <w:szCs w:val="24"/>
        </w:rPr>
        <w:t>макроэкономическими показателями одобренного Правительством Российской Федерации прогноза социально-экономического развития Российской Федерации на период до 202</w:t>
      </w:r>
      <w:r w:rsidR="009B7572">
        <w:rPr>
          <w:bCs/>
          <w:sz w:val="24"/>
          <w:szCs w:val="24"/>
        </w:rPr>
        <w:t>4</w:t>
      </w:r>
      <w:r w:rsidRPr="00D63A3D">
        <w:rPr>
          <w:bCs/>
          <w:sz w:val="24"/>
          <w:szCs w:val="24"/>
        </w:rPr>
        <w:t xml:space="preserve"> года</w:t>
      </w:r>
      <w:r w:rsidRPr="00D63A3D">
        <w:rPr>
          <w:sz w:val="24"/>
          <w:szCs w:val="24"/>
        </w:rPr>
        <w:t>,</w:t>
      </w:r>
    </w:p>
    <w:p w:rsidR="0098043C" w:rsidRPr="00D63A3D" w:rsidRDefault="0098043C" w:rsidP="0098043C">
      <w:pPr>
        <w:numPr>
          <w:ilvl w:val="0"/>
          <w:numId w:val="1"/>
        </w:numPr>
        <w:tabs>
          <w:tab w:val="left" w:pos="709"/>
          <w:tab w:val="left" w:pos="851"/>
          <w:tab w:val="left" w:pos="4020"/>
        </w:tabs>
        <w:ind w:left="0" w:firstLine="567"/>
        <w:jc w:val="both"/>
        <w:rPr>
          <w:sz w:val="24"/>
          <w:szCs w:val="24"/>
        </w:rPr>
      </w:pPr>
      <w:r w:rsidRPr="00D63A3D">
        <w:rPr>
          <w:sz w:val="24"/>
          <w:szCs w:val="24"/>
        </w:rPr>
        <w:t xml:space="preserve"> положениями постановления Правительства Российской Федерации от 29.12.2011 № 1178 «О ценообразовании в области регулируемых цен (тарифов) в электроэнергетике»,</w:t>
      </w:r>
    </w:p>
    <w:p w:rsidR="0098043C" w:rsidRPr="00D63A3D" w:rsidRDefault="0098043C" w:rsidP="0098043C">
      <w:pPr>
        <w:widowControl/>
        <w:numPr>
          <w:ilvl w:val="0"/>
          <w:numId w:val="2"/>
        </w:numPr>
        <w:autoSpaceDE w:val="0"/>
        <w:autoSpaceDN w:val="0"/>
        <w:adjustRightInd w:val="0"/>
        <w:ind w:left="0" w:firstLine="567"/>
        <w:jc w:val="both"/>
        <w:rPr>
          <w:sz w:val="24"/>
          <w:szCs w:val="24"/>
        </w:rPr>
      </w:pPr>
      <w:r w:rsidRPr="00D63A3D">
        <w:rPr>
          <w:sz w:val="24"/>
          <w:szCs w:val="24"/>
        </w:rPr>
        <w:t>приказом ФСТ России от 17.02.2012 № 98-э «Об утверждении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p>
    <w:p w:rsidR="0098043C" w:rsidRPr="00D63A3D" w:rsidRDefault="0098043C" w:rsidP="0098043C">
      <w:pPr>
        <w:ind w:firstLine="567"/>
        <w:jc w:val="both"/>
        <w:rPr>
          <w:sz w:val="24"/>
          <w:szCs w:val="24"/>
        </w:rPr>
      </w:pPr>
      <w:r w:rsidRPr="00D63A3D">
        <w:rPr>
          <w:sz w:val="24"/>
          <w:szCs w:val="24"/>
        </w:rPr>
        <w:t xml:space="preserve">Основные показатели деятельности </w:t>
      </w:r>
      <w:r w:rsidRPr="00D63A3D">
        <w:rPr>
          <w:bCs/>
          <w:sz w:val="24"/>
          <w:szCs w:val="24"/>
        </w:rPr>
        <w:t>ООО «</w:t>
      </w:r>
      <w:r w:rsidR="007F24F4" w:rsidRPr="007F24F4">
        <w:rPr>
          <w:bCs/>
          <w:sz w:val="24"/>
          <w:szCs w:val="24"/>
        </w:rPr>
        <w:t>Промэнергосеть-Лежнево</w:t>
      </w:r>
      <w:r w:rsidRPr="00D63A3D">
        <w:rPr>
          <w:bCs/>
          <w:sz w:val="24"/>
          <w:szCs w:val="24"/>
        </w:rPr>
        <w:t xml:space="preserve">», </w:t>
      </w:r>
      <w:r w:rsidRPr="00D63A3D">
        <w:rPr>
          <w:sz w:val="24"/>
          <w:szCs w:val="24"/>
        </w:rPr>
        <w:t xml:space="preserve">принимаемые в расчет единых (котловых) и индивидуальных тарифов на услуги по передаче электрической энергии на </w:t>
      </w:r>
      <w:r w:rsidRPr="00D63A3D">
        <w:rPr>
          <w:sz w:val="24"/>
          <w:szCs w:val="24"/>
        </w:rPr>
        <w:lastRenderedPageBreak/>
        <w:t>2022 год, а также принимаемые при установлении НВВ, приведены в приложениях к протоколу.</w:t>
      </w:r>
    </w:p>
    <w:p w:rsidR="0098043C" w:rsidRPr="00D63A3D" w:rsidRDefault="0098043C" w:rsidP="0098043C">
      <w:pPr>
        <w:ind w:firstLine="567"/>
        <w:jc w:val="both"/>
        <w:rPr>
          <w:bCs/>
          <w:sz w:val="24"/>
          <w:szCs w:val="24"/>
        </w:rPr>
      </w:pPr>
      <w:r w:rsidRPr="00D63A3D">
        <w:rPr>
          <w:bCs/>
          <w:sz w:val="24"/>
          <w:szCs w:val="24"/>
        </w:rPr>
        <w:t>По результатам экспертизы подготовлены расчетные материалы и соответствующее экспертное заключение.</w:t>
      </w:r>
    </w:p>
    <w:p w:rsidR="0098043C" w:rsidRDefault="001509A7" w:rsidP="0098043C">
      <w:pPr>
        <w:ind w:firstLine="567"/>
        <w:jc w:val="both"/>
        <w:rPr>
          <w:bCs/>
          <w:sz w:val="24"/>
          <w:szCs w:val="24"/>
        </w:rPr>
      </w:pPr>
      <w:r w:rsidRPr="00D63A3D">
        <w:rPr>
          <w:bCs/>
          <w:sz w:val="24"/>
          <w:szCs w:val="24"/>
        </w:rPr>
        <w:t>Необходимо внести соответствующие изменения в постановление Департамента энергетики и тарифов И</w:t>
      </w:r>
      <w:r w:rsidR="006F580B">
        <w:rPr>
          <w:bCs/>
          <w:sz w:val="24"/>
          <w:szCs w:val="24"/>
        </w:rPr>
        <w:t>вановской области от 27.12.2019</w:t>
      </w:r>
      <w:r w:rsidRPr="00D63A3D">
        <w:rPr>
          <w:bCs/>
          <w:sz w:val="24"/>
          <w:szCs w:val="24"/>
        </w:rPr>
        <w:t xml:space="preserve"> № 61-э/2 «Об установлении необходимой валовой выручки и долгосрочных параметров регулирования для сетевых организаций Ивановской области на 2020-2022 годы, в отношении которых тарифы на услуги по передаче электрической энергии устанавливаются на основе долгосрочных параметров регулирования».</w:t>
      </w:r>
    </w:p>
    <w:p w:rsidR="00E20344" w:rsidRDefault="00E20344" w:rsidP="000A59DE">
      <w:pPr>
        <w:ind w:firstLine="567"/>
        <w:jc w:val="both"/>
        <w:rPr>
          <w:bCs/>
          <w:sz w:val="24"/>
          <w:szCs w:val="24"/>
        </w:rPr>
      </w:pPr>
      <w:proofErr w:type="gramStart"/>
      <w:r w:rsidRPr="00E20344">
        <w:rPr>
          <w:bCs/>
          <w:sz w:val="24"/>
          <w:szCs w:val="24"/>
        </w:rPr>
        <w:t>Ассоциация «НП Совет рынка» в отношении ООО «</w:t>
      </w:r>
      <w:r>
        <w:rPr>
          <w:bCs/>
          <w:sz w:val="24"/>
          <w:szCs w:val="24"/>
        </w:rPr>
        <w:t>Промэнергосеть-Лежнево</w:t>
      </w:r>
      <w:r w:rsidRPr="00E20344">
        <w:rPr>
          <w:bCs/>
          <w:sz w:val="24"/>
          <w:szCs w:val="24"/>
        </w:rPr>
        <w:t>» голосует по данному вопросу «против</w:t>
      </w:r>
      <w:r w:rsidR="00EC0FB5">
        <w:rPr>
          <w:bCs/>
          <w:sz w:val="24"/>
          <w:szCs w:val="24"/>
        </w:rPr>
        <w:t>»</w:t>
      </w:r>
      <w:r w:rsidR="000A59DE">
        <w:rPr>
          <w:bCs/>
          <w:sz w:val="24"/>
          <w:szCs w:val="24"/>
        </w:rPr>
        <w:t>,</w:t>
      </w:r>
      <w:r w:rsidR="00EC0FB5">
        <w:rPr>
          <w:bCs/>
          <w:sz w:val="24"/>
          <w:szCs w:val="24"/>
        </w:rPr>
        <w:t xml:space="preserve"> </w:t>
      </w:r>
      <w:r w:rsidR="000A59DE" w:rsidRPr="000A59DE">
        <w:rPr>
          <w:bCs/>
          <w:sz w:val="24"/>
          <w:szCs w:val="24"/>
        </w:rPr>
        <w:t xml:space="preserve">поскольку </w:t>
      </w:r>
      <w:r w:rsidR="00E84A53">
        <w:rPr>
          <w:bCs/>
          <w:sz w:val="24"/>
          <w:szCs w:val="24"/>
        </w:rPr>
        <w:t xml:space="preserve">по сравнению с </w:t>
      </w:r>
      <w:r w:rsidR="000A59DE">
        <w:rPr>
          <w:bCs/>
          <w:sz w:val="24"/>
          <w:szCs w:val="24"/>
        </w:rPr>
        <w:t>направленны</w:t>
      </w:r>
      <w:r w:rsidR="00E84A53">
        <w:rPr>
          <w:bCs/>
          <w:sz w:val="24"/>
          <w:szCs w:val="24"/>
        </w:rPr>
        <w:t>ми</w:t>
      </w:r>
      <w:r w:rsidR="000A59DE">
        <w:rPr>
          <w:bCs/>
          <w:sz w:val="24"/>
          <w:szCs w:val="24"/>
        </w:rPr>
        <w:t xml:space="preserve"> в адрес </w:t>
      </w:r>
      <w:r w:rsidR="00E84A53">
        <w:rPr>
          <w:bCs/>
          <w:sz w:val="24"/>
          <w:szCs w:val="24"/>
        </w:rPr>
        <w:t xml:space="preserve">Ассоциации </w:t>
      </w:r>
      <w:r w:rsidR="000A59DE">
        <w:rPr>
          <w:bCs/>
          <w:sz w:val="24"/>
          <w:szCs w:val="24"/>
        </w:rPr>
        <w:t>«НП Совет рынка»</w:t>
      </w:r>
      <w:r w:rsidR="000A59DE" w:rsidRPr="000A59DE">
        <w:rPr>
          <w:bCs/>
          <w:sz w:val="24"/>
          <w:szCs w:val="24"/>
        </w:rPr>
        <w:t xml:space="preserve"> </w:t>
      </w:r>
      <w:r w:rsidR="00E84A53">
        <w:rPr>
          <w:bCs/>
          <w:sz w:val="24"/>
          <w:szCs w:val="24"/>
        </w:rPr>
        <w:t xml:space="preserve">материалами по расчету (корректировке) НВВ </w:t>
      </w:r>
      <w:r w:rsidR="000A59DE">
        <w:rPr>
          <w:bCs/>
          <w:sz w:val="24"/>
          <w:szCs w:val="24"/>
        </w:rPr>
        <w:t>на заседани</w:t>
      </w:r>
      <w:r w:rsidR="00E84A53">
        <w:rPr>
          <w:bCs/>
          <w:sz w:val="24"/>
          <w:szCs w:val="24"/>
        </w:rPr>
        <w:t>и</w:t>
      </w:r>
      <w:r w:rsidR="000A59DE">
        <w:rPr>
          <w:bCs/>
          <w:sz w:val="24"/>
          <w:szCs w:val="24"/>
        </w:rPr>
        <w:t xml:space="preserve"> правления Департамента </w:t>
      </w:r>
      <w:r w:rsidR="00E84A53">
        <w:rPr>
          <w:bCs/>
          <w:sz w:val="24"/>
          <w:szCs w:val="24"/>
        </w:rPr>
        <w:t>рассматривается скорректированный (уточненный) расчет</w:t>
      </w:r>
      <w:r w:rsidR="00EC0FB5">
        <w:rPr>
          <w:bCs/>
          <w:sz w:val="24"/>
          <w:szCs w:val="24"/>
        </w:rPr>
        <w:t xml:space="preserve"> НВВ</w:t>
      </w:r>
      <w:r w:rsidR="000A59DE">
        <w:rPr>
          <w:bCs/>
          <w:sz w:val="24"/>
          <w:szCs w:val="24"/>
        </w:rPr>
        <w:t xml:space="preserve"> на 2022 год</w:t>
      </w:r>
      <w:r w:rsidR="00E84A53">
        <w:rPr>
          <w:bCs/>
          <w:sz w:val="24"/>
          <w:szCs w:val="24"/>
        </w:rPr>
        <w:t>, который не был направлен заранее в установленные сроки</w:t>
      </w:r>
      <w:r w:rsidR="000A59DE">
        <w:rPr>
          <w:bCs/>
          <w:sz w:val="24"/>
          <w:szCs w:val="24"/>
        </w:rPr>
        <w:t>.</w:t>
      </w:r>
      <w:proofErr w:type="gramEnd"/>
    </w:p>
    <w:p w:rsidR="00E84A53" w:rsidRPr="00E20344" w:rsidRDefault="00E84A53" w:rsidP="000A59DE">
      <w:pPr>
        <w:ind w:firstLine="567"/>
        <w:jc w:val="both"/>
        <w:rPr>
          <w:bCs/>
          <w:sz w:val="24"/>
          <w:szCs w:val="24"/>
        </w:rPr>
      </w:pPr>
      <w:r>
        <w:rPr>
          <w:bCs/>
          <w:sz w:val="24"/>
          <w:szCs w:val="24"/>
        </w:rPr>
        <w:t xml:space="preserve">Департамент по данному вопросу отмечает, что изменение размера рассматриваемой на заседании правления Департамента НВВ </w:t>
      </w:r>
      <w:r w:rsidRPr="00E84A53">
        <w:rPr>
          <w:bCs/>
          <w:sz w:val="24"/>
          <w:szCs w:val="24"/>
        </w:rPr>
        <w:t>ООО «Промэнергосеть-Лежнево»</w:t>
      </w:r>
      <w:r>
        <w:rPr>
          <w:bCs/>
          <w:sz w:val="24"/>
          <w:szCs w:val="24"/>
        </w:rPr>
        <w:t xml:space="preserve"> на 2022 год произошло по причине устранения выявленной технической ошибки в расчетах.</w:t>
      </w:r>
    </w:p>
    <w:p w:rsidR="00792F5A" w:rsidRPr="00EC12B8" w:rsidRDefault="00792F5A" w:rsidP="00792F5A">
      <w:pPr>
        <w:ind w:firstLine="567"/>
        <w:jc w:val="both"/>
        <w:rPr>
          <w:bCs/>
          <w:sz w:val="24"/>
          <w:szCs w:val="24"/>
        </w:rPr>
      </w:pPr>
      <w:r w:rsidRPr="004F5A87">
        <w:rPr>
          <w:bCs/>
          <w:sz w:val="24"/>
          <w:szCs w:val="24"/>
        </w:rPr>
        <w:t>ООО «Промэнергосеть-</w:t>
      </w:r>
      <w:r>
        <w:rPr>
          <w:bCs/>
          <w:sz w:val="24"/>
          <w:szCs w:val="24"/>
        </w:rPr>
        <w:t>Лежнево</w:t>
      </w:r>
      <w:r w:rsidRPr="004F5A87">
        <w:rPr>
          <w:bCs/>
          <w:sz w:val="24"/>
          <w:szCs w:val="24"/>
        </w:rPr>
        <w:t xml:space="preserve">» </w:t>
      </w:r>
      <w:r w:rsidRPr="00EC12B8">
        <w:rPr>
          <w:bCs/>
          <w:sz w:val="24"/>
          <w:szCs w:val="24"/>
        </w:rPr>
        <w:t xml:space="preserve">письмом от </w:t>
      </w:r>
      <w:r w:rsidRPr="00792F5A">
        <w:rPr>
          <w:bCs/>
          <w:sz w:val="24"/>
          <w:szCs w:val="24"/>
        </w:rPr>
        <w:t>10.12.2021 № 107</w:t>
      </w:r>
      <w:r>
        <w:rPr>
          <w:bCs/>
          <w:sz w:val="24"/>
          <w:szCs w:val="24"/>
        </w:rPr>
        <w:t xml:space="preserve"> </w:t>
      </w:r>
      <w:r w:rsidRPr="00EC12B8">
        <w:rPr>
          <w:bCs/>
          <w:sz w:val="24"/>
          <w:szCs w:val="24"/>
        </w:rPr>
        <w:t>не согласовывает предлагаемую к утверждению величину НВВ на 2</w:t>
      </w:r>
      <w:r>
        <w:rPr>
          <w:bCs/>
          <w:sz w:val="24"/>
          <w:szCs w:val="24"/>
        </w:rPr>
        <w:t>022</w:t>
      </w:r>
      <w:r w:rsidRPr="00EC12B8">
        <w:rPr>
          <w:bCs/>
          <w:sz w:val="24"/>
          <w:szCs w:val="24"/>
        </w:rPr>
        <w:t xml:space="preserve"> год, участвующую в расчете тарифов на услуги по передаче электрической энергии (мощности) на 202</w:t>
      </w:r>
      <w:r>
        <w:rPr>
          <w:bCs/>
          <w:sz w:val="24"/>
          <w:szCs w:val="24"/>
        </w:rPr>
        <w:t>2</w:t>
      </w:r>
      <w:r w:rsidRPr="00EC12B8">
        <w:rPr>
          <w:bCs/>
          <w:sz w:val="24"/>
          <w:szCs w:val="24"/>
        </w:rPr>
        <w:t xml:space="preserve"> год, по следующим основаниям.</w:t>
      </w:r>
    </w:p>
    <w:p w:rsidR="00780D41" w:rsidRPr="00780D41" w:rsidRDefault="00792F5A" w:rsidP="00780D41">
      <w:pPr>
        <w:tabs>
          <w:tab w:val="left" w:pos="993"/>
        </w:tabs>
        <w:ind w:firstLine="567"/>
        <w:jc w:val="both"/>
        <w:rPr>
          <w:bCs/>
          <w:sz w:val="24"/>
          <w:szCs w:val="24"/>
        </w:rPr>
      </w:pPr>
      <w:r>
        <w:rPr>
          <w:bCs/>
          <w:sz w:val="24"/>
          <w:szCs w:val="24"/>
        </w:rPr>
        <w:t xml:space="preserve">1. </w:t>
      </w:r>
      <w:r w:rsidR="00780D41" w:rsidRPr="00780D41">
        <w:rPr>
          <w:bCs/>
          <w:sz w:val="24"/>
          <w:szCs w:val="24"/>
        </w:rPr>
        <w:t>Из расчета условных единиц, а значит и из состава обслуживаемого электросетевого оборудования</w:t>
      </w:r>
      <w:r w:rsidR="00480CA5">
        <w:rPr>
          <w:bCs/>
          <w:sz w:val="24"/>
          <w:szCs w:val="24"/>
        </w:rPr>
        <w:t>,</w:t>
      </w:r>
      <w:r w:rsidR="00AE0509" w:rsidRPr="00AE0509">
        <w:t xml:space="preserve"> </w:t>
      </w:r>
      <w:r w:rsidR="00AE0509" w:rsidRPr="00AE0509">
        <w:rPr>
          <w:bCs/>
          <w:sz w:val="24"/>
          <w:szCs w:val="24"/>
        </w:rPr>
        <w:t>Департаментом</w:t>
      </w:r>
      <w:r w:rsidR="00780D41" w:rsidRPr="00780D41">
        <w:rPr>
          <w:bCs/>
          <w:sz w:val="24"/>
          <w:szCs w:val="24"/>
        </w:rPr>
        <w:t xml:space="preserve"> исключены:</w:t>
      </w:r>
    </w:p>
    <w:p w:rsidR="00780D41" w:rsidRPr="00780D41" w:rsidRDefault="00780D41" w:rsidP="00780D41">
      <w:pPr>
        <w:tabs>
          <w:tab w:val="left" w:pos="993"/>
        </w:tabs>
        <w:ind w:firstLine="567"/>
        <w:jc w:val="both"/>
        <w:rPr>
          <w:bCs/>
          <w:sz w:val="24"/>
          <w:szCs w:val="24"/>
        </w:rPr>
      </w:pPr>
      <w:r w:rsidRPr="00780D41">
        <w:rPr>
          <w:bCs/>
          <w:sz w:val="24"/>
          <w:szCs w:val="24"/>
        </w:rPr>
        <w:t>-</w:t>
      </w:r>
      <w:r w:rsidR="00AE0509">
        <w:rPr>
          <w:bCs/>
          <w:sz w:val="24"/>
          <w:szCs w:val="24"/>
        </w:rPr>
        <w:t xml:space="preserve"> </w:t>
      </w:r>
      <w:r w:rsidRPr="00780D41">
        <w:rPr>
          <w:bCs/>
          <w:sz w:val="24"/>
          <w:szCs w:val="24"/>
        </w:rPr>
        <w:t>КТПН-12 и КТП-2</w:t>
      </w:r>
      <w:r w:rsidR="00AE0509">
        <w:rPr>
          <w:bCs/>
          <w:sz w:val="24"/>
          <w:szCs w:val="24"/>
        </w:rPr>
        <w:t>,</w:t>
      </w:r>
      <w:r w:rsidRPr="00780D41">
        <w:rPr>
          <w:bCs/>
          <w:sz w:val="24"/>
          <w:szCs w:val="24"/>
        </w:rPr>
        <w:t xml:space="preserve"> </w:t>
      </w:r>
      <w:proofErr w:type="gramStart"/>
      <w:r w:rsidR="00AE0509">
        <w:rPr>
          <w:bCs/>
          <w:sz w:val="24"/>
          <w:szCs w:val="24"/>
        </w:rPr>
        <w:t>р</w:t>
      </w:r>
      <w:r w:rsidRPr="00780D41">
        <w:rPr>
          <w:bCs/>
          <w:sz w:val="24"/>
          <w:szCs w:val="24"/>
        </w:rPr>
        <w:t>асположенны</w:t>
      </w:r>
      <w:r w:rsidR="00AE0509">
        <w:rPr>
          <w:bCs/>
          <w:sz w:val="24"/>
          <w:szCs w:val="24"/>
        </w:rPr>
        <w:t>е</w:t>
      </w:r>
      <w:proofErr w:type="gramEnd"/>
      <w:r w:rsidRPr="00780D41">
        <w:rPr>
          <w:bCs/>
          <w:sz w:val="24"/>
          <w:szCs w:val="24"/>
        </w:rPr>
        <w:t xml:space="preserve"> по адресу</w:t>
      </w:r>
      <w:r w:rsidR="00A5462E" w:rsidRPr="00A5462E">
        <w:rPr>
          <w:bCs/>
          <w:sz w:val="24"/>
          <w:szCs w:val="24"/>
        </w:rPr>
        <w:t>:</w:t>
      </w:r>
      <w:r w:rsidRPr="00780D41">
        <w:rPr>
          <w:bCs/>
          <w:sz w:val="24"/>
          <w:szCs w:val="24"/>
        </w:rPr>
        <w:t xml:space="preserve"> Ивановская область, Ивановский район, Лежневское шоссе, д.1/2, которыми ООО «Промэнергосеть-Лежнево» владеет на правах аренды – договор аренды с ООО </w:t>
      </w:r>
      <w:r w:rsidR="00A5462E">
        <w:rPr>
          <w:bCs/>
          <w:sz w:val="24"/>
          <w:szCs w:val="24"/>
        </w:rPr>
        <w:t>«</w:t>
      </w:r>
      <w:r w:rsidRPr="00780D41">
        <w:rPr>
          <w:bCs/>
          <w:sz w:val="24"/>
          <w:szCs w:val="24"/>
        </w:rPr>
        <w:t>Центр-Авиа</w:t>
      </w:r>
      <w:r w:rsidR="00A5462E">
        <w:rPr>
          <w:bCs/>
          <w:sz w:val="24"/>
          <w:szCs w:val="24"/>
        </w:rPr>
        <w:t>»</w:t>
      </w:r>
      <w:r w:rsidRPr="00780D41">
        <w:rPr>
          <w:bCs/>
          <w:sz w:val="24"/>
          <w:szCs w:val="24"/>
        </w:rPr>
        <w:t xml:space="preserve"> от 09.01.2019 №1/2019 с учетом дополнительного соглашения от 08.06.2020 года. Однотрансформаторная КТПН-12 является движимым имуществом (заключение кадастрового инженера в адрес Департамента направлено</w:t>
      </w:r>
      <w:r w:rsidR="00A5462E">
        <w:rPr>
          <w:bCs/>
          <w:sz w:val="24"/>
          <w:szCs w:val="24"/>
        </w:rPr>
        <w:t>)</w:t>
      </w:r>
      <w:r w:rsidRPr="00780D41">
        <w:rPr>
          <w:bCs/>
          <w:sz w:val="24"/>
          <w:szCs w:val="24"/>
        </w:rPr>
        <w:t>, кроме этого для подтверждения прав владения направлены ОСВ по счету 01 и 02 и инвентарная карточка учета ОС</w:t>
      </w:r>
      <w:r w:rsidR="00A5462E">
        <w:rPr>
          <w:bCs/>
          <w:sz w:val="24"/>
          <w:szCs w:val="24"/>
        </w:rPr>
        <w:t>-6</w:t>
      </w:r>
      <w:r w:rsidRPr="00780D41">
        <w:rPr>
          <w:bCs/>
          <w:sz w:val="24"/>
          <w:szCs w:val="24"/>
        </w:rPr>
        <w:t xml:space="preserve">. В адрес Департамента направлен технический план сооружения на 2КЛ-6 </w:t>
      </w:r>
      <w:r w:rsidR="00A5462E">
        <w:rPr>
          <w:bCs/>
          <w:sz w:val="24"/>
          <w:szCs w:val="24"/>
        </w:rPr>
        <w:t>кВ (АСБл 3*70) от ТП-11 до КТПН</w:t>
      </w:r>
      <w:r w:rsidRPr="00780D41">
        <w:rPr>
          <w:bCs/>
          <w:sz w:val="24"/>
          <w:szCs w:val="24"/>
        </w:rPr>
        <w:t>-12. В состав данного документа входит Разрешение от 15.08.2011 года на допуск ввода в эксплуатацию энергоустановки как единого целого в составе: линии 2КЛ-6 кВ (АСБл 3*70) от ТП-11 до КТПН - 12; КТПН-12.</w:t>
      </w:r>
    </w:p>
    <w:p w:rsidR="00780D41" w:rsidRPr="00780D41" w:rsidRDefault="00780D41" w:rsidP="00780D41">
      <w:pPr>
        <w:tabs>
          <w:tab w:val="left" w:pos="993"/>
        </w:tabs>
        <w:ind w:firstLine="567"/>
        <w:jc w:val="both"/>
        <w:rPr>
          <w:bCs/>
          <w:sz w:val="24"/>
          <w:szCs w:val="24"/>
        </w:rPr>
      </w:pPr>
      <w:r w:rsidRPr="00780D41">
        <w:rPr>
          <w:bCs/>
          <w:sz w:val="24"/>
          <w:szCs w:val="24"/>
        </w:rPr>
        <w:t>-</w:t>
      </w:r>
      <w:r w:rsidR="00A924C4">
        <w:rPr>
          <w:bCs/>
          <w:sz w:val="24"/>
          <w:szCs w:val="24"/>
        </w:rPr>
        <w:t xml:space="preserve"> л</w:t>
      </w:r>
      <w:r w:rsidRPr="00780D41">
        <w:rPr>
          <w:bCs/>
          <w:sz w:val="24"/>
          <w:szCs w:val="24"/>
        </w:rPr>
        <w:t xml:space="preserve">иния электропередач протяженностью 3100 м и 30 м </w:t>
      </w:r>
      <w:r w:rsidR="00A924C4">
        <w:rPr>
          <w:bCs/>
          <w:sz w:val="24"/>
          <w:szCs w:val="24"/>
        </w:rPr>
        <w:t>(из-за отсутствия регистрации).</w:t>
      </w:r>
    </w:p>
    <w:p w:rsidR="00780D41" w:rsidRPr="00780D41" w:rsidRDefault="00780D41" w:rsidP="00780D41">
      <w:pPr>
        <w:tabs>
          <w:tab w:val="left" w:pos="993"/>
        </w:tabs>
        <w:ind w:firstLine="567"/>
        <w:jc w:val="both"/>
        <w:rPr>
          <w:bCs/>
          <w:sz w:val="24"/>
          <w:szCs w:val="24"/>
        </w:rPr>
      </w:pPr>
      <w:r w:rsidRPr="00780D41">
        <w:rPr>
          <w:bCs/>
          <w:sz w:val="24"/>
          <w:szCs w:val="24"/>
        </w:rPr>
        <w:t>Кроме этого из расчета условных единиц, а значит из затрат на содержание, исключены линии электропередач, расположенные по адресу</w:t>
      </w:r>
      <w:r w:rsidR="00A924C4" w:rsidRPr="00A924C4">
        <w:rPr>
          <w:bCs/>
          <w:sz w:val="24"/>
          <w:szCs w:val="24"/>
        </w:rPr>
        <w:t>:</w:t>
      </w:r>
      <w:r w:rsidRPr="00780D41">
        <w:rPr>
          <w:bCs/>
          <w:sz w:val="24"/>
          <w:szCs w:val="24"/>
        </w:rPr>
        <w:t xml:space="preserve"> Ивановская обл</w:t>
      </w:r>
      <w:r w:rsidR="00A924C4">
        <w:rPr>
          <w:bCs/>
          <w:sz w:val="24"/>
          <w:szCs w:val="24"/>
        </w:rPr>
        <w:t>.</w:t>
      </w:r>
      <w:r w:rsidRPr="00780D41">
        <w:rPr>
          <w:bCs/>
          <w:sz w:val="24"/>
          <w:szCs w:val="24"/>
        </w:rPr>
        <w:t>, п. Лежнево, ул. Фабричная</w:t>
      </w:r>
      <w:r w:rsidR="00A924C4">
        <w:rPr>
          <w:bCs/>
          <w:sz w:val="24"/>
          <w:szCs w:val="24"/>
        </w:rPr>
        <w:t>,</w:t>
      </w:r>
      <w:r w:rsidRPr="00780D41">
        <w:rPr>
          <w:bCs/>
          <w:sz w:val="24"/>
          <w:szCs w:val="24"/>
        </w:rPr>
        <w:t xml:space="preserve"> Д20 «Б», которыми ООО «Промэнергосеть-Лежнево» владеет на правах аренды –</w:t>
      </w:r>
      <w:r w:rsidR="00A924C4">
        <w:rPr>
          <w:bCs/>
          <w:sz w:val="24"/>
          <w:szCs w:val="24"/>
        </w:rPr>
        <w:t xml:space="preserve"> </w:t>
      </w:r>
      <w:r w:rsidRPr="00780D41">
        <w:rPr>
          <w:bCs/>
          <w:sz w:val="24"/>
          <w:szCs w:val="24"/>
        </w:rPr>
        <w:t>договор аренды от 10.</w:t>
      </w:r>
      <w:r w:rsidR="00A924C4">
        <w:rPr>
          <w:bCs/>
          <w:sz w:val="24"/>
          <w:szCs w:val="24"/>
        </w:rPr>
        <w:t>09.2019 №1/2019 с ООО «</w:t>
      </w:r>
      <w:r w:rsidRPr="00780D41">
        <w:rPr>
          <w:bCs/>
          <w:sz w:val="24"/>
          <w:szCs w:val="24"/>
        </w:rPr>
        <w:t>Ив</w:t>
      </w:r>
      <w:r w:rsidR="00A924C4">
        <w:rPr>
          <w:bCs/>
          <w:sz w:val="24"/>
          <w:szCs w:val="24"/>
        </w:rPr>
        <w:t>э</w:t>
      </w:r>
      <w:r w:rsidRPr="00780D41">
        <w:rPr>
          <w:bCs/>
          <w:sz w:val="24"/>
          <w:szCs w:val="24"/>
        </w:rPr>
        <w:t>нерго</w:t>
      </w:r>
      <w:r w:rsidR="00A924C4">
        <w:rPr>
          <w:bCs/>
          <w:sz w:val="24"/>
          <w:szCs w:val="24"/>
        </w:rPr>
        <w:t>с</w:t>
      </w:r>
      <w:r w:rsidRPr="00780D41">
        <w:rPr>
          <w:bCs/>
          <w:sz w:val="24"/>
          <w:szCs w:val="24"/>
        </w:rPr>
        <w:t>ервис</w:t>
      </w:r>
      <w:r w:rsidR="00A924C4">
        <w:rPr>
          <w:bCs/>
          <w:sz w:val="24"/>
          <w:szCs w:val="24"/>
        </w:rPr>
        <w:t>»</w:t>
      </w:r>
      <w:r w:rsidRPr="00780D41">
        <w:rPr>
          <w:bCs/>
          <w:sz w:val="24"/>
          <w:szCs w:val="24"/>
        </w:rPr>
        <w:t>. Данные линии находятся на балансе ООО «Ивэнергосервис», в подтверждение арендодателем были представлены оборотно-сальдовые ведомости по счету 01 и 02 и инвентарные карточки учета объектов основных средств.</w:t>
      </w:r>
      <w:r w:rsidR="00A924C4">
        <w:rPr>
          <w:bCs/>
          <w:sz w:val="24"/>
          <w:szCs w:val="24"/>
        </w:rPr>
        <w:t xml:space="preserve"> </w:t>
      </w:r>
      <w:proofErr w:type="gramStart"/>
      <w:r w:rsidRPr="00780D41">
        <w:rPr>
          <w:bCs/>
          <w:sz w:val="24"/>
          <w:szCs w:val="24"/>
        </w:rPr>
        <w:t>Письмом от</w:t>
      </w:r>
      <w:r w:rsidR="00A924C4">
        <w:rPr>
          <w:bCs/>
          <w:sz w:val="24"/>
          <w:szCs w:val="24"/>
        </w:rPr>
        <w:t xml:space="preserve"> </w:t>
      </w:r>
      <w:r w:rsidRPr="00780D41">
        <w:rPr>
          <w:bCs/>
          <w:sz w:val="24"/>
          <w:szCs w:val="24"/>
        </w:rPr>
        <w:t>21.06.2021 года №</w:t>
      </w:r>
      <w:r w:rsidR="00A924C4">
        <w:rPr>
          <w:bCs/>
          <w:sz w:val="24"/>
          <w:szCs w:val="24"/>
        </w:rPr>
        <w:t xml:space="preserve"> </w:t>
      </w:r>
      <w:r w:rsidRPr="00780D41">
        <w:rPr>
          <w:bCs/>
          <w:sz w:val="24"/>
          <w:szCs w:val="24"/>
        </w:rPr>
        <w:t>исх-1354-018/7-07 Департаментом были запрошены документы, подтверждающие право владения ООО «Ивэнергосервис» указанными объектами электросетевого хозяйства и ГБР - Акт о передаче имущества в уставный капитал Общества с ограниченной ответственностью «Ивэнергосервис» от 14.07.2015 года в составе тарифного дела присутствует стр.144-156, реестр ГБР и актов о технологическом присоединении к договору аренды имущества от 01.09.2020 №06/01-Я с ООО</w:t>
      </w:r>
      <w:proofErr w:type="gramEnd"/>
      <w:r w:rsidRPr="00780D41">
        <w:rPr>
          <w:bCs/>
          <w:sz w:val="24"/>
          <w:szCs w:val="24"/>
        </w:rPr>
        <w:t xml:space="preserve"> «Ивэнергосервис» </w:t>
      </w:r>
      <w:proofErr w:type="gramStart"/>
      <w:r w:rsidRPr="00780D41">
        <w:rPr>
          <w:bCs/>
          <w:sz w:val="24"/>
          <w:szCs w:val="24"/>
        </w:rPr>
        <w:t>направлены</w:t>
      </w:r>
      <w:proofErr w:type="gramEnd"/>
      <w:r w:rsidRPr="00780D41">
        <w:rPr>
          <w:bCs/>
          <w:sz w:val="24"/>
          <w:szCs w:val="24"/>
        </w:rPr>
        <w:t xml:space="preserve"> в адрес Департамента письмом от 20.08.2021 №75-08.</w:t>
      </w:r>
    </w:p>
    <w:p w:rsidR="00780D41" w:rsidRPr="00780D41" w:rsidRDefault="00780D41" w:rsidP="00780D41">
      <w:pPr>
        <w:tabs>
          <w:tab w:val="left" w:pos="993"/>
        </w:tabs>
        <w:ind w:firstLine="567"/>
        <w:jc w:val="both"/>
        <w:rPr>
          <w:bCs/>
          <w:sz w:val="24"/>
          <w:szCs w:val="24"/>
        </w:rPr>
      </w:pPr>
      <w:r w:rsidRPr="00780D41">
        <w:rPr>
          <w:bCs/>
          <w:sz w:val="24"/>
          <w:szCs w:val="24"/>
        </w:rPr>
        <w:t xml:space="preserve">- линии протяженностью 1,156 м по договору сооружения электроэнергетики от 23.08.2019 1-08/2020 </w:t>
      </w:r>
      <w:r w:rsidR="00A924C4">
        <w:rPr>
          <w:bCs/>
          <w:sz w:val="24"/>
          <w:szCs w:val="24"/>
        </w:rPr>
        <w:t xml:space="preserve">с </w:t>
      </w:r>
      <w:r w:rsidRPr="00780D41">
        <w:rPr>
          <w:bCs/>
          <w:sz w:val="24"/>
          <w:szCs w:val="24"/>
        </w:rPr>
        <w:t>ООО ПЭС-Кохма</w:t>
      </w:r>
      <w:r w:rsidR="00A924C4">
        <w:rPr>
          <w:bCs/>
          <w:sz w:val="24"/>
          <w:szCs w:val="24"/>
        </w:rPr>
        <w:t>.</w:t>
      </w:r>
    </w:p>
    <w:p w:rsidR="00792F5A" w:rsidRPr="00D63A3D" w:rsidRDefault="00780D41" w:rsidP="00780D41">
      <w:pPr>
        <w:tabs>
          <w:tab w:val="left" w:pos="993"/>
        </w:tabs>
        <w:ind w:firstLine="567"/>
        <w:jc w:val="both"/>
        <w:rPr>
          <w:bCs/>
          <w:sz w:val="24"/>
          <w:szCs w:val="24"/>
          <w:highlight w:val="yellow"/>
        </w:rPr>
      </w:pPr>
      <w:r w:rsidRPr="00780D41">
        <w:rPr>
          <w:bCs/>
          <w:sz w:val="24"/>
          <w:szCs w:val="24"/>
        </w:rPr>
        <w:t>Общество фактически несет расходы на содержание и о</w:t>
      </w:r>
      <w:r w:rsidR="00A924C4">
        <w:rPr>
          <w:bCs/>
          <w:sz w:val="24"/>
          <w:szCs w:val="24"/>
        </w:rPr>
        <w:t>бслуживание данного комплекса.</w:t>
      </w:r>
    </w:p>
    <w:p w:rsidR="007B5DD0" w:rsidRDefault="00894F2F" w:rsidP="00894F2F">
      <w:pPr>
        <w:pStyle w:val="aa"/>
        <w:tabs>
          <w:tab w:val="left" w:pos="1134"/>
          <w:tab w:val="left" w:pos="1276"/>
        </w:tabs>
        <w:ind w:left="0" w:firstLine="567"/>
        <w:jc w:val="both"/>
        <w:rPr>
          <w:sz w:val="24"/>
          <w:szCs w:val="24"/>
        </w:rPr>
      </w:pPr>
      <w:r w:rsidRPr="00894F2F">
        <w:rPr>
          <w:sz w:val="24"/>
          <w:szCs w:val="24"/>
        </w:rPr>
        <w:t>Департамент по вышеперечисленным доводам ООО «Промэнергосеть-</w:t>
      </w:r>
      <w:r>
        <w:rPr>
          <w:sz w:val="24"/>
          <w:szCs w:val="24"/>
        </w:rPr>
        <w:t>Лежнево</w:t>
      </w:r>
      <w:r w:rsidRPr="00894F2F">
        <w:rPr>
          <w:sz w:val="24"/>
          <w:szCs w:val="24"/>
        </w:rPr>
        <w:t>» отмечает следующее.</w:t>
      </w:r>
    </w:p>
    <w:p w:rsidR="00894F2F" w:rsidRDefault="00894F2F" w:rsidP="00894F2F">
      <w:pPr>
        <w:pStyle w:val="aa"/>
        <w:tabs>
          <w:tab w:val="left" w:pos="1134"/>
          <w:tab w:val="left" w:pos="1276"/>
        </w:tabs>
        <w:ind w:left="0" w:firstLine="567"/>
        <w:jc w:val="both"/>
        <w:rPr>
          <w:sz w:val="24"/>
          <w:szCs w:val="24"/>
        </w:rPr>
      </w:pPr>
      <w:r w:rsidRPr="00894F2F">
        <w:rPr>
          <w:sz w:val="24"/>
          <w:szCs w:val="24"/>
        </w:rPr>
        <w:t xml:space="preserve">Объем условных единиц электросетевого хозяйства ООО «Промэнергосеть-Лежнево» на 2022 год составляет </w:t>
      </w:r>
      <w:r w:rsidR="009E57B2" w:rsidRPr="009E57B2">
        <w:rPr>
          <w:sz w:val="24"/>
          <w:szCs w:val="24"/>
        </w:rPr>
        <w:t>985,87</w:t>
      </w:r>
      <w:r w:rsidRPr="00894F2F">
        <w:rPr>
          <w:sz w:val="24"/>
          <w:szCs w:val="24"/>
        </w:rPr>
        <w:t xml:space="preserve"> у.е.</w:t>
      </w:r>
      <w:r>
        <w:rPr>
          <w:sz w:val="24"/>
          <w:szCs w:val="24"/>
        </w:rPr>
        <w:t xml:space="preserve"> </w:t>
      </w:r>
    </w:p>
    <w:p w:rsidR="005E4D07" w:rsidRPr="00FD590F" w:rsidRDefault="005E4D07" w:rsidP="00894F2F">
      <w:pPr>
        <w:pStyle w:val="aa"/>
        <w:tabs>
          <w:tab w:val="left" w:pos="1134"/>
          <w:tab w:val="left" w:pos="1276"/>
        </w:tabs>
        <w:ind w:left="0" w:firstLine="567"/>
        <w:jc w:val="both"/>
        <w:rPr>
          <w:sz w:val="24"/>
          <w:szCs w:val="24"/>
        </w:rPr>
      </w:pPr>
      <w:r w:rsidRPr="00FD590F">
        <w:rPr>
          <w:sz w:val="24"/>
          <w:szCs w:val="24"/>
        </w:rPr>
        <w:t>Департаментом подлежат исключению при расчете условных единиц на 2022 год объекты электросетевого хозяйства, а именно:</w:t>
      </w:r>
    </w:p>
    <w:p w:rsidR="005E4D07" w:rsidRPr="00FD590F" w:rsidRDefault="005E4D07" w:rsidP="00894F2F">
      <w:pPr>
        <w:pStyle w:val="aa"/>
        <w:tabs>
          <w:tab w:val="left" w:pos="1134"/>
          <w:tab w:val="left" w:pos="1276"/>
        </w:tabs>
        <w:ind w:left="0" w:firstLine="567"/>
        <w:jc w:val="both"/>
        <w:rPr>
          <w:sz w:val="24"/>
          <w:szCs w:val="24"/>
        </w:rPr>
      </w:pPr>
      <w:r w:rsidRPr="00FD590F">
        <w:rPr>
          <w:sz w:val="24"/>
          <w:szCs w:val="24"/>
        </w:rPr>
        <w:t xml:space="preserve">- по договору аренды сооружения электроэнергетики от 09.01.2019 № 1/2019, заключенному между ООО «Центр Авиа» и ООО «Промэнергосеть-Лежнево», </w:t>
      </w:r>
      <w:r w:rsidR="00BD2155" w:rsidRPr="00FD590F">
        <w:rPr>
          <w:sz w:val="24"/>
          <w:szCs w:val="24"/>
        </w:rPr>
        <w:t>исключены объекты -</w:t>
      </w:r>
      <w:r w:rsidRPr="00FD590F">
        <w:rPr>
          <w:sz w:val="24"/>
          <w:szCs w:val="24"/>
        </w:rPr>
        <w:t xml:space="preserve"> КТП-2, </w:t>
      </w:r>
      <w:r w:rsidRPr="00FD590F">
        <w:rPr>
          <w:sz w:val="24"/>
          <w:szCs w:val="24"/>
        </w:rPr>
        <w:lastRenderedPageBreak/>
        <w:t>КТПн-12, а также кабельные линии 6 кВ</w:t>
      </w:r>
      <w:r w:rsidR="00BD2155" w:rsidRPr="00FD590F">
        <w:t xml:space="preserve"> </w:t>
      </w:r>
      <w:r w:rsidR="00BD2155" w:rsidRPr="00FD590F">
        <w:rPr>
          <w:sz w:val="24"/>
          <w:szCs w:val="24"/>
        </w:rPr>
        <w:t xml:space="preserve">от ТП-1 до ТП-11 (протяженностью 3100 м), а также </w:t>
      </w:r>
      <w:r w:rsidR="0065294E" w:rsidRPr="00FD590F">
        <w:rPr>
          <w:sz w:val="24"/>
          <w:szCs w:val="24"/>
        </w:rPr>
        <w:t xml:space="preserve">линия </w:t>
      </w:r>
      <w:r w:rsidR="00BD2155" w:rsidRPr="00FD590F">
        <w:rPr>
          <w:sz w:val="24"/>
          <w:szCs w:val="24"/>
        </w:rPr>
        <w:t xml:space="preserve">электропередач 6 кВ от 2КТПн-3 </w:t>
      </w:r>
      <w:proofErr w:type="gramStart"/>
      <w:r w:rsidR="00BD2155" w:rsidRPr="00FD590F">
        <w:rPr>
          <w:sz w:val="24"/>
          <w:szCs w:val="24"/>
        </w:rPr>
        <w:t>до</w:t>
      </w:r>
      <w:proofErr w:type="gramEnd"/>
      <w:r w:rsidR="00BD2155" w:rsidRPr="00FD590F">
        <w:rPr>
          <w:sz w:val="24"/>
          <w:szCs w:val="24"/>
        </w:rPr>
        <w:t xml:space="preserve"> КТП-3 (протяженностью 30 м);</w:t>
      </w:r>
    </w:p>
    <w:p w:rsidR="00BD2155" w:rsidRPr="00FD590F" w:rsidRDefault="00BD2155" w:rsidP="00894F2F">
      <w:pPr>
        <w:pStyle w:val="aa"/>
        <w:tabs>
          <w:tab w:val="left" w:pos="1134"/>
          <w:tab w:val="left" w:pos="1276"/>
        </w:tabs>
        <w:ind w:left="0" w:firstLine="567"/>
        <w:jc w:val="both"/>
        <w:rPr>
          <w:sz w:val="24"/>
          <w:szCs w:val="24"/>
        </w:rPr>
      </w:pPr>
      <w:r w:rsidRPr="00FD590F">
        <w:rPr>
          <w:sz w:val="24"/>
          <w:szCs w:val="24"/>
        </w:rPr>
        <w:t>- по договору аренды сооружения электроэнергетики от 23.08.2019 № 1-08/2020, заключенному между ООО «Промэнергосеть-Кохма» и ООО «Промэнергосеть-Лежнево», исключены кабельные линии (протяженностью 1156 м);</w:t>
      </w:r>
    </w:p>
    <w:p w:rsidR="00BD2155" w:rsidRPr="00FD590F" w:rsidRDefault="00205D42" w:rsidP="00894F2F">
      <w:pPr>
        <w:pStyle w:val="aa"/>
        <w:tabs>
          <w:tab w:val="left" w:pos="1134"/>
          <w:tab w:val="left" w:pos="1276"/>
        </w:tabs>
        <w:ind w:left="0" w:firstLine="567"/>
        <w:jc w:val="both"/>
        <w:rPr>
          <w:sz w:val="24"/>
          <w:szCs w:val="24"/>
        </w:rPr>
      </w:pPr>
      <w:r w:rsidRPr="00FD590F">
        <w:rPr>
          <w:sz w:val="24"/>
          <w:szCs w:val="24"/>
        </w:rPr>
        <w:t>- по договору аренды имущества от 01.09.2020 №06/01-Я, заключенному между ООО «Ивэнергосервис» и ООО «Промэнергосеть-</w:t>
      </w:r>
      <w:r w:rsidR="005E3111" w:rsidRPr="00FD590F">
        <w:rPr>
          <w:sz w:val="24"/>
          <w:szCs w:val="24"/>
        </w:rPr>
        <w:t>Лежнево», исключены кабельные линии</w:t>
      </w:r>
      <w:r w:rsidR="0065294E" w:rsidRPr="00FD590F">
        <w:rPr>
          <w:sz w:val="24"/>
          <w:szCs w:val="24"/>
        </w:rPr>
        <w:t>,</w:t>
      </w:r>
      <w:r w:rsidR="005E3111" w:rsidRPr="00FD590F">
        <w:rPr>
          <w:sz w:val="24"/>
          <w:szCs w:val="24"/>
        </w:rPr>
        <w:t xml:space="preserve"> расположенн</w:t>
      </w:r>
      <w:r w:rsidR="0065294E" w:rsidRPr="00FD590F">
        <w:rPr>
          <w:sz w:val="24"/>
          <w:szCs w:val="24"/>
        </w:rPr>
        <w:t>ы</w:t>
      </w:r>
      <w:r w:rsidR="005E3111" w:rsidRPr="00FD590F">
        <w:rPr>
          <w:sz w:val="24"/>
          <w:szCs w:val="24"/>
        </w:rPr>
        <w:t>е по адресу: Ивановская область, Лежневский район, п. Лежнево, д. 20, 20б, 20/1,</w:t>
      </w:r>
      <w:r w:rsidR="0065294E" w:rsidRPr="00FD590F">
        <w:rPr>
          <w:sz w:val="24"/>
          <w:szCs w:val="24"/>
        </w:rPr>
        <w:t xml:space="preserve"> </w:t>
      </w:r>
      <w:r w:rsidR="005E3111" w:rsidRPr="00FD590F">
        <w:rPr>
          <w:sz w:val="24"/>
          <w:szCs w:val="24"/>
        </w:rPr>
        <w:t>20/3.</w:t>
      </w:r>
    </w:p>
    <w:p w:rsidR="005E3111" w:rsidRPr="00FD590F" w:rsidRDefault="005E3111" w:rsidP="005E3111">
      <w:pPr>
        <w:autoSpaceDE w:val="0"/>
        <w:autoSpaceDN w:val="0"/>
        <w:adjustRightInd w:val="0"/>
        <w:ind w:firstLine="540"/>
        <w:jc w:val="both"/>
        <w:rPr>
          <w:sz w:val="24"/>
          <w:szCs w:val="24"/>
        </w:rPr>
      </w:pPr>
      <w:r w:rsidRPr="00FD590F">
        <w:rPr>
          <w:sz w:val="24"/>
          <w:szCs w:val="24"/>
        </w:rPr>
        <w:t xml:space="preserve">Департамент отмечает, что в соответствии с </w:t>
      </w:r>
      <w:proofErr w:type="gramStart"/>
      <w:r w:rsidRPr="00FD590F">
        <w:rPr>
          <w:sz w:val="24"/>
          <w:szCs w:val="24"/>
        </w:rPr>
        <w:t>ОК</w:t>
      </w:r>
      <w:proofErr w:type="gramEnd"/>
      <w:r w:rsidRPr="00FD590F">
        <w:rPr>
          <w:sz w:val="24"/>
          <w:szCs w:val="24"/>
        </w:rPr>
        <w:t xml:space="preserve"> 013-2014 (СНС 2008) Общероссийский классификатор основных фондов (далее – ОКОФ), принятым Приказом Росстандарта от 12.12.2014 № 2018-ст, к группировке «СООРУЖЕНИЯ» относятся инженерно-строительные объекты, возведенные с помощью строительно-монтажных работ. 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5E3111" w:rsidRPr="00FD590F" w:rsidRDefault="005E3111" w:rsidP="005E3111">
      <w:pPr>
        <w:widowControl/>
        <w:autoSpaceDE w:val="0"/>
        <w:autoSpaceDN w:val="0"/>
        <w:adjustRightInd w:val="0"/>
        <w:ind w:firstLine="540"/>
        <w:jc w:val="both"/>
        <w:rPr>
          <w:sz w:val="24"/>
          <w:szCs w:val="24"/>
        </w:rPr>
      </w:pPr>
      <w:proofErr w:type="gramStart"/>
      <w:r w:rsidRPr="00FD590F">
        <w:rPr>
          <w:sz w:val="24"/>
          <w:szCs w:val="24"/>
        </w:rPr>
        <w:t xml:space="preserve">Примерами сооружений могут служить такие объекты, как магистрали, улицы, автомобильные, железные дороги, взлетно-посадочные полосы аэродромов; мосты, эстакады, тоннели; водные магистрали, плотины и другие гидротехнические сооружения; магистральные трубопроводы, </w:t>
      </w:r>
      <w:r w:rsidRPr="00FD590F">
        <w:rPr>
          <w:b/>
          <w:sz w:val="24"/>
          <w:szCs w:val="24"/>
        </w:rPr>
        <w:t>линии</w:t>
      </w:r>
      <w:r w:rsidRPr="00FD590F">
        <w:rPr>
          <w:sz w:val="24"/>
          <w:szCs w:val="24"/>
        </w:rPr>
        <w:t xml:space="preserve"> связи и </w:t>
      </w:r>
      <w:r w:rsidRPr="00FD590F">
        <w:rPr>
          <w:b/>
          <w:sz w:val="24"/>
          <w:szCs w:val="24"/>
        </w:rPr>
        <w:t>электропередачи</w:t>
      </w:r>
      <w:r w:rsidRPr="00FD590F">
        <w:rPr>
          <w:sz w:val="24"/>
          <w:szCs w:val="24"/>
        </w:rPr>
        <w:t>; местные трубопроводы, шахты и сооружения для отдыха, развлечений и проведения досуга.</w:t>
      </w:r>
      <w:proofErr w:type="gramEnd"/>
    </w:p>
    <w:p w:rsidR="005E3111" w:rsidRPr="00FD590F" w:rsidRDefault="005E3111" w:rsidP="005E3111">
      <w:pPr>
        <w:widowControl/>
        <w:autoSpaceDE w:val="0"/>
        <w:autoSpaceDN w:val="0"/>
        <w:adjustRightInd w:val="0"/>
        <w:ind w:firstLine="540"/>
        <w:jc w:val="both"/>
        <w:rPr>
          <w:sz w:val="24"/>
          <w:szCs w:val="24"/>
        </w:rPr>
      </w:pPr>
      <w:r w:rsidRPr="00FD590F">
        <w:rPr>
          <w:sz w:val="24"/>
          <w:szCs w:val="24"/>
        </w:rPr>
        <w:t>Объектом, выступающим как сооружение, является каждое отдельное сооружение со всеми устройствами, составляющими с ним единое целое.</w:t>
      </w:r>
    </w:p>
    <w:p w:rsidR="005E3111" w:rsidRPr="00FD590F" w:rsidRDefault="005E3111" w:rsidP="005E3111">
      <w:pPr>
        <w:widowControl/>
        <w:autoSpaceDE w:val="0"/>
        <w:autoSpaceDN w:val="0"/>
        <w:adjustRightInd w:val="0"/>
        <w:ind w:firstLine="540"/>
        <w:jc w:val="both"/>
        <w:rPr>
          <w:sz w:val="24"/>
          <w:szCs w:val="24"/>
        </w:rPr>
      </w:pPr>
      <w:r w:rsidRPr="00FD590F">
        <w:rPr>
          <w:sz w:val="24"/>
          <w:szCs w:val="24"/>
        </w:rPr>
        <w:t xml:space="preserve">Таким образом, объекты </w:t>
      </w:r>
      <w:r w:rsidR="0068130D" w:rsidRPr="00FD590F">
        <w:rPr>
          <w:sz w:val="24"/>
          <w:szCs w:val="24"/>
        </w:rPr>
        <w:t xml:space="preserve">- </w:t>
      </w:r>
      <w:r w:rsidRPr="00FD590F">
        <w:rPr>
          <w:sz w:val="24"/>
          <w:szCs w:val="24"/>
        </w:rPr>
        <w:t>лин</w:t>
      </w:r>
      <w:r w:rsidR="0068130D" w:rsidRPr="00FD590F">
        <w:rPr>
          <w:sz w:val="24"/>
          <w:szCs w:val="24"/>
        </w:rPr>
        <w:t>ии электропередач, указанные в д</w:t>
      </w:r>
      <w:r w:rsidRPr="00FD590F">
        <w:rPr>
          <w:sz w:val="24"/>
          <w:szCs w:val="24"/>
        </w:rPr>
        <w:t>оговор</w:t>
      </w:r>
      <w:r w:rsidR="0068130D" w:rsidRPr="00FD590F">
        <w:rPr>
          <w:sz w:val="24"/>
          <w:szCs w:val="24"/>
        </w:rPr>
        <w:t>ах</w:t>
      </w:r>
      <w:r w:rsidRPr="00FD590F">
        <w:rPr>
          <w:sz w:val="24"/>
          <w:szCs w:val="24"/>
        </w:rPr>
        <w:t>, являются сооружениями.</w:t>
      </w:r>
    </w:p>
    <w:p w:rsidR="005E3111" w:rsidRPr="00FD590F" w:rsidRDefault="005E3111" w:rsidP="005E3111">
      <w:pPr>
        <w:widowControl/>
        <w:autoSpaceDE w:val="0"/>
        <w:autoSpaceDN w:val="0"/>
        <w:adjustRightInd w:val="0"/>
        <w:ind w:firstLine="540"/>
        <w:jc w:val="both"/>
        <w:rPr>
          <w:sz w:val="24"/>
          <w:szCs w:val="24"/>
        </w:rPr>
      </w:pPr>
      <w:r w:rsidRPr="00FD590F">
        <w:rPr>
          <w:sz w:val="24"/>
          <w:szCs w:val="24"/>
        </w:rPr>
        <w:t>В соответствии со статьей 130 ГК РФ, к недвижимым вещам (недвижимому имуществу, недвижимости)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5E3111" w:rsidRPr="00FD590F" w:rsidRDefault="005E3111" w:rsidP="005E3111">
      <w:pPr>
        <w:widowControl/>
        <w:autoSpaceDE w:val="0"/>
        <w:autoSpaceDN w:val="0"/>
        <w:adjustRightInd w:val="0"/>
        <w:ind w:firstLine="540"/>
        <w:jc w:val="both"/>
        <w:rPr>
          <w:sz w:val="24"/>
          <w:szCs w:val="24"/>
        </w:rPr>
      </w:pPr>
      <w:r w:rsidRPr="00FD590F">
        <w:rPr>
          <w:sz w:val="24"/>
          <w:szCs w:val="24"/>
        </w:rPr>
        <w:t>Следовательно, указанное имущество является недвижимым имуществом, переход прав на которое подлежит обязательной государственной регистрации. Согласно статье 219 ГК РФ 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w:t>
      </w:r>
    </w:p>
    <w:p w:rsidR="00145D4A" w:rsidRPr="00FD590F" w:rsidRDefault="00145D4A" w:rsidP="00145D4A">
      <w:pPr>
        <w:pStyle w:val="aa"/>
        <w:tabs>
          <w:tab w:val="left" w:pos="1134"/>
          <w:tab w:val="left" w:pos="1276"/>
        </w:tabs>
        <w:ind w:left="0" w:firstLine="567"/>
        <w:jc w:val="both"/>
        <w:rPr>
          <w:sz w:val="24"/>
          <w:szCs w:val="24"/>
        </w:rPr>
      </w:pPr>
      <w:r w:rsidRPr="00FD590F">
        <w:rPr>
          <w:sz w:val="24"/>
          <w:szCs w:val="24"/>
        </w:rPr>
        <w:t>Таким образом, поскольку в материалы тарифного дела не представлены правоподтверждающие документы, подтверждающие законное право владения собственника (арендодателя), а также отказ в регистрации прав на объекты электроэнергетики, как не относящиеся к недвижимому имуществу, вышеуказанные объект</w:t>
      </w:r>
      <w:r w:rsidR="0068130D" w:rsidRPr="00FD590F">
        <w:rPr>
          <w:sz w:val="24"/>
          <w:szCs w:val="24"/>
        </w:rPr>
        <w:t>ы</w:t>
      </w:r>
      <w:r w:rsidRPr="00FD590F">
        <w:rPr>
          <w:sz w:val="24"/>
          <w:szCs w:val="24"/>
        </w:rPr>
        <w:t xml:space="preserve"> электросетевого хозяйства подлежат исключению при расчете условных единиц на 2022 год.</w:t>
      </w:r>
    </w:p>
    <w:p w:rsidR="005B37A6" w:rsidRPr="00684A5F" w:rsidRDefault="005B37A6" w:rsidP="00894F2F">
      <w:pPr>
        <w:pStyle w:val="aa"/>
        <w:tabs>
          <w:tab w:val="left" w:pos="1134"/>
          <w:tab w:val="left" w:pos="1276"/>
        </w:tabs>
        <w:ind w:left="0" w:firstLine="567"/>
        <w:jc w:val="both"/>
        <w:rPr>
          <w:sz w:val="24"/>
          <w:szCs w:val="24"/>
        </w:rPr>
      </w:pPr>
      <w:r w:rsidRPr="00684A5F">
        <w:rPr>
          <w:sz w:val="24"/>
          <w:szCs w:val="24"/>
        </w:rPr>
        <w:t>В части КТП-2, КТПн-12 Департамент отмечает, что в договоре купли-продажи от 01.10.2013 № 1, заключенном между ОАО «Авиационное предприятие «Золотое кольцо» и ООО «Центр авиа», данные объекты отсутству</w:t>
      </w:r>
      <w:r w:rsidR="00684A5F" w:rsidRPr="00684A5F">
        <w:rPr>
          <w:sz w:val="24"/>
          <w:szCs w:val="24"/>
        </w:rPr>
        <w:t>ю</w:t>
      </w:r>
      <w:r w:rsidR="008C5C74">
        <w:rPr>
          <w:sz w:val="24"/>
          <w:szCs w:val="24"/>
        </w:rPr>
        <w:t>т.</w:t>
      </w:r>
    </w:p>
    <w:p w:rsidR="00BD2155" w:rsidRPr="00684A5F" w:rsidRDefault="005B37A6" w:rsidP="00894F2F">
      <w:pPr>
        <w:pStyle w:val="aa"/>
        <w:tabs>
          <w:tab w:val="left" w:pos="1134"/>
          <w:tab w:val="left" w:pos="1276"/>
        </w:tabs>
        <w:ind w:left="0" w:firstLine="567"/>
        <w:jc w:val="both"/>
        <w:rPr>
          <w:sz w:val="24"/>
          <w:szCs w:val="24"/>
        </w:rPr>
      </w:pPr>
      <w:r w:rsidRPr="00684A5F">
        <w:rPr>
          <w:sz w:val="24"/>
          <w:szCs w:val="24"/>
        </w:rPr>
        <w:t>Ввиду того</w:t>
      </w:r>
      <w:r w:rsidR="00684A5F" w:rsidRPr="00684A5F">
        <w:rPr>
          <w:sz w:val="24"/>
          <w:szCs w:val="24"/>
        </w:rPr>
        <w:t>,</w:t>
      </w:r>
      <w:r w:rsidRPr="00684A5F">
        <w:rPr>
          <w:sz w:val="24"/>
          <w:szCs w:val="24"/>
        </w:rPr>
        <w:t xml:space="preserve"> что законное право владения собственника (арендодателя) вышеуказанного оборудования не подтверждено, тем самым </w:t>
      </w:r>
      <w:r w:rsidR="00684A5F" w:rsidRPr="00684A5F">
        <w:rPr>
          <w:sz w:val="24"/>
          <w:szCs w:val="24"/>
        </w:rPr>
        <w:t xml:space="preserve">данное оборудование </w:t>
      </w:r>
      <w:r w:rsidRPr="00684A5F">
        <w:rPr>
          <w:sz w:val="24"/>
          <w:szCs w:val="24"/>
        </w:rPr>
        <w:t>подлежит исключению при расчете условных единиц на 2022 год.</w:t>
      </w:r>
    </w:p>
    <w:p w:rsidR="003D7854" w:rsidRDefault="00994D20" w:rsidP="003D7854">
      <w:pPr>
        <w:suppressAutoHyphens/>
        <w:autoSpaceDE w:val="0"/>
        <w:ind w:firstLine="708"/>
        <w:jc w:val="both"/>
        <w:rPr>
          <w:sz w:val="24"/>
          <w:szCs w:val="24"/>
          <w:lang w:eastAsia="ar-SA"/>
        </w:rPr>
      </w:pPr>
      <w:r w:rsidRPr="00994D20">
        <w:rPr>
          <w:sz w:val="24"/>
          <w:szCs w:val="24"/>
        </w:rPr>
        <w:t>2.</w:t>
      </w:r>
      <w:r>
        <w:rPr>
          <w:sz w:val="24"/>
          <w:szCs w:val="24"/>
        </w:rPr>
        <w:t xml:space="preserve"> </w:t>
      </w:r>
      <w:r w:rsidR="003D7854" w:rsidRPr="002471C9">
        <w:rPr>
          <w:rFonts w:eastAsia="Calibri"/>
          <w:sz w:val="24"/>
          <w:szCs w:val="24"/>
        </w:rPr>
        <w:t>«Амортизация»</w:t>
      </w:r>
      <w:r w:rsidR="002471C9" w:rsidRPr="002471C9">
        <w:rPr>
          <w:rFonts w:eastAsia="Calibri"/>
          <w:sz w:val="24"/>
          <w:szCs w:val="24"/>
        </w:rPr>
        <w:t xml:space="preserve"> </w:t>
      </w:r>
      <w:r w:rsidR="003D7854" w:rsidRPr="002471C9">
        <w:rPr>
          <w:rFonts w:eastAsia="Calibri"/>
          <w:sz w:val="24"/>
          <w:szCs w:val="24"/>
        </w:rPr>
        <w:t>-</w:t>
      </w:r>
      <w:r w:rsidR="003D7854">
        <w:rPr>
          <w:rFonts w:eastAsia="Calibri"/>
          <w:sz w:val="24"/>
          <w:szCs w:val="24"/>
        </w:rPr>
        <w:t xml:space="preserve"> не включены плановые расходы по амортизации по объек</w:t>
      </w:r>
      <w:r w:rsidR="009049AE">
        <w:rPr>
          <w:rFonts w:eastAsia="Calibri"/>
          <w:sz w:val="24"/>
          <w:szCs w:val="24"/>
        </w:rPr>
        <w:t>там инвестпрограммы 2022 года (У</w:t>
      </w:r>
      <w:r w:rsidR="003D7854">
        <w:rPr>
          <w:rFonts w:eastAsia="Calibri"/>
          <w:sz w:val="24"/>
          <w:szCs w:val="24"/>
        </w:rPr>
        <w:t>становка ПУ в ТП-2 г. Иваново ул. Станкостроител</w:t>
      </w:r>
      <w:r w:rsidR="009049AE">
        <w:rPr>
          <w:rFonts w:eastAsia="Calibri"/>
          <w:sz w:val="24"/>
          <w:szCs w:val="24"/>
        </w:rPr>
        <w:t>ей (потребитель ИВЭЛС ввод 1), У</w:t>
      </w:r>
      <w:r w:rsidR="003D7854">
        <w:rPr>
          <w:rFonts w:eastAsia="Calibri"/>
          <w:sz w:val="24"/>
          <w:szCs w:val="24"/>
        </w:rPr>
        <w:t>становка ПУ в ТП-2 г. Иваново ул. Станкостроител</w:t>
      </w:r>
      <w:r w:rsidR="009049AE">
        <w:rPr>
          <w:rFonts w:eastAsia="Calibri"/>
          <w:sz w:val="24"/>
          <w:szCs w:val="24"/>
        </w:rPr>
        <w:t>ей (потребитель ИВЭЛС ввод 2); у</w:t>
      </w:r>
      <w:r w:rsidR="003D7854">
        <w:rPr>
          <w:rFonts w:eastAsia="Calibri"/>
          <w:sz w:val="24"/>
          <w:szCs w:val="24"/>
        </w:rPr>
        <w:t>становка ПКУ на ВЛ-6кВ ф-612 кабель</w:t>
      </w:r>
      <w:proofErr w:type="gramStart"/>
      <w:r w:rsidR="003D7854">
        <w:rPr>
          <w:rFonts w:eastAsia="Calibri"/>
          <w:sz w:val="24"/>
          <w:szCs w:val="24"/>
        </w:rPr>
        <w:t xml:space="preserve"> А</w:t>
      </w:r>
      <w:proofErr w:type="gramEnd"/>
      <w:r w:rsidR="003D7854">
        <w:rPr>
          <w:rFonts w:eastAsia="Calibri"/>
          <w:sz w:val="24"/>
          <w:szCs w:val="24"/>
        </w:rPr>
        <w:t xml:space="preserve"> г. Иваново ул. Станкостроителей</w:t>
      </w:r>
      <w:r w:rsidR="009049AE">
        <w:rPr>
          <w:rFonts w:eastAsia="Calibri"/>
          <w:sz w:val="24"/>
          <w:szCs w:val="24"/>
        </w:rPr>
        <w:t xml:space="preserve"> </w:t>
      </w:r>
      <w:r w:rsidR="003D7854">
        <w:rPr>
          <w:rFonts w:eastAsia="Calibri"/>
          <w:sz w:val="24"/>
          <w:szCs w:val="24"/>
        </w:rPr>
        <w:t>(потребитель Хейфец); Установка ПКУ на ВЛ-6кВ ф-612 кабель</w:t>
      </w:r>
      <w:proofErr w:type="gramStart"/>
      <w:r w:rsidR="003D7854">
        <w:rPr>
          <w:rFonts w:eastAsia="Calibri"/>
          <w:sz w:val="24"/>
          <w:szCs w:val="24"/>
        </w:rPr>
        <w:t xml:space="preserve"> А</w:t>
      </w:r>
      <w:proofErr w:type="gramEnd"/>
      <w:r w:rsidR="003D7854">
        <w:rPr>
          <w:rFonts w:eastAsia="Calibri"/>
          <w:sz w:val="24"/>
          <w:szCs w:val="24"/>
        </w:rPr>
        <w:t xml:space="preserve"> г. Иваново ул. Станкостроителей</w:t>
      </w:r>
      <w:r w:rsidR="003D7854">
        <w:rPr>
          <w:rFonts w:eastAsia="Calibri"/>
          <w:sz w:val="24"/>
          <w:szCs w:val="24"/>
        </w:rPr>
        <w:br/>
        <w:t xml:space="preserve">(потребитель </w:t>
      </w:r>
      <w:proofErr w:type="spellStart"/>
      <w:r w:rsidR="003D7854">
        <w:rPr>
          <w:rFonts w:eastAsia="Calibri"/>
          <w:sz w:val="24"/>
          <w:szCs w:val="24"/>
        </w:rPr>
        <w:t>ЭкоСити</w:t>
      </w:r>
      <w:proofErr w:type="spellEnd"/>
      <w:r w:rsidR="003D7854">
        <w:rPr>
          <w:rFonts w:eastAsia="Calibri"/>
          <w:sz w:val="24"/>
          <w:szCs w:val="24"/>
        </w:rPr>
        <w:t xml:space="preserve">); Установка ПУ в ТП-1 г. Иваново ул. Станкостроителей (потребитель Лидер). В связи с тем, что собственных источников финансирования для исполнения инвестпрограммы у Общества нет (прибыль на согласительном совещании была исключена как источник), </w:t>
      </w:r>
      <w:r w:rsidR="003D7854" w:rsidRPr="002471C9">
        <w:rPr>
          <w:rFonts w:eastAsia="Calibri"/>
          <w:sz w:val="24"/>
          <w:szCs w:val="24"/>
        </w:rPr>
        <w:t>данные расходы планировались ООО «Промэнергосеть-Лежнево» для погашения тела кредита, который планировалось</w:t>
      </w:r>
      <w:r w:rsidR="003D7854">
        <w:rPr>
          <w:rFonts w:eastAsia="Calibri"/>
          <w:sz w:val="24"/>
          <w:szCs w:val="24"/>
        </w:rPr>
        <w:t xml:space="preserve"> привлечь в целях исполнения инвестпрограммы в части 2022 </w:t>
      </w:r>
      <w:r w:rsidR="003D7854">
        <w:rPr>
          <w:rFonts w:eastAsia="Calibri"/>
          <w:sz w:val="24"/>
          <w:szCs w:val="24"/>
        </w:rPr>
        <w:lastRenderedPageBreak/>
        <w:t xml:space="preserve">года. </w:t>
      </w:r>
      <w:r w:rsidR="003D7854">
        <w:rPr>
          <w:sz w:val="24"/>
          <w:szCs w:val="24"/>
          <w:lang w:eastAsia="ar-SA"/>
        </w:rPr>
        <w:t>Мероприятия данной инвестпрограммы направленны на выполнение предусмотренных пунктом 5 статьи 37 Федерального зако</w:t>
      </w:r>
      <w:r w:rsidR="005E6BAD">
        <w:rPr>
          <w:sz w:val="24"/>
          <w:szCs w:val="24"/>
          <w:lang w:eastAsia="ar-SA"/>
        </w:rPr>
        <w:t>на от 26 марта 2003 г. №</w:t>
      </w:r>
      <w:r w:rsidR="009049AE">
        <w:rPr>
          <w:sz w:val="24"/>
          <w:szCs w:val="24"/>
          <w:lang w:eastAsia="ar-SA"/>
        </w:rPr>
        <w:t> 35-ФЗ «</w:t>
      </w:r>
      <w:r w:rsidR="003D7854">
        <w:rPr>
          <w:sz w:val="24"/>
          <w:szCs w:val="24"/>
          <w:lang w:eastAsia="ar-SA"/>
        </w:rPr>
        <w:t>Об электроэнергетике</w:t>
      </w:r>
      <w:r w:rsidR="009049AE">
        <w:rPr>
          <w:sz w:val="24"/>
          <w:szCs w:val="24"/>
          <w:lang w:eastAsia="ar-SA"/>
        </w:rPr>
        <w:t>»</w:t>
      </w:r>
      <w:r w:rsidR="003D7854">
        <w:rPr>
          <w:sz w:val="24"/>
          <w:szCs w:val="24"/>
          <w:lang w:eastAsia="ar-SA"/>
        </w:rPr>
        <w:t xml:space="preserve"> обязанностей сетевой организации по обеспечению коммерческого учета электрической энергии (мощности) на 2022 год.</w:t>
      </w:r>
    </w:p>
    <w:p w:rsidR="00994D20" w:rsidRPr="003D7854" w:rsidRDefault="003D7854" w:rsidP="003D7854">
      <w:pPr>
        <w:suppressAutoHyphens/>
        <w:autoSpaceDE w:val="0"/>
        <w:ind w:firstLine="708"/>
        <w:jc w:val="both"/>
        <w:rPr>
          <w:sz w:val="24"/>
          <w:szCs w:val="24"/>
          <w:lang w:eastAsia="ar-SA"/>
        </w:rPr>
      </w:pPr>
      <w:r>
        <w:rPr>
          <w:sz w:val="24"/>
          <w:szCs w:val="24"/>
          <w:lang w:eastAsia="ar-SA"/>
        </w:rPr>
        <w:t xml:space="preserve">Не в полном объеме учтена стоимость по объекту ОС «Сооружение электроэнергетики ВЛЭП-0,4 844,6 м деревянные опоры на </w:t>
      </w:r>
      <w:proofErr w:type="gramStart"/>
      <w:r>
        <w:rPr>
          <w:sz w:val="24"/>
          <w:szCs w:val="24"/>
          <w:lang w:eastAsia="ar-SA"/>
        </w:rPr>
        <w:t>ж/б</w:t>
      </w:r>
      <w:proofErr w:type="gramEnd"/>
      <w:r>
        <w:rPr>
          <w:sz w:val="24"/>
          <w:szCs w:val="24"/>
          <w:lang w:eastAsia="ar-SA"/>
        </w:rPr>
        <w:t xml:space="preserve"> приставках» реконструкция данного объекта проводилась в 2 этапа (2 этап не учтен), что также уменьшает финансовые средства Общества, которые необходимы для погашения кредитных обязательств по инвестпрограмме.</w:t>
      </w:r>
    </w:p>
    <w:p w:rsidR="00994D20" w:rsidRPr="00994D20" w:rsidRDefault="00994D20" w:rsidP="00994D20">
      <w:pPr>
        <w:pStyle w:val="aa"/>
        <w:tabs>
          <w:tab w:val="left" w:pos="1134"/>
          <w:tab w:val="left" w:pos="1276"/>
        </w:tabs>
        <w:ind w:left="0" w:firstLine="567"/>
        <w:jc w:val="both"/>
        <w:rPr>
          <w:sz w:val="24"/>
          <w:szCs w:val="24"/>
        </w:rPr>
      </w:pPr>
      <w:r w:rsidRPr="00994D20">
        <w:rPr>
          <w:sz w:val="24"/>
          <w:szCs w:val="24"/>
        </w:rPr>
        <w:t>Департамент по вышеперечисленным доводам ООО «Промэнергосеть-Лежнево» отмечает следующее.</w:t>
      </w:r>
    </w:p>
    <w:p w:rsidR="00894F2F" w:rsidRDefault="00994D20" w:rsidP="00894F2F">
      <w:pPr>
        <w:pStyle w:val="aa"/>
        <w:tabs>
          <w:tab w:val="left" w:pos="1134"/>
          <w:tab w:val="left" w:pos="1276"/>
        </w:tabs>
        <w:ind w:left="0" w:firstLine="567"/>
        <w:jc w:val="both"/>
        <w:rPr>
          <w:sz w:val="24"/>
          <w:szCs w:val="24"/>
        </w:rPr>
      </w:pPr>
      <w:r>
        <w:rPr>
          <w:sz w:val="24"/>
          <w:szCs w:val="24"/>
        </w:rPr>
        <w:t xml:space="preserve">Департаментом </w:t>
      </w:r>
      <w:r w:rsidRPr="00994D20">
        <w:rPr>
          <w:sz w:val="24"/>
          <w:szCs w:val="24"/>
        </w:rPr>
        <w:t xml:space="preserve">исключены, как экономически необоснованные </w:t>
      </w:r>
      <w:r w:rsidR="002853FC">
        <w:rPr>
          <w:sz w:val="24"/>
          <w:szCs w:val="24"/>
        </w:rPr>
        <w:t xml:space="preserve">плановые </w:t>
      </w:r>
      <w:r w:rsidRPr="00994D20">
        <w:rPr>
          <w:sz w:val="24"/>
          <w:szCs w:val="24"/>
        </w:rPr>
        <w:t>расходы</w:t>
      </w:r>
      <w:r w:rsidR="002853FC">
        <w:rPr>
          <w:sz w:val="24"/>
          <w:szCs w:val="24"/>
        </w:rPr>
        <w:t xml:space="preserve"> 2022 года</w:t>
      </w:r>
      <w:r w:rsidRPr="00994D20">
        <w:rPr>
          <w:sz w:val="24"/>
          <w:szCs w:val="24"/>
        </w:rPr>
        <w:t xml:space="preserve">, «амортизация основных средств» в размере </w:t>
      </w:r>
      <w:r w:rsidR="00195E01">
        <w:rPr>
          <w:sz w:val="24"/>
          <w:szCs w:val="24"/>
        </w:rPr>
        <w:t>107,34</w:t>
      </w:r>
      <w:r w:rsidRPr="00994D20">
        <w:rPr>
          <w:sz w:val="24"/>
          <w:szCs w:val="24"/>
        </w:rPr>
        <w:t xml:space="preserve"> тыс. руб.</w:t>
      </w:r>
    </w:p>
    <w:p w:rsidR="00195E01" w:rsidRDefault="002853FC" w:rsidP="00195E01">
      <w:pPr>
        <w:widowControl/>
        <w:tabs>
          <w:tab w:val="left" w:pos="567"/>
          <w:tab w:val="left" w:pos="1843"/>
        </w:tabs>
        <w:ind w:firstLine="567"/>
        <w:jc w:val="both"/>
        <w:rPr>
          <w:sz w:val="24"/>
          <w:szCs w:val="24"/>
        </w:rPr>
      </w:pPr>
      <w:r>
        <w:rPr>
          <w:sz w:val="24"/>
          <w:szCs w:val="24"/>
        </w:rPr>
        <w:t>Департамент</w:t>
      </w:r>
      <w:r w:rsidR="00195E01" w:rsidRPr="00195E01">
        <w:rPr>
          <w:sz w:val="24"/>
          <w:szCs w:val="24"/>
        </w:rPr>
        <w:t xml:space="preserve"> отмечает, что расходы на амортизацию основных средств относятся к неподконтрольным расходам ООО «Промэнергосеть-Лежнево». В соответствии с Основами ценообразования и Методическими указаниями № 98-э плановые неподконтрольные расходы определяются Департаментом ежегодно с учетом их экономически обоснованного уровня, а ранее учтенные на соответствующий период регулирования плановые расходы подлежат ежегодной корректировке с учетом фактически понесенных организацией экономически обоснованных расходов.</w:t>
      </w:r>
    </w:p>
    <w:p w:rsidR="00B71C97" w:rsidRDefault="00B71C97" w:rsidP="0063569C">
      <w:pPr>
        <w:widowControl/>
        <w:tabs>
          <w:tab w:val="left" w:pos="567"/>
          <w:tab w:val="left" w:pos="1843"/>
        </w:tabs>
        <w:ind w:firstLine="567"/>
        <w:jc w:val="both"/>
        <w:rPr>
          <w:sz w:val="24"/>
          <w:szCs w:val="24"/>
        </w:rPr>
      </w:pPr>
      <w:r>
        <w:rPr>
          <w:sz w:val="24"/>
          <w:szCs w:val="24"/>
        </w:rPr>
        <w:t xml:space="preserve">В </w:t>
      </w:r>
      <w:r w:rsidRPr="00B71C97">
        <w:rPr>
          <w:sz w:val="24"/>
          <w:szCs w:val="24"/>
        </w:rPr>
        <w:t>соответствии с положениями пункта 27 Основ ценообразования расходы на амортизацию основных средств и нематериальных активов для расчета регулируемых цен (тарифов) определяются в соответствии с нормативными правовыми актами, регулирующими отношения в сфере бухгалтерского учета. Расходы на амортизацию основных средств и нематериальных активов для расчета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 применяемых в сфере оказания услуг по п</w:t>
      </w:r>
      <w:r>
        <w:rPr>
          <w:sz w:val="24"/>
          <w:szCs w:val="24"/>
        </w:rPr>
        <w:t>ередаче электрической энергии. Таким образом, по мнению Департамента, учет в расчете амортизации плановых вводов электрооборудования</w:t>
      </w:r>
      <w:r w:rsidR="00C62F05">
        <w:rPr>
          <w:sz w:val="24"/>
          <w:szCs w:val="24"/>
        </w:rPr>
        <w:t xml:space="preserve"> не предусмотрен и является экономически необоснованным.</w:t>
      </w:r>
    </w:p>
    <w:p w:rsidR="0063569C" w:rsidRPr="00195E01" w:rsidRDefault="00B71C97" w:rsidP="0063569C">
      <w:pPr>
        <w:widowControl/>
        <w:tabs>
          <w:tab w:val="left" w:pos="567"/>
          <w:tab w:val="left" w:pos="1843"/>
        </w:tabs>
        <w:ind w:firstLine="567"/>
        <w:jc w:val="both"/>
        <w:rPr>
          <w:sz w:val="24"/>
          <w:szCs w:val="24"/>
        </w:rPr>
      </w:pPr>
      <w:r>
        <w:rPr>
          <w:sz w:val="24"/>
          <w:szCs w:val="24"/>
        </w:rPr>
        <w:t>Амортизация</w:t>
      </w:r>
      <w:r w:rsidR="00195E01">
        <w:rPr>
          <w:sz w:val="24"/>
          <w:szCs w:val="24"/>
        </w:rPr>
        <w:t xml:space="preserve"> по объекту ОС «Сооружение электроэнергетики </w:t>
      </w:r>
      <w:r w:rsidR="0063569C">
        <w:rPr>
          <w:sz w:val="24"/>
          <w:szCs w:val="24"/>
        </w:rPr>
        <w:t xml:space="preserve">ВЛЭП 0,4 844,6 м деревянные опоры на </w:t>
      </w:r>
      <w:proofErr w:type="gramStart"/>
      <w:r w:rsidR="0063569C">
        <w:rPr>
          <w:sz w:val="24"/>
          <w:szCs w:val="24"/>
        </w:rPr>
        <w:t>ж/б</w:t>
      </w:r>
      <w:proofErr w:type="gramEnd"/>
      <w:r w:rsidR="0063569C">
        <w:rPr>
          <w:sz w:val="24"/>
          <w:szCs w:val="24"/>
        </w:rPr>
        <w:t xml:space="preserve"> приставках» в расчет НВВ на содержание </w:t>
      </w:r>
      <w:r>
        <w:rPr>
          <w:sz w:val="24"/>
          <w:szCs w:val="24"/>
        </w:rPr>
        <w:t xml:space="preserve">на 2022 год Департаментом </w:t>
      </w:r>
      <w:r w:rsidR="0063569C">
        <w:rPr>
          <w:sz w:val="24"/>
          <w:szCs w:val="24"/>
        </w:rPr>
        <w:t>принята в полном объеме</w:t>
      </w:r>
      <w:r>
        <w:rPr>
          <w:sz w:val="24"/>
          <w:szCs w:val="24"/>
        </w:rPr>
        <w:t xml:space="preserve"> с учетом всех этапов реконструкции</w:t>
      </w:r>
      <w:r w:rsidR="0063569C">
        <w:rPr>
          <w:sz w:val="24"/>
          <w:szCs w:val="24"/>
        </w:rPr>
        <w:t>, а именно 99,91 тыс. руб.</w:t>
      </w:r>
    </w:p>
    <w:p w:rsidR="003D7854" w:rsidRPr="00EC0FB5" w:rsidRDefault="00195E01" w:rsidP="003D7854">
      <w:pPr>
        <w:suppressAutoHyphens/>
        <w:autoSpaceDE w:val="0"/>
        <w:ind w:firstLine="708"/>
        <w:jc w:val="both"/>
        <w:rPr>
          <w:rFonts w:eastAsia="Calibri"/>
          <w:sz w:val="24"/>
          <w:szCs w:val="24"/>
          <w:lang w:eastAsia="en-US"/>
        </w:rPr>
      </w:pPr>
      <w:r w:rsidRPr="00EC0FB5">
        <w:rPr>
          <w:sz w:val="24"/>
          <w:szCs w:val="24"/>
        </w:rPr>
        <w:t xml:space="preserve">3. </w:t>
      </w:r>
      <w:r w:rsidR="003D7854" w:rsidRPr="00EC0FB5">
        <w:rPr>
          <w:rFonts w:eastAsia="Calibri"/>
          <w:sz w:val="24"/>
          <w:szCs w:val="24"/>
          <w:lang w:eastAsia="en-US"/>
        </w:rPr>
        <w:t>Арендная плата:</w:t>
      </w:r>
    </w:p>
    <w:p w:rsidR="003D7854" w:rsidRPr="003D7854" w:rsidRDefault="003D7854" w:rsidP="003D7854">
      <w:pPr>
        <w:widowControl/>
        <w:suppressAutoHyphens/>
        <w:autoSpaceDE w:val="0"/>
        <w:ind w:firstLine="708"/>
        <w:jc w:val="both"/>
        <w:rPr>
          <w:rFonts w:eastAsia="Calibri"/>
          <w:sz w:val="24"/>
          <w:szCs w:val="24"/>
          <w:lang w:eastAsia="en-US"/>
        </w:rPr>
      </w:pPr>
      <w:r w:rsidRPr="003D7854">
        <w:rPr>
          <w:rFonts w:eastAsia="Calibri"/>
          <w:sz w:val="24"/>
          <w:szCs w:val="24"/>
          <w:lang w:eastAsia="en-US"/>
        </w:rPr>
        <w:t>- учтены расходы по договору от 24.10.2018 №1/2018 (дополнительное соглашение от 24.10.2018 года, от 14.07.2020 года) только в размере налога на имущество, расходы по амортизации в размере 233,3 тыс.</w:t>
      </w:r>
      <w:r>
        <w:rPr>
          <w:rFonts w:eastAsia="Calibri"/>
          <w:sz w:val="24"/>
          <w:szCs w:val="24"/>
          <w:lang w:eastAsia="en-US"/>
        </w:rPr>
        <w:t xml:space="preserve"> </w:t>
      </w:r>
      <w:r w:rsidRPr="003D7854">
        <w:rPr>
          <w:rFonts w:eastAsia="Calibri"/>
          <w:sz w:val="24"/>
          <w:szCs w:val="24"/>
          <w:lang w:eastAsia="en-US"/>
        </w:rPr>
        <w:t>руб. не учтены без указания причины, инвентарные карточки и ОСВ по счету 01 и 02 предоставлялись. Отклонение с учетом НДС составляет 280 тыс.</w:t>
      </w:r>
      <w:r w:rsidR="00EC0FB5">
        <w:rPr>
          <w:rFonts w:eastAsia="Calibri"/>
          <w:sz w:val="24"/>
          <w:szCs w:val="24"/>
          <w:lang w:eastAsia="en-US"/>
        </w:rPr>
        <w:t xml:space="preserve"> </w:t>
      </w:r>
      <w:r w:rsidRPr="003D7854">
        <w:rPr>
          <w:rFonts w:eastAsia="Calibri"/>
          <w:sz w:val="24"/>
          <w:szCs w:val="24"/>
          <w:lang w:eastAsia="en-US"/>
        </w:rPr>
        <w:t>руб.</w:t>
      </w:r>
    </w:p>
    <w:p w:rsidR="003D7854" w:rsidRPr="003D7854" w:rsidRDefault="007407CB" w:rsidP="003D7854">
      <w:pPr>
        <w:widowControl/>
        <w:suppressAutoHyphens/>
        <w:autoSpaceDE w:val="0"/>
        <w:ind w:firstLine="708"/>
        <w:jc w:val="both"/>
        <w:rPr>
          <w:rFonts w:eastAsia="Calibri"/>
          <w:sz w:val="24"/>
          <w:szCs w:val="24"/>
          <w:lang w:eastAsia="en-US"/>
        </w:rPr>
      </w:pPr>
      <w:r>
        <w:rPr>
          <w:rFonts w:eastAsia="Calibri"/>
          <w:sz w:val="24"/>
          <w:szCs w:val="24"/>
          <w:lang w:eastAsia="en-US"/>
        </w:rPr>
        <w:t>- в</w:t>
      </w:r>
      <w:r w:rsidR="003D7854" w:rsidRPr="00B71C97">
        <w:rPr>
          <w:rFonts w:eastAsia="Calibri"/>
          <w:sz w:val="22"/>
          <w:szCs w:val="22"/>
          <w:lang w:eastAsia="en-US"/>
        </w:rPr>
        <w:t xml:space="preserve"> </w:t>
      </w:r>
      <w:r w:rsidR="003D7854" w:rsidRPr="00B71C97">
        <w:rPr>
          <w:rFonts w:eastAsia="Calibri"/>
          <w:sz w:val="24"/>
          <w:szCs w:val="24"/>
          <w:lang w:eastAsia="en-US"/>
        </w:rPr>
        <w:t xml:space="preserve">соответствии с положениями пункта 27 Основ ценообразования расходы на амортизацию основных средств и нематериальных активов для расчета регулируемых цен (тарифов) определяются в соответствии с нормативными правовыми актами, регулирующими отношения в сфере бухгалтерского учета. </w:t>
      </w:r>
      <w:proofErr w:type="gramStart"/>
      <w:r w:rsidR="003D7854" w:rsidRPr="00B71C97">
        <w:rPr>
          <w:rFonts w:eastAsia="Calibri"/>
          <w:sz w:val="24"/>
          <w:szCs w:val="24"/>
          <w:lang w:eastAsia="en-US"/>
        </w:rPr>
        <w:t>Расходы на амортизацию основных средств и нематериальных активов для расчета тарифов</w:t>
      </w:r>
      <w:r w:rsidR="003D7854" w:rsidRPr="003D7854">
        <w:rPr>
          <w:rFonts w:eastAsia="Calibri"/>
          <w:sz w:val="24"/>
          <w:szCs w:val="24"/>
          <w:lang w:eastAsia="en-US"/>
        </w:rPr>
        <w:t xml:space="preserve">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 применяемых</w:t>
      </w:r>
      <w:proofErr w:type="gramEnd"/>
      <w:r w:rsidR="003D7854" w:rsidRPr="003D7854">
        <w:rPr>
          <w:rFonts w:eastAsia="Calibri"/>
          <w:sz w:val="24"/>
          <w:szCs w:val="24"/>
          <w:lang w:eastAsia="en-US"/>
        </w:rPr>
        <w:t xml:space="preserve"> в сфере оказания услуг по передаче электрической энергии.  Департа</w:t>
      </w:r>
      <w:r w:rsidR="003D7854">
        <w:rPr>
          <w:rFonts w:eastAsia="Calibri"/>
          <w:sz w:val="24"/>
          <w:szCs w:val="24"/>
          <w:lang w:eastAsia="en-US"/>
        </w:rPr>
        <w:t>ментом в нарушение данного пункт</w:t>
      </w:r>
      <w:r w:rsidR="003D7854" w:rsidRPr="003D7854">
        <w:rPr>
          <w:rFonts w:eastAsia="Calibri"/>
          <w:sz w:val="24"/>
          <w:szCs w:val="24"/>
          <w:lang w:eastAsia="en-US"/>
        </w:rPr>
        <w:t>а не включается в расчет амортизация по объектам, самортизированным по бухгалтерским срокам амортизации (минимальным), следовательно, перенос амортизации по основным средствам в тариф происходит не в полном размере. Организация несет убытки.</w:t>
      </w:r>
    </w:p>
    <w:p w:rsidR="00195E01" w:rsidRPr="003D7854" w:rsidRDefault="003D7854" w:rsidP="003D7854">
      <w:pPr>
        <w:widowControl/>
        <w:suppressAutoHyphens/>
        <w:autoSpaceDE w:val="0"/>
        <w:ind w:firstLine="708"/>
        <w:jc w:val="both"/>
        <w:rPr>
          <w:rFonts w:eastAsia="Calibri"/>
          <w:sz w:val="24"/>
          <w:szCs w:val="24"/>
          <w:lang w:eastAsia="en-US"/>
        </w:rPr>
      </w:pPr>
      <w:r w:rsidRPr="003D7854">
        <w:rPr>
          <w:rFonts w:eastAsia="Calibri"/>
          <w:sz w:val="24"/>
          <w:szCs w:val="24"/>
          <w:lang w:eastAsia="en-US"/>
        </w:rPr>
        <w:t>- не включена амортизация по арендуемому незарегистрированному недвижимому имуществу.</w:t>
      </w:r>
    </w:p>
    <w:p w:rsidR="0063569C" w:rsidRPr="00994D20" w:rsidRDefault="0063569C" w:rsidP="0063569C">
      <w:pPr>
        <w:pStyle w:val="aa"/>
        <w:tabs>
          <w:tab w:val="left" w:pos="1134"/>
          <w:tab w:val="left" w:pos="1276"/>
        </w:tabs>
        <w:ind w:left="0" w:firstLine="567"/>
        <w:jc w:val="both"/>
        <w:rPr>
          <w:sz w:val="24"/>
          <w:szCs w:val="24"/>
        </w:rPr>
      </w:pPr>
      <w:r w:rsidRPr="00994D20">
        <w:rPr>
          <w:sz w:val="24"/>
          <w:szCs w:val="24"/>
        </w:rPr>
        <w:t>Департамент по вышеперечисленным доводам ООО «Промэнергосеть-Лежнево» отмечает следующее.</w:t>
      </w:r>
    </w:p>
    <w:p w:rsidR="0063569C" w:rsidRDefault="0063569C" w:rsidP="00195E01">
      <w:pPr>
        <w:pStyle w:val="aa"/>
        <w:tabs>
          <w:tab w:val="left" w:pos="1134"/>
          <w:tab w:val="left" w:pos="1276"/>
        </w:tabs>
        <w:ind w:left="0" w:firstLine="567"/>
        <w:jc w:val="both"/>
        <w:rPr>
          <w:sz w:val="24"/>
          <w:szCs w:val="24"/>
        </w:rPr>
      </w:pPr>
      <w:r w:rsidRPr="0063569C">
        <w:rPr>
          <w:sz w:val="24"/>
          <w:szCs w:val="24"/>
        </w:rPr>
        <w:lastRenderedPageBreak/>
        <w:t>Расходы по договору аренды сооружения №1/2018 от 24.10.2018, заключенному между ООО «Промэнергосеть-Лежнево» и ООО «Верхневолжский Сервисный Металло-Центр», приняты на 2022 год в сумме 79,56 тыс. руб. – НДС и налог на</w:t>
      </w:r>
      <w:r>
        <w:rPr>
          <w:sz w:val="24"/>
          <w:szCs w:val="24"/>
        </w:rPr>
        <w:t xml:space="preserve"> </w:t>
      </w:r>
      <w:r w:rsidRPr="0063569C">
        <w:rPr>
          <w:sz w:val="24"/>
          <w:szCs w:val="24"/>
        </w:rPr>
        <w:t>имущество</w:t>
      </w:r>
      <w:r>
        <w:rPr>
          <w:sz w:val="24"/>
          <w:szCs w:val="24"/>
        </w:rPr>
        <w:t>.</w:t>
      </w:r>
    </w:p>
    <w:p w:rsidR="00045D63" w:rsidRDefault="00045D63" w:rsidP="00045D63">
      <w:pPr>
        <w:widowControl/>
        <w:ind w:firstLine="567"/>
        <w:jc w:val="both"/>
        <w:rPr>
          <w:sz w:val="24"/>
          <w:szCs w:val="24"/>
        </w:rPr>
      </w:pPr>
      <w:r w:rsidRPr="00045D63">
        <w:rPr>
          <w:sz w:val="24"/>
          <w:szCs w:val="24"/>
        </w:rPr>
        <w:t xml:space="preserve">В данный договор входит следующее оборудование электросетевого хозяйства, а именно, </w:t>
      </w:r>
      <w:r>
        <w:rPr>
          <w:sz w:val="24"/>
          <w:szCs w:val="24"/>
        </w:rPr>
        <w:t>кабельные линии электропередач 10 кВ.</w:t>
      </w:r>
    </w:p>
    <w:p w:rsidR="00045D63" w:rsidRDefault="00045D63" w:rsidP="00045D63">
      <w:pPr>
        <w:widowControl/>
        <w:ind w:firstLine="567"/>
        <w:jc w:val="both"/>
        <w:rPr>
          <w:sz w:val="24"/>
          <w:szCs w:val="24"/>
        </w:rPr>
      </w:pPr>
      <w:r w:rsidRPr="00045D63">
        <w:rPr>
          <w:sz w:val="24"/>
          <w:szCs w:val="24"/>
        </w:rPr>
        <w:t>Согласно имеющемуся в Департаменте ранее действующему договору аренды № 640-12/15 от 16.12.2015 (между ОАО «Совхоз Тепличный» и А</w:t>
      </w:r>
      <w:r w:rsidR="00B5737D">
        <w:rPr>
          <w:sz w:val="24"/>
          <w:szCs w:val="24"/>
        </w:rPr>
        <w:t>О</w:t>
      </w:r>
      <w:r w:rsidRPr="00045D63">
        <w:rPr>
          <w:sz w:val="24"/>
          <w:szCs w:val="24"/>
        </w:rPr>
        <w:t xml:space="preserve"> «Ивгортеплоэнерго») вышеуказанное оборудование электросетевого хозяйства </w:t>
      </w:r>
      <w:r w:rsidR="00B5737D">
        <w:rPr>
          <w:sz w:val="24"/>
          <w:szCs w:val="24"/>
        </w:rPr>
        <w:t xml:space="preserve">в настоящее время </w:t>
      </w:r>
      <w:r w:rsidRPr="00045D63">
        <w:rPr>
          <w:sz w:val="24"/>
          <w:szCs w:val="24"/>
        </w:rPr>
        <w:t xml:space="preserve">уже </w:t>
      </w:r>
      <w:r>
        <w:rPr>
          <w:sz w:val="24"/>
          <w:szCs w:val="24"/>
        </w:rPr>
        <w:t>полностью самортизировано, имеет</w:t>
      </w:r>
      <w:r w:rsidRPr="00045D63">
        <w:rPr>
          <w:sz w:val="24"/>
          <w:szCs w:val="24"/>
        </w:rPr>
        <w:t xml:space="preserve"> нулевую остаточную стоимость.</w:t>
      </w:r>
    </w:p>
    <w:p w:rsidR="004D4E44" w:rsidRPr="004D4E44" w:rsidRDefault="004D4E44" w:rsidP="004D4E44">
      <w:pPr>
        <w:widowControl/>
        <w:ind w:firstLine="567"/>
        <w:jc w:val="both"/>
        <w:rPr>
          <w:bCs/>
          <w:sz w:val="24"/>
          <w:szCs w:val="24"/>
        </w:rPr>
      </w:pPr>
      <w:r w:rsidRPr="004D4E44">
        <w:rPr>
          <w:bCs/>
          <w:sz w:val="24"/>
          <w:szCs w:val="24"/>
        </w:rPr>
        <w:t xml:space="preserve">Согласно положению по бухгалтерскому учету «Учет основных средств», утвержденному Приказом Минфина России от 30.03.2001 № 26н (далее — ПБУ 6/01) переоценка объектов основных средств </w:t>
      </w:r>
      <w:r w:rsidR="00B5737D">
        <w:rPr>
          <w:bCs/>
          <w:sz w:val="24"/>
          <w:szCs w:val="24"/>
        </w:rPr>
        <w:t xml:space="preserve">- </w:t>
      </w:r>
      <w:r w:rsidRPr="004D4E44">
        <w:rPr>
          <w:bCs/>
          <w:sz w:val="24"/>
          <w:szCs w:val="24"/>
        </w:rPr>
        <w:t>это изменение первоначальной стоимости основных средств, в которой они приняты к бухгалтерскому учету. Первоначальной стоимостью основных средств, приобретенных за плату, признается сумма затрат организации на приобретение, сооружение и изготовление, за исключением налога на добавленную стоимость и иных возмещаемых налогов. То есть, по смыслу данной нормы переоценка - это оценка имущества, которая ведет к изменению стоимости основных сре</w:t>
      </w:r>
      <w:proofErr w:type="gramStart"/>
      <w:r w:rsidRPr="004D4E44">
        <w:rPr>
          <w:bCs/>
          <w:sz w:val="24"/>
          <w:szCs w:val="24"/>
        </w:rPr>
        <w:t>дств в б</w:t>
      </w:r>
      <w:proofErr w:type="gramEnd"/>
      <w:r w:rsidRPr="004D4E44">
        <w:rPr>
          <w:bCs/>
          <w:sz w:val="24"/>
          <w:szCs w:val="24"/>
        </w:rPr>
        <w:t>ухгалтерском учете организации собственника без проведения ремонтных работ либо иных мероприятий, направленных на улучшение фактического состояния основных средств.</w:t>
      </w:r>
    </w:p>
    <w:p w:rsidR="004D4E44" w:rsidRPr="004D4E44" w:rsidRDefault="004D4E44" w:rsidP="004D4E44">
      <w:pPr>
        <w:widowControl/>
        <w:ind w:firstLine="567"/>
        <w:jc w:val="both"/>
        <w:rPr>
          <w:bCs/>
          <w:sz w:val="24"/>
          <w:szCs w:val="24"/>
        </w:rPr>
      </w:pPr>
      <w:r w:rsidRPr="004D4E44">
        <w:rPr>
          <w:bCs/>
          <w:sz w:val="24"/>
          <w:szCs w:val="24"/>
        </w:rPr>
        <w:t>Федеральным законом от 29.07.1998 № 135-ФЗ «Об оценочной деятельности в Российской Федерации» предусмотрено, что оценочная деятельность проводится в отношении объектов оценки, принадлежащих Российской Федерации, субъектам Российской Федерации или муниципальным образованиям, физическим лицам и юридическим лицам, для целей совершения сделок с объектами оценки, а также для иных целей.</w:t>
      </w:r>
    </w:p>
    <w:p w:rsidR="004D4E44" w:rsidRPr="004D4E44" w:rsidRDefault="004D4E44" w:rsidP="004D4E44">
      <w:pPr>
        <w:widowControl/>
        <w:ind w:firstLine="567"/>
        <w:jc w:val="both"/>
        <w:rPr>
          <w:bCs/>
          <w:sz w:val="24"/>
          <w:szCs w:val="24"/>
        </w:rPr>
      </w:pPr>
      <w:r w:rsidRPr="004D4E44">
        <w:rPr>
          <w:bCs/>
          <w:sz w:val="24"/>
          <w:szCs w:val="24"/>
        </w:rPr>
        <w:t xml:space="preserve">Из совокупности указанных норм следует, что результатом проведенной оценки становится изменение стоимости объектов (в сравнении с остаточной стоимостью организации продавца на момент продажи) в бухгалтерском учете организации покупателя без проведения ремонтных работ либо иных мероприятий, направленных на улучшение фактического состояния основных средств. </w:t>
      </w:r>
    </w:p>
    <w:p w:rsidR="004D4E44" w:rsidRPr="004D4E44" w:rsidRDefault="004D4E44" w:rsidP="004D4E44">
      <w:pPr>
        <w:widowControl/>
        <w:ind w:firstLine="567"/>
        <w:jc w:val="both"/>
        <w:rPr>
          <w:bCs/>
          <w:sz w:val="24"/>
          <w:szCs w:val="24"/>
        </w:rPr>
      </w:pPr>
      <w:r w:rsidRPr="004D4E44">
        <w:rPr>
          <w:bCs/>
          <w:sz w:val="24"/>
          <w:szCs w:val="24"/>
        </w:rPr>
        <w:t>Таким образом, по смыслу указанных норм, оценка с целью продажи и переоценка имущества, по сути, являются аналогичными действиями – действиями, направленными на изменение  стоимости объекта в бухгалтерском учете без проведения ремонтных работ либо иных мероприятий, направленных на улучшение фактического состояния основных средств.</w:t>
      </w:r>
    </w:p>
    <w:p w:rsidR="004D4E44" w:rsidRPr="004D4E44" w:rsidRDefault="004D4E44" w:rsidP="004D4E44">
      <w:pPr>
        <w:widowControl/>
        <w:ind w:firstLine="567"/>
        <w:jc w:val="both"/>
        <w:rPr>
          <w:bCs/>
          <w:sz w:val="24"/>
          <w:szCs w:val="24"/>
        </w:rPr>
      </w:pPr>
      <w:proofErr w:type="gramStart"/>
      <w:r w:rsidRPr="004D4E44">
        <w:rPr>
          <w:bCs/>
          <w:sz w:val="24"/>
          <w:szCs w:val="24"/>
        </w:rPr>
        <w:t>В соответствии с требованиями законодательства в сфере тарифного регулирования результаты переоценки не могут быть учтены в составе необходимой валовой выручки регулируемых организаций, если расходы на амортизацию не являются источником финансирования мероприятий утвержденной в установленном порядке инвестиционной программы организации.</w:t>
      </w:r>
      <w:proofErr w:type="gramEnd"/>
    </w:p>
    <w:p w:rsidR="004D4E44" w:rsidRPr="004D4E44" w:rsidRDefault="004D4E44" w:rsidP="004D4E44">
      <w:pPr>
        <w:widowControl/>
        <w:ind w:firstLine="567"/>
        <w:jc w:val="both"/>
        <w:rPr>
          <w:bCs/>
          <w:sz w:val="24"/>
          <w:szCs w:val="24"/>
        </w:rPr>
      </w:pPr>
      <w:r w:rsidRPr="004D4E44">
        <w:rPr>
          <w:bCs/>
          <w:sz w:val="24"/>
          <w:szCs w:val="24"/>
        </w:rPr>
        <w:t xml:space="preserve">В случае учета подобных сделок при тарифном регулировании потребитель услуг по передаче электрической энергии, по сути, вынужден будет оплачивать расходы на амортизационные отчисления собственников объектов электросетевого хозяйства и при этом сами объекты электросетевого хозяйства, которые уже были самортизированы у предыдущего собственника, могут оставаться в неизменном виде и состоянии. </w:t>
      </w:r>
    </w:p>
    <w:p w:rsidR="004D4E44" w:rsidRPr="00045D63" w:rsidRDefault="004D4E44" w:rsidP="004D4E44">
      <w:pPr>
        <w:widowControl/>
        <w:ind w:firstLine="567"/>
        <w:jc w:val="both"/>
        <w:rPr>
          <w:bCs/>
          <w:sz w:val="24"/>
          <w:szCs w:val="24"/>
        </w:rPr>
      </w:pPr>
      <w:proofErr w:type="gramStart"/>
      <w:r w:rsidRPr="004D4E44">
        <w:rPr>
          <w:bCs/>
          <w:sz w:val="24"/>
          <w:szCs w:val="24"/>
        </w:rPr>
        <w:t>Также необходимо отметить, что тарифный источник формируется из средств потребителей услуг по передаче электрической энергии, т.е., подобное неоднократное приобретение одних и тех же объектов электросетевого хозяйства без улучшения фактического состояния объектов основных средств, по сути, осуществлялось бы не за счет приобретателя активов, а за счет лиц, которым оказываются услуги естественно-монопольного характера, от приобретения которых потребители не могут отказаться в</w:t>
      </w:r>
      <w:proofErr w:type="gramEnd"/>
      <w:r w:rsidRPr="004D4E44">
        <w:rPr>
          <w:bCs/>
          <w:sz w:val="24"/>
          <w:szCs w:val="24"/>
        </w:rPr>
        <w:t xml:space="preserve"> силу их инфраструктурного характера, непосредственно связанного с жизнеобеспечением.</w:t>
      </w:r>
    </w:p>
    <w:p w:rsidR="00045D63" w:rsidRDefault="00045D63" w:rsidP="00045D63">
      <w:pPr>
        <w:widowControl/>
        <w:ind w:firstLine="567"/>
        <w:jc w:val="both"/>
        <w:rPr>
          <w:sz w:val="24"/>
          <w:szCs w:val="24"/>
        </w:rPr>
      </w:pPr>
      <w:r w:rsidRPr="00045D63">
        <w:rPr>
          <w:sz w:val="24"/>
          <w:szCs w:val="24"/>
        </w:rPr>
        <w:t>Таким образом, ООО «</w:t>
      </w:r>
      <w:proofErr w:type="gramStart"/>
      <w:r w:rsidRPr="00045D63">
        <w:rPr>
          <w:sz w:val="24"/>
          <w:szCs w:val="24"/>
        </w:rPr>
        <w:t>Верхневолжский</w:t>
      </w:r>
      <w:proofErr w:type="gramEnd"/>
      <w:r w:rsidRPr="00045D63">
        <w:rPr>
          <w:sz w:val="24"/>
          <w:szCs w:val="24"/>
        </w:rPr>
        <w:t xml:space="preserve"> Сервисный Металло-Центр» приобрело устаревшее имущество, стоимость которого полностью восстановлена посредством амортизационных отчислений. Дальнейшее использование физически изношенного оборудования относится к рискам приобретателя. И с учетом принципов тарифного регулирования, в том числе соблюдения баланса интересов, на потребителей электрической энергии не может быть возложена необходимость возмещения содержания такого имущества.</w:t>
      </w:r>
    </w:p>
    <w:p w:rsidR="00C17229" w:rsidRPr="00682705" w:rsidRDefault="00C17229" w:rsidP="00C17229">
      <w:pPr>
        <w:widowControl/>
        <w:ind w:firstLine="567"/>
        <w:jc w:val="both"/>
        <w:rPr>
          <w:sz w:val="24"/>
          <w:szCs w:val="24"/>
        </w:rPr>
      </w:pPr>
      <w:r w:rsidRPr="00682705">
        <w:rPr>
          <w:sz w:val="24"/>
          <w:szCs w:val="24"/>
        </w:rPr>
        <w:lastRenderedPageBreak/>
        <w:t xml:space="preserve">В соответствии с </w:t>
      </w:r>
      <w:hyperlink r:id="rId9" w:history="1">
        <w:r w:rsidRPr="00682705">
          <w:rPr>
            <w:rStyle w:val="ab"/>
            <w:color w:val="auto"/>
            <w:sz w:val="24"/>
            <w:szCs w:val="24"/>
          </w:rPr>
          <w:t>подпунктом 5 пункта 28</w:t>
        </w:r>
      </w:hyperlink>
      <w:r w:rsidRPr="00682705">
        <w:rPr>
          <w:sz w:val="24"/>
          <w:szCs w:val="24"/>
        </w:rPr>
        <w:t xml:space="preserve"> Основ ценообразования расходы на аренду определяются из величины амортизации, налога на имущество и других обязательных платежей, относящихся к арендуемому имуществу. Расходы на аренду не учитываются в случае, если собственник объектов электросетевого хозяйства является единственным потребителем услуг по передаче электрической энергии, оказываемых с использованием указанных объектов электросетевого хозяйства.</w:t>
      </w:r>
    </w:p>
    <w:p w:rsidR="00C17229" w:rsidRPr="00682705" w:rsidRDefault="00C17229" w:rsidP="00C17229">
      <w:pPr>
        <w:widowControl/>
        <w:ind w:firstLine="567"/>
        <w:jc w:val="both"/>
        <w:rPr>
          <w:sz w:val="24"/>
          <w:szCs w:val="24"/>
        </w:rPr>
      </w:pPr>
      <w:r w:rsidRPr="00682705">
        <w:rPr>
          <w:sz w:val="24"/>
          <w:szCs w:val="24"/>
        </w:rPr>
        <w:t xml:space="preserve">Для определения величины амортизации в составе арендной платы применены те же нормы пункта 27 Основ ценообразования, что и для определения расходов по статье «Амортизация основных средств». По мнению </w:t>
      </w:r>
      <w:proofErr w:type="gramStart"/>
      <w:r w:rsidRPr="00682705">
        <w:rPr>
          <w:sz w:val="24"/>
          <w:szCs w:val="24"/>
        </w:rPr>
        <w:t>Экспертной</w:t>
      </w:r>
      <w:proofErr w:type="gramEnd"/>
      <w:r w:rsidRPr="00682705">
        <w:rPr>
          <w:sz w:val="24"/>
          <w:szCs w:val="24"/>
        </w:rPr>
        <w:t xml:space="preserve"> группы, необходимо придерживаться системного подхода при формировании расходных статей в составе НВВ сетевых организаций, в связи с чем порядок определения величины амортизационных отчислений для включения в тарифы на услуги по передаче электрической энергии по статьям «Амортизация основных средств» и «Арендная плата» должен быть единым.</w:t>
      </w:r>
    </w:p>
    <w:p w:rsidR="00C17229" w:rsidRPr="00682705" w:rsidRDefault="00C17229" w:rsidP="00C17229">
      <w:pPr>
        <w:widowControl/>
        <w:ind w:firstLine="567"/>
        <w:jc w:val="both"/>
        <w:rPr>
          <w:sz w:val="24"/>
          <w:szCs w:val="24"/>
        </w:rPr>
      </w:pPr>
      <w:proofErr w:type="gramStart"/>
      <w:r w:rsidRPr="00682705">
        <w:rPr>
          <w:sz w:val="24"/>
          <w:szCs w:val="24"/>
        </w:rPr>
        <w:t>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определяется регулирующими органами в соответствии с максимальными сроками полезного использования, установленными Классификацией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w:t>
      </w:r>
      <w:proofErr w:type="gramEnd"/>
    </w:p>
    <w:p w:rsidR="00C17229" w:rsidRPr="00682705" w:rsidRDefault="00C17229" w:rsidP="00C17229">
      <w:pPr>
        <w:widowControl/>
        <w:ind w:firstLine="567"/>
        <w:jc w:val="both"/>
        <w:rPr>
          <w:sz w:val="24"/>
          <w:szCs w:val="24"/>
        </w:rPr>
      </w:pPr>
      <w:r w:rsidRPr="00682705">
        <w:rPr>
          <w:sz w:val="24"/>
          <w:szCs w:val="24"/>
        </w:rPr>
        <w:t xml:space="preserve">Однако в материалах тарифного дела имеются объекты электросетевого </w:t>
      </w:r>
      <w:proofErr w:type="gramStart"/>
      <w:r w:rsidRPr="00682705">
        <w:rPr>
          <w:sz w:val="24"/>
          <w:szCs w:val="24"/>
        </w:rPr>
        <w:t>хозяйства</w:t>
      </w:r>
      <w:proofErr w:type="gramEnd"/>
      <w:r w:rsidRPr="00682705">
        <w:rPr>
          <w:sz w:val="24"/>
          <w:szCs w:val="24"/>
        </w:rPr>
        <w:t xml:space="preserve"> у которых срок полезного использования истек, </w:t>
      </w:r>
      <w:r w:rsidR="00682705" w:rsidRPr="00682705">
        <w:rPr>
          <w:sz w:val="24"/>
          <w:szCs w:val="24"/>
        </w:rPr>
        <w:t xml:space="preserve">амортизация собственником не начисляется и, </w:t>
      </w:r>
      <w:r w:rsidRPr="00682705">
        <w:rPr>
          <w:sz w:val="24"/>
          <w:szCs w:val="24"/>
        </w:rPr>
        <w:t>таким образом</w:t>
      </w:r>
      <w:r w:rsidR="00682705" w:rsidRPr="00682705">
        <w:rPr>
          <w:sz w:val="24"/>
          <w:szCs w:val="24"/>
        </w:rPr>
        <w:t>,</w:t>
      </w:r>
      <w:r w:rsidRPr="00682705">
        <w:rPr>
          <w:sz w:val="24"/>
          <w:szCs w:val="24"/>
        </w:rPr>
        <w:t xml:space="preserve"> Департамент в расчет арендной платы </w:t>
      </w:r>
      <w:r w:rsidR="00682705" w:rsidRPr="00682705">
        <w:rPr>
          <w:sz w:val="24"/>
          <w:szCs w:val="24"/>
        </w:rPr>
        <w:t xml:space="preserve">амортизационные отчисления на </w:t>
      </w:r>
      <w:r w:rsidRPr="00682705">
        <w:rPr>
          <w:sz w:val="24"/>
          <w:szCs w:val="24"/>
        </w:rPr>
        <w:t>данное оборудование не учитывает.</w:t>
      </w:r>
    </w:p>
    <w:p w:rsidR="003D7854" w:rsidRPr="00045D63" w:rsidRDefault="00B5737D" w:rsidP="003D7854">
      <w:pPr>
        <w:widowControl/>
        <w:ind w:firstLine="567"/>
        <w:jc w:val="both"/>
        <w:rPr>
          <w:sz w:val="24"/>
          <w:szCs w:val="24"/>
        </w:rPr>
      </w:pPr>
      <w:r>
        <w:rPr>
          <w:sz w:val="24"/>
          <w:szCs w:val="24"/>
        </w:rPr>
        <w:t>По доводу н</w:t>
      </w:r>
      <w:r w:rsidR="003D7854" w:rsidRPr="003D7854">
        <w:rPr>
          <w:sz w:val="24"/>
          <w:szCs w:val="24"/>
        </w:rPr>
        <w:t>е включен</w:t>
      </w:r>
      <w:r>
        <w:rPr>
          <w:sz w:val="24"/>
          <w:szCs w:val="24"/>
        </w:rPr>
        <w:t>ия амортизации</w:t>
      </w:r>
      <w:r w:rsidR="003D7854" w:rsidRPr="003D7854">
        <w:rPr>
          <w:sz w:val="24"/>
          <w:szCs w:val="24"/>
        </w:rPr>
        <w:t xml:space="preserve"> по арендуемому незарегистри</w:t>
      </w:r>
      <w:r w:rsidR="003D7854">
        <w:rPr>
          <w:sz w:val="24"/>
          <w:szCs w:val="24"/>
        </w:rPr>
        <w:t>рованному недвижимому имуществу</w:t>
      </w:r>
      <w:r>
        <w:rPr>
          <w:sz w:val="24"/>
          <w:szCs w:val="24"/>
        </w:rPr>
        <w:t xml:space="preserve"> Департамент</w:t>
      </w:r>
      <w:r w:rsidR="003D7854">
        <w:rPr>
          <w:sz w:val="24"/>
          <w:szCs w:val="24"/>
        </w:rPr>
        <w:t xml:space="preserve"> отмечае</w:t>
      </w:r>
      <w:r>
        <w:rPr>
          <w:sz w:val="24"/>
          <w:szCs w:val="24"/>
        </w:rPr>
        <w:t>т</w:t>
      </w:r>
      <w:r w:rsidR="003D7854">
        <w:rPr>
          <w:sz w:val="24"/>
          <w:szCs w:val="24"/>
        </w:rPr>
        <w:t xml:space="preserve">, что по данному имуществу не представлены в адрес Департамента правоустанавливающие документы, </w:t>
      </w:r>
      <w:r w:rsidR="003D7854" w:rsidRPr="003D7854">
        <w:rPr>
          <w:sz w:val="24"/>
          <w:szCs w:val="24"/>
        </w:rPr>
        <w:t xml:space="preserve">подтверждающие </w:t>
      </w:r>
      <w:r>
        <w:rPr>
          <w:sz w:val="24"/>
          <w:szCs w:val="24"/>
        </w:rPr>
        <w:t xml:space="preserve">законное </w:t>
      </w:r>
      <w:r w:rsidR="003D7854" w:rsidRPr="003D7854">
        <w:rPr>
          <w:sz w:val="24"/>
          <w:szCs w:val="24"/>
        </w:rPr>
        <w:t>право владения собственника (арендодателя) вышеуказанными объектами электросетевого хозяйства.</w:t>
      </w:r>
    </w:p>
    <w:p w:rsidR="00045D63" w:rsidRDefault="004D4E44" w:rsidP="00195E01">
      <w:pPr>
        <w:pStyle w:val="aa"/>
        <w:tabs>
          <w:tab w:val="left" w:pos="1134"/>
          <w:tab w:val="left" w:pos="1276"/>
        </w:tabs>
        <w:ind w:left="0" w:firstLine="567"/>
        <w:jc w:val="both"/>
        <w:rPr>
          <w:sz w:val="24"/>
          <w:szCs w:val="24"/>
        </w:rPr>
      </w:pPr>
      <w:r>
        <w:rPr>
          <w:sz w:val="24"/>
          <w:szCs w:val="24"/>
        </w:rPr>
        <w:t>4.</w:t>
      </w:r>
      <w:r w:rsidR="003D7854" w:rsidRPr="003D7854">
        <w:t xml:space="preserve"> </w:t>
      </w:r>
      <w:r w:rsidR="003D7854" w:rsidRPr="003D7854">
        <w:rPr>
          <w:sz w:val="24"/>
          <w:szCs w:val="24"/>
        </w:rPr>
        <w:t>Госпошлина за государственную регистрацию права собственности -</w:t>
      </w:r>
      <w:r w:rsidR="003D7854">
        <w:rPr>
          <w:sz w:val="24"/>
          <w:szCs w:val="24"/>
        </w:rPr>
        <w:t xml:space="preserve"> </w:t>
      </w:r>
      <w:r w:rsidR="003D7854" w:rsidRPr="003D7854">
        <w:rPr>
          <w:sz w:val="24"/>
          <w:szCs w:val="24"/>
        </w:rPr>
        <w:t>исключены затраты с примечанием нет обоснований и конкретных расчетов. Обоснование в тарифном деле приложено в форме фактических з</w:t>
      </w:r>
      <w:r w:rsidR="0064709F">
        <w:rPr>
          <w:sz w:val="24"/>
          <w:szCs w:val="24"/>
        </w:rPr>
        <w:t xml:space="preserve">атрат и пояснительной записки. </w:t>
      </w:r>
      <w:r w:rsidR="003D7854" w:rsidRPr="003D7854">
        <w:rPr>
          <w:sz w:val="24"/>
          <w:szCs w:val="24"/>
        </w:rPr>
        <w:t xml:space="preserve">В 2020 году было заключено и зарегистрировано 2 договора и 6 дополнительных соглашений. </w:t>
      </w:r>
      <w:proofErr w:type="gramStart"/>
      <w:r w:rsidR="003D7854" w:rsidRPr="003D7854">
        <w:rPr>
          <w:sz w:val="24"/>
          <w:szCs w:val="24"/>
        </w:rPr>
        <w:t>В связи с ростом размера госпо</w:t>
      </w:r>
      <w:r w:rsidR="000A59DE">
        <w:rPr>
          <w:sz w:val="24"/>
          <w:szCs w:val="24"/>
        </w:rPr>
        <w:t>шлины и с учетом того, что ООО «Промэнергосеть-Лежнево»</w:t>
      </w:r>
      <w:r w:rsidR="003D7854" w:rsidRPr="003D7854">
        <w:rPr>
          <w:sz w:val="24"/>
          <w:szCs w:val="24"/>
        </w:rPr>
        <w:t xml:space="preserve"> продолжает работы по: регистрации объектов электросетевого оборудования, заключению новых договоров аренды, пересмотру договоров в части состава амортизируемого имущества и размера арендной платы, просим учесть в НВВ на 2022 год расходы на регистрацию в размере 330 тыс.</w:t>
      </w:r>
      <w:r w:rsidR="003D7854">
        <w:rPr>
          <w:sz w:val="24"/>
          <w:szCs w:val="24"/>
        </w:rPr>
        <w:t xml:space="preserve"> </w:t>
      </w:r>
      <w:r w:rsidR="003D7854" w:rsidRPr="003D7854">
        <w:rPr>
          <w:sz w:val="24"/>
          <w:szCs w:val="24"/>
        </w:rPr>
        <w:t>руб. (15*22).</w:t>
      </w:r>
      <w:proofErr w:type="gramEnd"/>
      <w:r w:rsidR="003D7854" w:rsidRPr="003D7854">
        <w:rPr>
          <w:sz w:val="24"/>
          <w:szCs w:val="24"/>
        </w:rPr>
        <w:t xml:space="preserve"> Дополнительных материалов, </w:t>
      </w:r>
      <w:r w:rsidR="002E6303">
        <w:rPr>
          <w:sz w:val="24"/>
          <w:szCs w:val="24"/>
        </w:rPr>
        <w:t>расчетов по определенной форме Департаментом</w:t>
      </w:r>
      <w:r w:rsidR="003D7854" w:rsidRPr="003D7854">
        <w:rPr>
          <w:sz w:val="24"/>
          <w:szCs w:val="24"/>
        </w:rPr>
        <w:t xml:space="preserve"> по данной статье не запрашивалось.</w:t>
      </w:r>
    </w:p>
    <w:p w:rsidR="004D4E44" w:rsidRPr="004D4E44" w:rsidRDefault="004D4E44" w:rsidP="004D4E44">
      <w:pPr>
        <w:tabs>
          <w:tab w:val="left" w:pos="567"/>
          <w:tab w:val="left" w:pos="1843"/>
        </w:tabs>
        <w:ind w:firstLine="567"/>
        <w:jc w:val="both"/>
        <w:rPr>
          <w:iCs/>
          <w:sz w:val="24"/>
          <w:szCs w:val="24"/>
        </w:rPr>
      </w:pPr>
      <w:proofErr w:type="gramStart"/>
      <w:r w:rsidRPr="00994D20">
        <w:rPr>
          <w:sz w:val="24"/>
          <w:szCs w:val="24"/>
        </w:rPr>
        <w:t>Департамент по вышеперечисленным доводам ООО «Промэнергосеть-Лежнево» отмечает</w:t>
      </w:r>
      <w:r>
        <w:rPr>
          <w:sz w:val="24"/>
          <w:szCs w:val="24"/>
        </w:rPr>
        <w:t>, что расходы по статье затрат «</w:t>
      </w:r>
      <w:r w:rsidRPr="004D4E44">
        <w:rPr>
          <w:sz w:val="24"/>
          <w:szCs w:val="24"/>
        </w:rPr>
        <w:t>Госпошлина за государственную регистрацию права собственности</w:t>
      </w:r>
      <w:r>
        <w:rPr>
          <w:sz w:val="24"/>
          <w:szCs w:val="24"/>
        </w:rPr>
        <w:t xml:space="preserve">» </w:t>
      </w:r>
      <w:r w:rsidRPr="004D4E44">
        <w:rPr>
          <w:iCs/>
          <w:sz w:val="24"/>
          <w:szCs w:val="24"/>
        </w:rPr>
        <w:t>исключены, как экономически необоснованные расходы в размере 330,00 тыс. руб.</w:t>
      </w:r>
      <w:r w:rsidR="005B1C2A">
        <w:rPr>
          <w:iCs/>
          <w:sz w:val="24"/>
          <w:szCs w:val="24"/>
        </w:rPr>
        <w:t>,</w:t>
      </w:r>
      <w:r w:rsidRPr="004D4E44">
        <w:rPr>
          <w:iCs/>
          <w:sz w:val="24"/>
          <w:szCs w:val="24"/>
        </w:rPr>
        <w:t xml:space="preserve"> ввиду того, что в адрес Департамента ООО «Промэнергосеть-Лежнево» не представило обоснование плановых расходов на 2022 год</w:t>
      </w:r>
      <w:r w:rsidR="005B1C2A">
        <w:rPr>
          <w:iCs/>
          <w:sz w:val="24"/>
          <w:szCs w:val="24"/>
        </w:rPr>
        <w:t>, а именно обоснование заявленных плановых объемов регистрационных действий Росреестра</w:t>
      </w:r>
      <w:r w:rsidRPr="004D4E44">
        <w:rPr>
          <w:iCs/>
          <w:sz w:val="24"/>
          <w:szCs w:val="24"/>
        </w:rPr>
        <w:t>.</w:t>
      </w:r>
      <w:proofErr w:type="gramEnd"/>
      <w:r w:rsidR="002E6303" w:rsidRPr="002E6303">
        <w:t xml:space="preserve"> </w:t>
      </w:r>
      <w:r w:rsidR="002E6303" w:rsidRPr="002E6303">
        <w:rPr>
          <w:iCs/>
          <w:sz w:val="24"/>
          <w:szCs w:val="24"/>
        </w:rPr>
        <w:t>В соответствии с Основами ценообразования и Методическими указаниями № 98-э плановые неподконтрольные расходы определяются Департаментом ежегодно с учетом их экономически обоснованного уровня, а ранее учтенные на соответствующий период регулирования плановые расходы подлежат ежегодной корректировке с учетом фактически понесенных организацией экономически обоснованных расходов.</w:t>
      </w:r>
    </w:p>
    <w:p w:rsidR="004D4E44" w:rsidRPr="003D7854" w:rsidRDefault="004D4E44" w:rsidP="004D4E44">
      <w:pPr>
        <w:widowControl/>
        <w:tabs>
          <w:tab w:val="left" w:pos="567"/>
          <w:tab w:val="left" w:pos="1843"/>
        </w:tabs>
        <w:ind w:firstLine="567"/>
        <w:jc w:val="both"/>
        <w:rPr>
          <w:sz w:val="24"/>
          <w:szCs w:val="24"/>
        </w:rPr>
      </w:pPr>
      <w:r>
        <w:rPr>
          <w:iCs/>
          <w:sz w:val="24"/>
          <w:szCs w:val="24"/>
        </w:rPr>
        <w:t>5.</w:t>
      </w:r>
      <w:r w:rsidRPr="004D4E44">
        <w:t xml:space="preserve"> </w:t>
      </w:r>
      <w:r w:rsidR="003D7854" w:rsidRPr="003D7854">
        <w:rPr>
          <w:sz w:val="24"/>
          <w:szCs w:val="24"/>
        </w:rPr>
        <w:t>% за пользование кредитом - исключены плановые затраты на 2022 год по причине «отсутствуют документы о принятии займа и о погашении займа». Договоры займа на сумму</w:t>
      </w:r>
      <w:r w:rsidR="003D7854">
        <w:rPr>
          <w:sz w:val="24"/>
          <w:szCs w:val="24"/>
        </w:rPr>
        <w:t xml:space="preserve"> </w:t>
      </w:r>
      <w:r w:rsidR="003D7854" w:rsidRPr="003D7854">
        <w:rPr>
          <w:sz w:val="24"/>
          <w:szCs w:val="24"/>
        </w:rPr>
        <w:t>1</w:t>
      </w:r>
      <w:r w:rsidR="002E6303">
        <w:rPr>
          <w:sz w:val="24"/>
          <w:szCs w:val="24"/>
        </w:rPr>
        <w:t xml:space="preserve"> </w:t>
      </w:r>
      <w:r w:rsidR="003D7854" w:rsidRPr="003D7854">
        <w:rPr>
          <w:sz w:val="24"/>
          <w:szCs w:val="24"/>
        </w:rPr>
        <w:t>021 тыс.</w:t>
      </w:r>
      <w:r w:rsidR="003D7854">
        <w:rPr>
          <w:sz w:val="24"/>
          <w:szCs w:val="24"/>
        </w:rPr>
        <w:t xml:space="preserve"> </w:t>
      </w:r>
      <w:r w:rsidR="003D7854" w:rsidRPr="003D7854">
        <w:rPr>
          <w:sz w:val="24"/>
          <w:szCs w:val="24"/>
        </w:rPr>
        <w:t>руб. и платежные поручения о выдаче процентного займа в тарифном деле присутствуют. Графики платежей приложены. Дополнительная информация по данной статье не запрашивалась. Данные займы привлекались с целью исполнения утвержденной инвестпрограммы</w:t>
      </w:r>
      <w:r w:rsidR="002E6303">
        <w:rPr>
          <w:sz w:val="24"/>
          <w:szCs w:val="24"/>
        </w:rPr>
        <w:t xml:space="preserve"> </w:t>
      </w:r>
      <w:r w:rsidR="003D7854" w:rsidRPr="003D7854">
        <w:rPr>
          <w:sz w:val="24"/>
          <w:szCs w:val="24"/>
        </w:rPr>
        <w:t>2020-2022 года, как источник финансирования.</w:t>
      </w:r>
    </w:p>
    <w:p w:rsidR="004D4E44" w:rsidRDefault="004D4E44" w:rsidP="004D4E44">
      <w:pPr>
        <w:widowControl/>
        <w:tabs>
          <w:tab w:val="left" w:pos="567"/>
          <w:tab w:val="left" w:pos="1843"/>
        </w:tabs>
        <w:ind w:firstLine="567"/>
        <w:jc w:val="both"/>
        <w:rPr>
          <w:iCs/>
          <w:sz w:val="24"/>
          <w:szCs w:val="24"/>
        </w:rPr>
      </w:pPr>
      <w:r w:rsidRPr="004D4E44">
        <w:rPr>
          <w:iCs/>
          <w:sz w:val="24"/>
          <w:szCs w:val="24"/>
        </w:rPr>
        <w:t>Департамент по вышеперечисленным доводам ООО «Промэнергосеть-Лежнево» отмечает следующее.</w:t>
      </w:r>
    </w:p>
    <w:p w:rsidR="004D4E44" w:rsidRPr="00FD590F" w:rsidRDefault="004D4E44" w:rsidP="004D4E44">
      <w:pPr>
        <w:widowControl/>
        <w:tabs>
          <w:tab w:val="left" w:pos="567"/>
          <w:tab w:val="left" w:pos="1843"/>
        </w:tabs>
        <w:ind w:firstLine="567"/>
        <w:jc w:val="both"/>
        <w:rPr>
          <w:iCs/>
          <w:sz w:val="24"/>
          <w:szCs w:val="24"/>
        </w:rPr>
      </w:pPr>
      <w:r w:rsidRPr="00FD590F">
        <w:rPr>
          <w:iCs/>
          <w:sz w:val="24"/>
          <w:szCs w:val="24"/>
        </w:rPr>
        <w:lastRenderedPageBreak/>
        <w:t>Данные расходы исключены, как экономически необоснованные расходы, проценты за пользованием кредитом в размере 117,18 тыс. руб.</w:t>
      </w:r>
    </w:p>
    <w:p w:rsidR="00D27625" w:rsidRPr="00FD590F" w:rsidRDefault="00D27625" w:rsidP="004D4E44">
      <w:pPr>
        <w:widowControl/>
        <w:tabs>
          <w:tab w:val="left" w:pos="567"/>
          <w:tab w:val="left" w:pos="1843"/>
        </w:tabs>
        <w:ind w:firstLine="567"/>
        <w:jc w:val="both"/>
        <w:rPr>
          <w:iCs/>
          <w:sz w:val="24"/>
          <w:szCs w:val="24"/>
        </w:rPr>
      </w:pPr>
      <w:r w:rsidRPr="00FD590F">
        <w:rPr>
          <w:iCs/>
          <w:sz w:val="24"/>
          <w:szCs w:val="24"/>
        </w:rPr>
        <w:t>Согласно п. 1.1  договор</w:t>
      </w:r>
      <w:r w:rsidR="00FD590F" w:rsidRPr="00FD590F">
        <w:rPr>
          <w:iCs/>
          <w:sz w:val="24"/>
          <w:szCs w:val="24"/>
        </w:rPr>
        <w:t>а</w:t>
      </w:r>
      <w:r w:rsidRPr="00FD590F">
        <w:rPr>
          <w:iCs/>
          <w:sz w:val="24"/>
          <w:szCs w:val="24"/>
        </w:rPr>
        <w:t xml:space="preserve"> займа от 22.04.2021 № 22-04-з займодавец передает заемщику денежные средства в размере 501 тыс. руб., а заемщик обязуется вернуть равную сумму денег и </w:t>
      </w:r>
      <w:r w:rsidRPr="00FD590F">
        <w:rPr>
          <w:b/>
          <w:iCs/>
          <w:sz w:val="24"/>
          <w:szCs w:val="24"/>
        </w:rPr>
        <w:t>уплатить проценты</w:t>
      </w:r>
      <w:r w:rsidRPr="00FD590F">
        <w:rPr>
          <w:iCs/>
          <w:sz w:val="24"/>
          <w:szCs w:val="24"/>
        </w:rPr>
        <w:t xml:space="preserve"> за пользование ею.</w:t>
      </w:r>
    </w:p>
    <w:p w:rsidR="00D27625" w:rsidRPr="00FD590F" w:rsidRDefault="00D27625" w:rsidP="00D27625">
      <w:pPr>
        <w:widowControl/>
        <w:tabs>
          <w:tab w:val="left" w:pos="567"/>
          <w:tab w:val="left" w:pos="1843"/>
        </w:tabs>
        <w:ind w:firstLine="567"/>
        <w:jc w:val="both"/>
        <w:rPr>
          <w:iCs/>
          <w:sz w:val="24"/>
          <w:szCs w:val="24"/>
        </w:rPr>
      </w:pPr>
      <w:r w:rsidRPr="00FD590F">
        <w:rPr>
          <w:iCs/>
          <w:sz w:val="24"/>
          <w:szCs w:val="24"/>
        </w:rPr>
        <w:t>Согласно п. 1.1  договор</w:t>
      </w:r>
      <w:r w:rsidR="00FD590F" w:rsidRPr="00FD590F">
        <w:rPr>
          <w:iCs/>
          <w:sz w:val="24"/>
          <w:szCs w:val="24"/>
        </w:rPr>
        <w:t>а</w:t>
      </w:r>
      <w:r w:rsidRPr="00FD590F">
        <w:rPr>
          <w:iCs/>
          <w:sz w:val="24"/>
          <w:szCs w:val="24"/>
        </w:rPr>
        <w:t xml:space="preserve"> займа от 22.04.2021 № 22-04-з-1 займодавец передает заемщику денежные средства в размере 520 тыс. руб., а заемщик обязуется вернуть равную сумму денег и </w:t>
      </w:r>
      <w:r w:rsidRPr="00FD590F">
        <w:rPr>
          <w:b/>
          <w:iCs/>
          <w:sz w:val="24"/>
          <w:szCs w:val="24"/>
        </w:rPr>
        <w:t>уплатить проценты</w:t>
      </w:r>
      <w:r w:rsidRPr="00FD590F">
        <w:rPr>
          <w:iCs/>
          <w:sz w:val="24"/>
          <w:szCs w:val="24"/>
        </w:rPr>
        <w:t xml:space="preserve"> за пользование ею.</w:t>
      </w:r>
    </w:p>
    <w:p w:rsidR="004D4E44" w:rsidRPr="00FD590F" w:rsidRDefault="00D27625" w:rsidP="00FD590F">
      <w:pPr>
        <w:widowControl/>
        <w:tabs>
          <w:tab w:val="left" w:pos="567"/>
          <w:tab w:val="left" w:pos="1843"/>
        </w:tabs>
        <w:ind w:firstLine="567"/>
        <w:jc w:val="both"/>
        <w:rPr>
          <w:iCs/>
          <w:sz w:val="24"/>
          <w:szCs w:val="24"/>
        </w:rPr>
      </w:pPr>
      <w:proofErr w:type="gramStart"/>
      <w:r w:rsidRPr="00FD590F">
        <w:rPr>
          <w:iCs/>
          <w:sz w:val="24"/>
          <w:szCs w:val="24"/>
        </w:rPr>
        <w:t>В материалах тарифного дела также имеются п</w:t>
      </w:r>
      <w:r w:rsidR="002E6303" w:rsidRPr="00FD590F">
        <w:rPr>
          <w:iCs/>
          <w:sz w:val="24"/>
          <w:szCs w:val="24"/>
        </w:rPr>
        <w:t xml:space="preserve">латежные поручения </w:t>
      </w:r>
      <w:r w:rsidRPr="00FD590F">
        <w:rPr>
          <w:iCs/>
          <w:sz w:val="24"/>
          <w:szCs w:val="24"/>
        </w:rPr>
        <w:t xml:space="preserve">о выдаче процентного займа, однако </w:t>
      </w:r>
      <w:r w:rsidR="004D4E44" w:rsidRPr="00FD590F">
        <w:rPr>
          <w:iCs/>
          <w:sz w:val="24"/>
          <w:szCs w:val="24"/>
        </w:rPr>
        <w:t>ООО «Промэнергосеть-Лежнево» не представил</w:t>
      </w:r>
      <w:r w:rsidR="002E6303" w:rsidRPr="00FD590F">
        <w:rPr>
          <w:iCs/>
          <w:sz w:val="24"/>
          <w:szCs w:val="24"/>
        </w:rPr>
        <w:t>о документы,</w:t>
      </w:r>
      <w:r w:rsidR="004D4E44" w:rsidRPr="00FD590F">
        <w:rPr>
          <w:iCs/>
          <w:sz w:val="24"/>
          <w:szCs w:val="24"/>
        </w:rPr>
        <w:t xml:space="preserve"> </w:t>
      </w:r>
      <w:r w:rsidR="002E6303" w:rsidRPr="00FD590F">
        <w:rPr>
          <w:iCs/>
          <w:sz w:val="24"/>
          <w:szCs w:val="24"/>
        </w:rPr>
        <w:t>подтверждающие несение в 2021 году</w:t>
      </w:r>
      <w:r w:rsidR="004D4E44" w:rsidRPr="00FD590F">
        <w:rPr>
          <w:iCs/>
          <w:sz w:val="24"/>
          <w:szCs w:val="24"/>
        </w:rPr>
        <w:t xml:space="preserve"> фактических затрат по процентам за пользование кредитом</w:t>
      </w:r>
      <w:r w:rsidR="002E6303" w:rsidRPr="00FD590F">
        <w:rPr>
          <w:iCs/>
          <w:sz w:val="24"/>
          <w:szCs w:val="24"/>
        </w:rPr>
        <w:t xml:space="preserve">, в то время как мероприятия инвестиционной программы </w:t>
      </w:r>
      <w:r w:rsidR="00371BAB" w:rsidRPr="00FD590F">
        <w:rPr>
          <w:iCs/>
          <w:sz w:val="24"/>
          <w:szCs w:val="24"/>
        </w:rPr>
        <w:t xml:space="preserve">по данным Общества </w:t>
      </w:r>
      <w:r w:rsidR="002E6303" w:rsidRPr="00FD590F">
        <w:rPr>
          <w:iCs/>
          <w:sz w:val="24"/>
          <w:szCs w:val="24"/>
        </w:rPr>
        <w:t>были профинансированы</w:t>
      </w:r>
      <w:r w:rsidR="00080924" w:rsidRPr="00FD590F">
        <w:rPr>
          <w:iCs/>
          <w:sz w:val="24"/>
          <w:szCs w:val="24"/>
        </w:rPr>
        <w:t xml:space="preserve"> и графиком платежей уплата процентов за пользование заемными средствами предусмотрена с середины 2021 года</w:t>
      </w:r>
      <w:r w:rsidR="002E6303" w:rsidRPr="00FD590F">
        <w:rPr>
          <w:iCs/>
          <w:sz w:val="24"/>
          <w:szCs w:val="24"/>
        </w:rPr>
        <w:t>.</w:t>
      </w:r>
      <w:proofErr w:type="gramEnd"/>
    </w:p>
    <w:p w:rsidR="003D7854" w:rsidRPr="003D7854" w:rsidRDefault="004D4E44" w:rsidP="003D7854">
      <w:pPr>
        <w:widowControl/>
        <w:tabs>
          <w:tab w:val="left" w:pos="567"/>
          <w:tab w:val="left" w:pos="1843"/>
        </w:tabs>
        <w:ind w:firstLine="567"/>
        <w:jc w:val="both"/>
        <w:rPr>
          <w:iCs/>
          <w:sz w:val="24"/>
          <w:szCs w:val="24"/>
        </w:rPr>
      </w:pPr>
      <w:r>
        <w:rPr>
          <w:iCs/>
          <w:sz w:val="24"/>
          <w:szCs w:val="24"/>
        </w:rPr>
        <w:t>6.</w:t>
      </w:r>
      <w:r w:rsidR="003D7854" w:rsidRPr="003D7854">
        <w:rPr>
          <w:rFonts w:eastAsia="Calibri"/>
          <w:sz w:val="24"/>
          <w:szCs w:val="24"/>
          <w:lang w:eastAsia="en-US"/>
        </w:rPr>
        <w:t xml:space="preserve"> </w:t>
      </w:r>
      <w:r w:rsidR="003D7854" w:rsidRPr="003D7854">
        <w:rPr>
          <w:iCs/>
          <w:sz w:val="24"/>
          <w:szCs w:val="24"/>
        </w:rPr>
        <w:t>Департаментом произведена корректировка неподконтрольных расходов за 2021 год в соответствии с фактом предыдущего периода по статье «Арендная плата» в размере -</w:t>
      </w:r>
      <w:r w:rsidR="00186A35">
        <w:rPr>
          <w:iCs/>
          <w:sz w:val="24"/>
          <w:szCs w:val="24"/>
        </w:rPr>
        <w:t xml:space="preserve"> 2</w:t>
      </w:r>
      <w:r w:rsidR="003D7854" w:rsidRPr="003D7854">
        <w:rPr>
          <w:iCs/>
          <w:sz w:val="24"/>
          <w:szCs w:val="24"/>
        </w:rPr>
        <w:t xml:space="preserve"> 181,33 тыс.</w:t>
      </w:r>
      <w:r w:rsidR="003D7854">
        <w:rPr>
          <w:iCs/>
          <w:sz w:val="24"/>
          <w:szCs w:val="24"/>
        </w:rPr>
        <w:t xml:space="preserve"> </w:t>
      </w:r>
      <w:r w:rsidR="003D7854" w:rsidRPr="003D7854">
        <w:rPr>
          <w:iCs/>
          <w:sz w:val="24"/>
          <w:szCs w:val="24"/>
        </w:rPr>
        <w:t>руб. с учетом индекса 2022 года 1,043.</w:t>
      </w:r>
    </w:p>
    <w:p w:rsidR="004D4E44" w:rsidRDefault="003D7854" w:rsidP="003D7854">
      <w:pPr>
        <w:widowControl/>
        <w:tabs>
          <w:tab w:val="left" w:pos="567"/>
          <w:tab w:val="left" w:pos="1843"/>
        </w:tabs>
        <w:ind w:firstLine="567"/>
        <w:jc w:val="both"/>
        <w:rPr>
          <w:iCs/>
          <w:sz w:val="24"/>
          <w:szCs w:val="24"/>
        </w:rPr>
      </w:pPr>
      <w:r w:rsidRPr="003D7854">
        <w:rPr>
          <w:iCs/>
          <w:sz w:val="24"/>
          <w:szCs w:val="24"/>
        </w:rPr>
        <w:t>Данная корректировка существенно снижает НВВ на содержание сетей в 2022 году. Общество просит произвести данную корректировку в 2023 году согласно факт</w:t>
      </w:r>
      <w:r w:rsidR="00186A35">
        <w:rPr>
          <w:iCs/>
          <w:sz w:val="24"/>
          <w:szCs w:val="24"/>
        </w:rPr>
        <w:t>у</w:t>
      </w:r>
      <w:r w:rsidRPr="003D7854">
        <w:rPr>
          <w:iCs/>
          <w:sz w:val="24"/>
          <w:szCs w:val="24"/>
        </w:rPr>
        <w:t xml:space="preserve"> 2021</w:t>
      </w:r>
      <w:r>
        <w:rPr>
          <w:iCs/>
          <w:sz w:val="24"/>
          <w:szCs w:val="24"/>
        </w:rPr>
        <w:t xml:space="preserve"> </w:t>
      </w:r>
      <w:r w:rsidRPr="003D7854">
        <w:rPr>
          <w:iCs/>
          <w:sz w:val="24"/>
          <w:szCs w:val="24"/>
        </w:rPr>
        <w:t>года. Средства, запланированные в НВВ по статье «Аренда» на 2021</w:t>
      </w:r>
      <w:r>
        <w:rPr>
          <w:iCs/>
          <w:sz w:val="24"/>
          <w:szCs w:val="24"/>
        </w:rPr>
        <w:t xml:space="preserve"> </w:t>
      </w:r>
      <w:r w:rsidRPr="003D7854">
        <w:rPr>
          <w:iCs/>
          <w:sz w:val="24"/>
          <w:szCs w:val="24"/>
        </w:rPr>
        <w:t>год</w:t>
      </w:r>
      <w:r w:rsidR="00186A35">
        <w:rPr>
          <w:iCs/>
          <w:sz w:val="24"/>
          <w:szCs w:val="24"/>
        </w:rPr>
        <w:t>,</w:t>
      </w:r>
      <w:r w:rsidRPr="003D7854">
        <w:rPr>
          <w:iCs/>
          <w:sz w:val="24"/>
          <w:szCs w:val="24"/>
        </w:rPr>
        <w:t xml:space="preserve"> были выплачены арендодателям </w:t>
      </w:r>
      <w:proofErr w:type="gramStart"/>
      <w:r w:rsidRPr="003D7854">
        <w:rPr>
          <w:iCs/>
          <w:sz w:val="24"/>
          <w:szCs w:val="24"/>
        </w:rPr>
        <w:t>согласно договоров</w:t>
      </w:r>
      <w:proofErr w:type="gramEnd"/>
      <w:r w:rsidRPr="003D7854">
        <w:rPr>
          <w:iCs/>
          <w:sz w:val="24"/>
          <w:szCs w:val="24"/>
        </w:rPr>
        <w:t xml:space="preserve"> аренды,</w:t>
      </w:r>
      <w:r w:rsidR="00186A35">
        <w:rPr>
          <w:iCs/>
          <w:sz w:val="24"/>
          <w:szCs w:val="24"/>
        </w:rPr>
        <w:t xml:space="preserve"> а не остались у Общества.</w:t>
      </w:r>
    </w:p>
    <w:p w:rsidR="00FA00A0" w:rsidRDefault="00FA00A0" w:rsidP="004D4E44">
      <w:pPr>
        <w:widowControl/>
        <w:tabs>
          <w:tab w:val="left" w:pos="567"/>
          <w:tab w:val="left" w:pos="1843"/>
        </w:tabs>
        <w:ind w:firstLine="567"/>
        <w:jc w:val="both"/>
        <w:rPr>
          <w:iCs/>
          <w:sz w:val="24"/>
          <w:szCs w:val="24"/>
        </w:rPr>
      </w:pPr>
      <w:r w:rsidRPr="00FA00A0">
        <w:rPr>
          <w:iCs/>
          <w:sz w:val="24"/>
          <w:szCs w:val="24"/>
        </w:rPr>
        <w:t>Департамент по вышеперечисленным доводам ООО «Промэнергосеть-Лежнево» отмечает следующее.</w:t>
      </w:r>
    </w:p>
    <w:p w:rsidR="00D0355D" w:rsidRDefault="00D0355D" w:rsidP="004D4E44">
      <w:pPr>
        <w:widowControl/>
        <w:tabs>
          <w:tab w:val="left" w:pos="567"/>
          <w:tab w:val="left" w:pos="1843"/>
        </w:tabs>
        <w:ind w:firstLine="567"/>
        <w:jc w:val="both"/>
        <w:rPr>
          <w:iCs/>
          <w:sz w:val="24"/>
          <w:szCs w:val="24"/>
        </w:rPr>
      </w:pPr>
      <w:r w:rsidRPr="00D0355D">
        <w:rPr>
          <w:iCs/>
          <w:sz w:val="24"/>
          <w:szCs w:val="24"/>
        </w:rPr>
        <w:t xml:space="preserve">В соответствии с пунктом 11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утвержденных приказом ФСТ России от 17.02.2012 № 98-э (далее – Методические указания № 98-э), корректировка необходимой валовой выручки </w:t>
      </w:r>
      <w:r w:rsidR="00EC0FB5">
        <w:rPr>
          <w:iCs/>
          <w:sz w:val="24"/>
          <w:szCs w:val="24"/>
        </w:rPr>
        <w:t>в части неподконтрольных расходов</w:t>
      </w:r>
      <w:r w:rsidRPr="00D0355D">
        <w:rPr>
          <w:iCs/>
          <w:sz w:val="24"/>
          <w:szCs w:val="24"/>
        </w:rPr>
        <w:t xml:space="preserve"> рассчитывается по формуле</w:t>
      </w:r>
      <w:r w:rsidR="00EC0FB5">
        <w:rPr>
          <w:iCs/>
          <w:sz w:val="24"/>
          <w:szCs w:val="24"/>
        </w:rPr>
        <w:t xml:space="preserve"> 7.</w:t>
      </w:r>
    </w:p>
    <w:p w:rsidR="00EC0FB5" w:rsidRDefault="00EC0FB5" w:rsidP="00EC0FB5">
      <w:pPr>
        <w:widowControl/>
        <w:tabs>
          <w:tab w:val="left" w:pos="567"/>
          <w:tab w:val="left" w:pos="1843"/>
        </w:tabs>
        <w:ind w:firstLine="567"/>
        <w:jc w:val="center"/>
        <w:rPr>
          <w:iCs/>
          <w:sz w:val="24"/>
          <w:szCs w:val="24"/>
        </w:rPr>
      </w:pPr>
      <w:r>
        <w:rPr>
          <w:iCs/>
          <w:noProof/>
          <w:sz w:val="24"/>
          <w:szCs w:val="24"/>
        </w:rPr>
        <w:drawing>
          <wp:inline distT="0" distB="0" distL="0" distR="0" wp14:anchorId="3AD35E15">
            <wp:extent cx="2286000" cy="2863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286385"/>
                    </a:xfrm>
                    <a:prstGeom prst="rect">
                      <a:avLst/>
                    </a:prstGeom>
                    <a:noFill/>
                  </pic:spPr>
                </pic:pic>
              </a:graphicData>
            </a:graphic>
          </wp:inline>
        </w:drawing>
      </w:r>
    </w:p>
    <w:p w:rsidR="0063569C" w:rsidRDefault="00186A35" w:rsidP="00FA00A0">
      <w:pPr>
        <w:widowControl/>
        <w:tabs>
          <w:tab w:val="left" w:pos="567"/>
          <w:tab w:val="left" w:pos="1843"/>
        </w:tabs>
        <w:ind w:firstLine="567"/>
        <w:jc w:val="both"/>
        <w:rPr>
          <w:iCs/>
          <w:sz w:val="24"/>
          <w:szCs w:val="24"/>
        </w:rPr>
      </w:pPr>
      <w:r>
        <w:rPr>
          <w:iCs/>
          <w:sz w:val="24"/>
          <w:szCs w:val="24"/>
        </w:rPr>
        <w:t>Также, с</w:t>
      </w:r>
      <w:r w:rsidR="004D4E44" w:rsidRPr="004D4E44">
        <w:rPr>
          <w:iCs/>
          <w:sz w:val="24"/>
          <w:szCs w:val="24"/>
        </w:rPr>
        <w:t xml:space="preserve">огласно п. 9 Методических указаний № 98-э 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расчетный период регулирования. По решению регулирующего органа такая корректировка </w:t>
      </w:r>
      <w:r w:rsidR="004D4E44" w:rsidRPr="00186A35">
        <w:rPr>
          <w:b/>
          <w:iCs/>
          <w:sz w:val="24"/>
          <w:szCs w:val="24"/>
        </w:rPr>
        <w:t xml:space="preserve">может осуществляться с учетом </w:t>
      </w:r>
      <w:proofErr w:type="gramStart"/>
      <w:r w:rsidR="004D4E44" w:rsidRPr="00186A35">
        <w:rPr>
          <w:b/>
          <w:iCs/>
          <w:sz w:val="24"/>
          <w:szCs w:val="24"/>
        </w:rPr>
        <w:t>отклонения фактических значений параметров расчета тарифов</w:t>
      </w:r>
      <w:proofErr w:type="gramEnd"/>
      <w:r w:rsidR="004D4E44" w:rsidRPr="00186A35">
        <w:rPr>
          <w:b/>
          <w:iCs/>
          <w:sz w:val="24"/>
          <w:szCs w:val="24"/>
        </w:rPr>
        <w:t xml:space="preserve"> по итогам истекшего периода текущего года</w:t>
      </w:r>
      <w:r w:rsidR="004D4E44" w:rsidRPr="004D4E44">
        <w:rPr>
          <w:iCs/>
          <w:sz w:val="24"/>
          <w:szCs w:val="24"/>
        </w:rPr>
        <w:t xml:space="preserve"> долгосрочного периода регулирования, за который известны фактические значения параметров расчета тарифов, от планировавшихся значений параметров расчета тарифов, а также изменение плановых показателей на следующие периоды.</w:t>
      </w:r>
    </w:p>
    <w:p w:rsidR="003D7854" w:rsidRDefault="00D0355D" w:rsidP="00EC0FB5">
      <w:pPr>
        <w:widowControl/>
        <w:tabs>
          <w:tab w:val="left" w:pos="567"/>
          <w:tab w:val="left" w:pos="1843"/>
        </w:tabs>
        <w:ind w:firstLine="567"/>
        <w:jc w:val="both"/>
        <w:rPr>
          <w:iCs/>
          <w:sz w:val="24"/>
          <w:szCs w:val="24"/>
        </w:rPr>
      </w:pPr>
      <w:proofErr w:type="gramStart"/>
      <w:r w:rsidRPr="00D0355D">
        <w:rPr>
          <w:iCs/>
          <w:sz w:val="24"/>
          <w:szCs w:val="24"/>
        </w:rPr>
        <w:t>Таким образом, корректировка НВВ ООО «</w:t>
      </w:r>
      <w:r>
        <w:rPr>
          <w:iCs/>
          <w:sz w:val="24"/>
          <w:szCs w:val="24"/>
        </w:rPr>
        <w:t>Промэнергосеть-Лежнево</w:t>
      </w:r>
      <w:r w:rsidRPr="00D0355D">
        <w:rPr>
          <w:iCs/>
          <w:sz w:val="24"/>
          <w:szCs w:val="24"/>
        </w:rPr>
        <w:t xml:space="preserve">» </w:t>
      </w:r>
      <w:r>
        <w:rPr>
          <w:iCs/>
          <w:sz w:val="24"/>
          <w:szCs w:val="24"/>
        </w:rPr>
        <w:t>2022</w:t>
      </w:r>
      <w:r w:rsidRPr="00D0355D">
        <w:rPr>
          <w:iCs/>
          <w:sz w:val="24"/>
          <w:szCs w:val="24"/>
        </w:rPr>
        <w:t xml:space="preserve"> года </w:t>
      </w:r>
      <w:r w:rsidR="00186A35">
        <w:rPr>
          <w:iCs/>
          <w:sz w:val="24"/>
          <w:szCs w:val="24"/>
        </w:rPr>
        <w:t xml:space="preserve">в части </w:t>
      </w:r>
      <w:r w:rsidR="00EC0FB5">
        <w:rPr>
          <w:iCs/>
          <w:sz w:val="24"/>
          <w:szCs w:val="24"/>
        </w:rPr>
        <w:t>неподконтрольных расходов</w:t>
      </w:r>
      <w:r w:rsidR="00EC0FB5">
        <w:rPr>
          <w:b/>
          <w:iCs/>
          <w:sz w:val="24"/>
          <w:szCs w:val="24"/>
        </w:rPr>
        <w:t xml:space="preserve">, </w:t>
      </w:r>
      <w:r w:rsidR="00186A35">
        <w:rPr>
          <w:iCs/>
          <w:sz w:val="24"/>
          <w:szCs w:val="24"/>
        </w:rPr>
        <w:t>а именно по статье «Аренд</w:t>
      </w:r>
      <w:r w:rsidR="00EC0FB5" w:rsidRPr="00EC0FB5">
        <w:rPr>
          <w:iCs/>
          <w:sz w:val="24"/>
          <w:szCs w:val="24"/>
        </w:rPr>
        <w:t>ная плата электросетевого хозяйства»</w:t>
      </w:r>
      <w:r w:rsidR="00EC0FB5">
        <w:rPr>
          <w:b/>
          <w:iCs/>
          <w:sz w:val="24"/>
          <w:szCs w:val="24"/>
        </w:rPr>
        <w:t xml:space="preserve"> </w:t>
      </w:r>
      <w:r w:rsidRPr="00D0355D">
        <w:rPr>
          <w:iCs/>
          <w:sz w:val="24"/>
          <w:szCs w:val="24"/>
        </w:rPr>
        <w:t xml:space="preserve">принята Департаментом в размере </w:t>
      </w:r>
      <w:r w:rsidR="00EC0FB5">
        <w:rPr>
          <w:iCs/>
          <w:sz w:val="24"/>
          <w:szCs w:val="24"/>
        </w:rPr>
        <w:t>(</w:t>
      </w:r>
      <w:r w:rsidR="00EC0FB5" w:rsidRPr="00EC0FB5">
        <w:rPr>
          <w:iCs/>
          <w:sz w:val="24"/>
          <w:szCs w:val="24"/>
        </w:rPr>
        <w:t>-2 091,40</w:t>
      </w:r>
      <w:r w:rsidR="00EC0FB5">
        <w:rPr>
          <w:iCs/>
          <w:sz w:val="24"/>
          <w:szCs w:val="24"/>
        </w:rPr>
        <w:t>)</w:t>
      </w:r>
      <w:r w:rsidRPr="00D0355D">
        <w:rPr>
          <w:iCs/>
          <w:sz w:val="24"/>
          <w:szCs w:val="24"/>
        </w:rPr>
        <w:t xml:space="preserve"> тыс. руб. </w:t>
      </w:r>
      <w:r w:rsidR="003D7854" w:rsidRPr="003D7854">
        <w:rPr>
          <w:iCs/>
          <w:sz w:val="24"/>
          <w:szCs w:val="24"/>
        </w:rPr>
        <w:t>С учетом инде</w:t>
      </w:r>
      <w:r w:rsidR="00EC0FB5">
        <w:rPr>
          <w:iCs/>
          <w:sz w:val="24"/>
          <w:szCs w:val="24"/>
        </w:rPr>
        <w:t>кса потребительских цен на 2022</w:t>
      </w:r>
      <w:r w:rsidR="005E6BAD">
        <w:rPr>
          <w:iCs/>
          <w:sz w:val="24"/>
          <w:szCs w:val="24"/>
        </w:rPr>
        <w:t xml:space="preserve"> </w:t>
      </w:r>
      <w:r w:rsidR="003D7854" w:rsidRPr="003D7854">
        <w:rPr>
          <w:iCs/>
          <w:sz w:val="24"/>
          <w:szCs w:val="24"/>
        </w:rPr>
        <w:t xml:space="preserve"> гг., предусмотренных формулой (3) Методических указаний № 98-э, величина корректировки </w:t>
      </w:r>
      <w:r w:rsidR="00186A35">
        <w:rPr>
          <w:iCs/>
          <w:sz w:val="24"/>
          <w:szCs w:val="24"/>
        </w:rPr>
        <w:t>составила</w:t>
      </w:r>
      <w:r w:rsidR="003D7854" w:rsidRPr="003D7854">
        <w:rPr>
          <w:iCs/>
          <w:sz w:val="24"/>
          <w:szCs w:val="24"/>
        </w:rPr>
        <w:t xml:space="preserve">= </w:t>
      </w:r>
      <w:r w:rsidR="003D7854" w:rsidRPr="003D7854">
        <w:rPr>
          <w:bCs/>
          <w:iCs/>
          <w:sz w:val="24"/>
          <w:szCs w:val="24"/>
        </w:rPr>
        <w:t>(-</w:t>
      </w:r>
      <w:r w:rsidR="00EC0FB5">
        <w:rPr>
          <w:bCs/>
          <w:iCs/>
          <w:sz w:val="24"/>
          <w:szCs w:val="24"/>
        </w:rPr>
        <w:t>2091,40</w:t>
      </w:r>
      <w:r w:rsidR="003D7854" w:rsidRPr="003D7854">
        <w:rPr>
          <w:bCs/>
          <w:iCs/>
          <w:sz w:val="24"/>
          <w:szCs w:val="24"/>
        </w:rPr>
        <w:t xml:space="preserve">) тыс. руб. </w:t>
      </w:r>
      <w:r w:rsidR="00EC0FB5">
        <w:rPr>
          <w:iCs/>
          <w:sz w:val="24"/>
          <w:szCs w:val="24"/>
        </w:rPr>
        <w:t>* 1,043 =(</w:t>
      </w:r>
      <w:r w:rsidR="003D7854" w:rsidRPr="003D7854">
        <w:rPr>
          <w:iCs/>
          <w:sz w:val="24"/>
          <w:szCs w:val="24"/>
        </w:rPr>
        <w:t>-</w:t>
      </w:r>
      <w:r w:rsidR="00EC0FB5" w:rsidRPr="00EC0FB5">
        <w:t xml:space="preserve"> </w:t>
      </w:r>
      <w:r w:rsidR="00EC0FB5">
        <w:rPr>
          <w:iCs/>
          <w:sz w:val="24"/>
          <w:szCs w:val="24"/>
        </w:rPr>
        <w:t>2</w:t>
      </w:r>
      <w:r w:rsidR="00EC0FB5" w:rsidRPr="00EC0FB5">
        <w:rPr>
          <w:iCs/>
          <w:sz w:val="24"/>
          <w:szCs w:val="24"/>
        </w:rPr>
        <w:t>181,33</w:t>
      </w:r>
      <w:r w:rsidR="00EC0FB5">
        <w:rPr>
          <w:iCs/>
          <w:sz w:val="24"/>
          <w:szCs w:val="24"/>
        </w:rPr>
        <w:t>)</w:t>
      </w:r>
      <w:r w:rsidR="00EC0FB5" w:rsidRPr="00EC0FB5">
        <w:rPr>
          <w:iCs/>
          <w:sz w:val="24"/>
          <w:szCs w:val="24"/>
        </w:rPr>
        <w:t xml:space="preserve"> </w:t>
      </w:r>
      <w:r w:rsidR="003D7854" w:rsidRPr="003D7854">
        <w:rPr>
          <w:iCs/>
          <w:sz w:val="24"/>
          <w:szCs w:val="24"/>
        </w:rPr>
        <w:t>тыс. руб.</w:t>
      </w:r>
      <w:proofErr w:type="gramEnd"/>
    </w:p>
    <w:p w:rsidR="00FA00A0" w:rsidRPr="00FA00A0" w:rsidRDefault="00FA00A0" w:rsidP="00FA00A0">
      <w:pPr>
        <w:widowControl/>
        <w:tabs>
          <w:tab w:val="left" w:pos="567"/>
          <w:tab w:val="left" w:pos="1843"/>
        </w:tabs>
        <w:ind w:firstLine="567"/>
        <w:jc w:val="both"/>
        <w:rPr>
          <w:iCs/>
          <w:sz w:val="24"/>
          <w:szCs w:val="24"/>
        </w:rPr>
      </w:pPr>
    </w:p>
    <w:p w:rsidR="00E95F9F" w:rsidRPr="00D63A3D" w:rsidRDefault="0047755F" w:rsidP="007D42E6">
      <w:pPr>
        <w:pStyle w:val="aa"/>
        <w:tabs>
          <w:tab w:val="left" w:pos="1134"/>
          <w:tab w:val="left" w:pos="1276"/>
        </w:tabs>
        <w:ind w:left="567"/>
        <w:jc w:val="both"/>
        <w:rPr>
          <w:b/>
          <w:sz w:val="24"/>
          <w:szCs w:val="24"/>
        </w:rPr>
      </w:pPr>
      <w:r w:rsidRPr="00D63A3D">
        <w:rPr>
          <w:b/>
          <w:sz w:val="24"/>
          <w:szCs w:val="24"/>
        </w:rPr>
        <w:t>РЕШИЛИ:</w:t>
      </w:r>
    </w:p>
    <w:p w:rsidR="0098043C" w:rsidRPr="00D63A3D" w:rsidRDefault="0098043C" w:rsidP="00D63A3D">
      <w:pPr>
        <w:tabs>
          <w:tab w:val="left" w:pos="4020"/>
        </w:tabs>
        <w:ind w:firstLine="567"/>
        <w:jc w:val="both"/>
        <w:rPr>
          <w:sz w:val="24"/>
          <w:szCs w:val="24"/>
        </w:rPr>
      </w:pPr>
      <w:proofErr w:type="gramStart"/>
      <w:r w:rsidRPr="00D63A3D">
        <w:rPr>
          <w:sz w:val="24"/>
          <w:szCs w:val="24"/>
        </w:rPr>
        <w:t>В соответствии с Федеральным законом от 26.03.2003 № 35-ФЗ «Об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Постановлением Правительства Российской Федерации от 28.02.2015 № 184 «Об отнесении владельцев объектов электросетевого хозяйства к территориальным сетевым организациям»,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w:t>
      </w:r>
      <w:proofErr w:type="gramEnd"/>
      <w:r w:rsidRPr="00D63A3D">
        <w:rPr>
          <w:sz w:val="24"/>
          <w:szCs w:val="24"/>
        </w:rPr>
        <w:t xml:space="preserve"> Федерации от 27.12.2004 № 861:</w:t>
      </w:r>
    </w:p>
    <w:p w:rsidR="003A364D" w:rsidRPr="00D63A3D" w:rsidRDefault="006F580B" w:rsidP="006F580B">
      <w:pPr>
        <w:tabs>
          <w:tab w:val="left" w:pos="4020"/>
        </w:tabs>
        <w:ind w:firstLine="540"/>
        <w:jc w:val="both"/>
        <w:rPr>
          <w:sz w:val="24"/>
          <w:szCs w:val="24"/>
        </w:rPr>
      </w:pPr>
      <w:proofErr w:type="gramStart"/>
      <w:r>
        <w:rPr>
          <w:sz w:val="24"/>
          <w:szCs w:val="24"/>
        </w:rPr>
        <w:t>1.</w:t>
      </w:r>
      <w:r w:rsidRPr="006F580B">
        <w:rPr>
          <w:sz w:val="24"/>
          <w:szCs w:val="24"/>
        </w:rPr>
        <w:t xml:space="preserve">Внести изменения в постановление Департамента энергетики и тарифов Ивановской области от 27.12.2019 № 61-э/2 «Об установлении необходимой валовой выручки и долгосрочных параметров регулирования для сетевых организаций Ивановской области на 2020-2022 годы, в отношении которых тарифы на услуги по передаче электрической энергии устанавливаются на </w:t>
      </w:r>
      <w:r w:rsidRPr="006F580B">
        <w:rPr>
          <w:sz w:val="24"/>
          <w:szCs w:val="24"/>
        </w:rPr>
        <w:lastRenderedPageBreak/>
        <w:t xml:space="preserve">основе долгосрочных параметров </w:t>
      </w:r>
      <w:r w:rsidR="00F66FBB">
        <w:rPr>
          <w:sz w:val="24"/>
          <w:szCs w:val="24"/>
        </w:rPr>
        <w:t>регулирования», изложив строку 3</w:t>
      </w:r>
      <w:bookmarkStart w:id="0" w:name="_GoBack"/>
      <w:bookmarkEnd w:id="0"/>
      <w:r w:rsidRPr="006F580B">
        <w:rPr>
          <w:sz w:val="24"/>
          <w:szCs w:val="24"/>
        </w:rPr>
        <w:t xml:space="preserve"> в приложении 2 к постановлению Департамента энергетики и тарифов</w:t>
      </w:r>
      <w:proofErr w:type="gramEnd"/>
      <w:r w:rsidRPr="006F580B">
        <w:rPr>
          <w:sz w:val="24"/>
          <w:szCs w:val="24"/>
        </w:rPr>
        <w:t xml:space="preserve"> Ивановской области от 27.12.2019 № 61-э/2 в следующей редакции</w:t>
      </w:r>
      <w:r w:rsidR="00250E5F" w:rsidRPr="00D63A3D">
        <w:rPr>
          <w:sz w:val="24"/>
          <w:szCs w:val="24"/>
        </w:rPr>
        <w:t>:</w:t>
      </w:r>
    </w:p>
    <w:p w:rsidR="00250E5F" w:rsidRPr="00D63A3D" w:rsidRDefault="00250E5F" w:rsidP="00250E5F">
      <w:pPr>
        <w:tabs>
          <w:tab w:val="left" w:pos="4020"/>
        </w:tabs>
        <w:ind w:firstLine="540"/>
        <w:jc w:val="both"/>
        <w:rPr>
          <w:sz w:val="24"/>
          <w:szCs w:val="24"/>
        </w:rPr>
      </w:pPr>
    </w:p>
    <w:tbl>
      <w:tblPr>
        <w:tblStyle w:val="1"/>
        <w:tblW w:w="9916" w:type="dxa"/>
        <w:tblInd w:w="108" w:type="dxa"/>
        <w:tblLook w:val="04A0" w:firstRow="1" w:lastRow="0" w:firstColumn="1" w:lastColumn="0" w:noHBand="0" w:noVBand="1"/>
      </w:tblPr>
      <w:tblGrid>
        <w:gridCol w:w="966"/>
        <w:gridCol w:w="3962"/>
        <w:gridCol w:w="1309"/>
        <w:gridCol w:w="3679"/>
      </w:tblGrid>
      <w:tr w:rsidR="00FA00A0" w:rsidRPr="00D63A3D" w:rsidTr="00D63A3D">
        <w:trPr>
          <w:trHeight w:val="300"/>
        </w:trPr>
        <w:tc>
          <w:tcPr>
            <w:tcW w:w="966" w:type="dxa"/>
            <w:vMerge w:val="restart"/>
            <w:noWrap/>
            <w:vAlign w:val="center"/>
            <w:hideMark/>
          </w:tcPr>
          <w:p w:rsidR="00FA00A0" w:rsidRPr="00D63A3D" w:rsidRDefault="00FA00A0" w:rsidP="00250E5F">
            <w:pPr>
              <w:widowControl/>
              <w:tabs>
                <w:tab w:val="left" w:pos="0"/>
                <w:tab w:val="left" w:pos="993"/>
              </w:tabs>
              <w:autoSpaceDE w:val="0"/>
              <w:autoSpaceDN w:val="0"/>
              <w:adjustRightInd w:val="0"/>
              <w:contextualSpacing/>
              <w:jc w:val="center"/>
              <w:rPr>
                <w:sz w:val="24"/>
                <w:szCs w:val="24"/>
                <w:lang w:val="ru-RU"/>
              </w:rPr>
            </w:pPr>
            <w:r>
              <w:rPr>
                <w:sz w:val="24"/>
                <w:szCs w:val="24"/>
                <w:lang w:val="ru-RU"/>
              </w:rPr>
              <w:t>3</w:t>
            </w:r>
            <w:r w:rsidRPr="00D63A3D">
              <w:rPr>
                <w:sz w:val="24"/>
                <w:szCs w:val="24"/>
                <w:lang w:val="ru-RU"/>
              </w:rPr>
              <w:t>.</w:t>
            </w:r>
          </w:p>
        </w:tc>
        <w:tc>
          <w:tcPr>
            <w:tcW w:w="3962" w:type="dxa"/>
            <w:vMerge w:val="restart"/>
            <w:vAlign w:val="center"/>
            <w:hideMark/>
          </w:tcPr>
          <w:p w:rsidR="00FA00A0" w:rsidRPr="00D63A3D" w:rsidRDefault="00FA00A0" w:rsidP="00FA00A0">
            <w:pPr>
              <w:widowControl/>
              <w:tabs>
                <w:tab w:val="left" w:pos="0"/>
                <w:tab w:val="left" w:pos="993"/>
              </w:tabs>
              <w:autoSpaceDE w:val="0"/>
              <w:autoSpaceDN w:val="0"/>
              <w:adjustRightInd w:val="0"/>
              <w:ind w:left="168"/>
              <w:contextualSpacing/>
              <w:rPr>
                <w:sz w:val="24"/>
                <w:szCs w:val="24"/>
                <w:lang w:val="ru-RU"/>
              </w:rPr>
            </w:pPr>
            <w:r w:rsidRPr="00D63A3D">
              <w:rPr>
                <w:sz w:val="24"/>
                <w:szCs w:val="24"/>
                <w:lang w:val="ru-RU"/>
              </w:rPr>
              <w:t>ООО «</w:t>
            </w:r>
            <w:r>
              <w:rPr>
                <w:sz w:val="24"/>
                <w:szCs w:val="24"/>
                <w:lang w:val="ru-RU"/>
              </w:rPr>
              <w:t>Промэнергосеть-Лежнево</w:t>
            </w:r>
            <w:r w:rsidRPr="00D63A3D">
              <w:rPr>
                <w:sz w:val="24"/>
                <w:szCs w:val="24"/>
                <w:lang w:val="ru-RU"/>
              </w:rPr>
              <w:t>»</w:t>
            </w:r>
          </w:p>
        </w:tc>
        <w:tc>
          <w:tcPr>
            <w:tcW w:w="1309" w:type="dxa"/>
            <w:noWrap/>
            <w:hideMark/>
          </w:tcPr>
          <w:p w:rsidR="00FA00A0" w:rsidRPr="00D63A3D" w:rsidRDefault="00FA00A0" w:rsidP="00250E5F">
            <w:pPr>
              <w:widowControl/>
              <w:tabs>
                <w:tab w:val="left" w:pos="0"/>
                <w:tab w:val="left" w:pos="993"/>
              </w:tabs>
              <w:autoSpaceDE w:val="0"/>
              <w:autoSpaceDN w:val="0"/>
              <w:adjustRightInd w:val="0"/>
              <w:ind w:left="-43"/>
              <w:contextualSpacing/>
              <w:jc w:val="center"/>
              <w:rPr>
                <w:sz w:val="24"/>
                <w:szCs w:val="24"/>
                <w:lang w:val="ru-RU"/>
              </w:rPr>
            </w:pPr>
            <w:r w:rsidRPr="00D63A3D">
              <w:rPr>
                <w:sz w:val="24"/>
                <w:szCs w:val="24"/>
                <w:lang w:val="ru-RU"/>
              </w:rPr>
              <w:t>2020</w:t>
            </w:r>
          </w:p>
        </w:tc>
        <w:tc>
          <w:tcPr>
            <w:tcW w:w="3679" w:type="dxa"/>
            <w:noWrap/>
            <w:hideMark/>
          </w:tcPr>
          <w:p w:rsidR="00FA00A0" w:rsidRPr="00FA00A0" w:rsidRDefault="00FA00A0" w:rsidP="00FA00A0">
            <w:pPr>
              <w:jc w:val="center"/>
              <w:rPr>
                <w:sz w:val="24"/>
                <w:szCs w:val="24"/>
              </w:rPr>
            </w:pPr>
            <w:r w:rsidRPr="00FA00A0">
              <w:rPr>
                <w:sz w:val="24"/>
                <w:szCs w:val="24"/>
              </w:rPr>
              <w:t>14</w:t>
            </w:r>
            <w:r w:rsidR="00C62F05">
              <w:rPr>
                <w:sz w:val="24"/>
                <w:szCs w:val="24"/>
                <w:lang w:val="ru-RU"/>
              </w:rPr>
              <w:t xml:space="preserve"> </w:t>
            </w:r>
            <w:r w:rsidRPr="00FA00A0">
              <w:rPr>
                <w:sz w:val="24"/>
                <w:szCs w:val="24"/>
              </w:rPr>
              <w:t>166,26</w:t>
            </w:r>
          </w:p>
        </w:tc>
      </w:tr>
      <w:tr w:rsidR="00FA00A0" w:rsidRPr="00D63A3D" w:rsidTr="00D63A3D">
        <w:trPr>
          <w:trHeight w:val="300"/>
        </w:trPr>
        <w:tc>
          <w:tcPr>
            <w:tcW w:w="966" w:type="dxa"/>
            <w:vMerge/>
            <w:hideMark/>
          </w:tcPr>
          <w:p w:rsidR="00FA00A0" w:rsidRPr="00D63A3D" w:rsidRDefault="00FA00A0" w:rsidP="00250E5F">
            <w:pPr>
              <w:widowControl/>
              <w:tabs>
                <w:tab w:val="left" w:pos="0"/>
                <w:tab w:val="left" w:pos="993"/>
              </w:tabs>
              <w:autoSpaceDE w:val="0"/>
              <w:autoSpaceDN w:val="0"/>
              <w:adjustRightInd w:val="0"/>
              <w:ind w:left="540"/>
              <w:contextualSpacing/>
              <w:jc w:val="both"/>
              <w:rPr>
                <w:sz w:val="24"/>
                <w:szCs w:val="24"/>
                <w:lang w:val="ru-RU"/>
              </w:rPr>
            </w:pPr>
          </w:p>
        </w:tc>
        <w:tc>
          <w:tcPr>
            <w:tcW w:w="3962" w:type="dxa"/>
            <w:vMerge/>
            <w:hideMark/>
          </w:tcPr>
          <w:p w:rsidR="00FA00A0" w:rsidRPr="00D63A3D" w:rsidRDefault="00FA00A0" w:rsidP="00250E5F">
            <w:pPr>
              <w:widowControl/>
              <w:tabs>
                <w:tab w:val="left" w:pos="0"/>
                <w:tab w:val="left" w:pos="993"/>
              </w:tabs>
              <w:autoSpaceDE w:val="0"/>
              <w:autoSpaceDN w:val="0"/>
              <w:adjustRightInd w:val="0"/>
              <w:ind w:left="540"/>
              <w:contextualSpacing/>
              <w:jc w:val="both"/>
              <w:rPr>
                <w:sz w:val="24"/>
                <w:szCs w:val="24"/>
                <w:lang w:val="ru-RU"/>
              </w:rPr>
            </w:pPr>
          </w:p>
        </w:tc>
        <w:tc>
          <w:tcPr>
            <w:tcW w:w="1309" w:type="dxa"/>
            <w:noWrap/>
            <w:hideMark/>
          </w:tcPr>
          <w:p w:rsidR="00FA00A0" w:rsidRPr="00D63A3D" w:rsidRDefault="00FA00A0" w:rsidP="00250E5F">
            <w:pPr>
              <w:widowControl/>
              <w:tabs>
                <w:tab w:val="left" w:pos="0"/>
                <w:tab w:val="left" w:pos="993"/>
              </w:tabs>
              <w:autoSpaceDE w:val="0"/>
              <w:autoSpaceDN w:val="0"/>
              <w:adjustRightInd w:val="0"/>
              <w:ind w:left="-43"/>
              <w:contextualSpacing/>
              <w:jc w:val="center"/>
              <w:rPr>
                <w:sz w:val="24"/>
                <w:szCs w:val="24"/>
                <w:lang w:val="ru-RU"/>
              </w:rPr>
            </w:pPr>
            <w:r w:rsidRPr="00D63A3D">
              <w:rPr>
                <w:sz w:val="24"/>
                <w:szCs w:val="24"/>
                <w:lang w:val="ru-RU"/>
              </w:rPr>
              <w:t>2021</w:t>
            </w:r>
          </w:p>
        </w:tc>
        <w:tc>
          <w:tcPr>
            <w:tcW w:w="3679" w:type="dxa"/>
            <w:noWrap/>
            <w:hideMark/>
          </w:tcPr>
          <w:p w:rsidR="00FA00A0" w:rsidRPr="00FA00A0" w:rsidRDefault="00FA00A0" w:rsidP="00FA00A0">
            <w:pPr>
              <w:jc w:val="center"/>
              <w:rPr>
                <w:sz w:val="24"/>
                <w:szCs w:val="24"/>
              </w:rPr>
            </w:pPr>
            <w:r w:rsidRPr="00FA00A0">
              <w:rPr>
                <w:sz w:val="24"/>
                <w:szCs w:val="24"/>
              </w:rPr>
              <w:t>14</w:t>
            </w:r>
            <w:r w:rsidR="00C62F05">
              <w:rPr>
                <w:sz w:val="24"/>
                <w:szCs w:val="24"/>
                <w:lang w:val="ru-RU"/>
              </w:rPr>
              <w:t xml:space="preserve"> </w:t>
            </w:r>
            <w:r w:rsidRPr="00FA00A0">
              <w:rPr>
                <w:sz w:val="24"/>
                <w:szCs w:val="24"/>
              </w:rPr>
              <w:t>554,07</w:t>
            </w:r>
          </w:p>
        </w:tc>
      </w:tr>
      <w:tr w:rsidR="00FA00A0" w:rsidRPr="00D63A3D" w:rsidTr="00CB396C">
        <w:trPr>
          <w:trHeight w:val="300"/>
        </w:trPr>
        <w:tc>
          <w:tcPr>
            <w:tcW w:w="966" w:type="dxa"/>
            <w:vMerge/>
            <w:hideMark/>
          </w:tcPr>
          <w:p w:rsidR="00FA00A0" w:rsidRPr="00D63A3D" w:rsidRDefault="00FA00A0" w:rsidP="00250E5F">
            <w:pPr>
              <w:widowControl/>
              <w:tabs>
                <w:tab w:val="left" w:pos="0"/>
                <w:tab w:val="left" w:pos="993"/>
              </w:tabs>
              <w:autoSpaceDE w:val="0"/>
              <w:autoSpaceDN w:val="0"/>
              <w:adjustRightInd w:val="0"/>
              <w:ind w:left="540"/>
              <w:contextualSpacing/>
              <w:jc w:val="both"/>
              <w:rPr>
                <w:sz w:val="24"/>
                <w:szCs w:val="24"/>
                <w:lang w:val="ru-RU"/>
              </w:rPr>
            </w:pPr>
          </w:p>
        </w:tc>
        <w:tc>
          <w:tcPr>
            <w:tcW w:w="3962" w:type="dxa"/>
            <w:vMerge/>
            <w:hideMark/>
          </w:tcPr>
          <w:p w:rsidR="00FA00A0" w:rsidRPr="00D63A3D" w:rsidRDefault="00FA00A0" w:rsidP="00250E5F">
            <w:pPr>
              <w:widowControl/>
              <w:tabs>
                <w:tab w:val="left" w:pos="0"/>
                <w:tab w:val="left" w:pos="993"/>
              </w:tabs>
              <w:autoSpaceDE w:val="0"/>
              <w:autoSpaceDN w:val="0"/>
              <w:adjustRightInd w:val="0"/>
              <w:ind w:left="540"/>
              <w:contextualSpacing/>
              <w:jc w:val="both"/>
              <w:rPr>
                <w:sz w:val="24"/>
                <w:szCs w:val="24"/>
                <w:lang w:val="ru-RU"/>
              </w:rPr>
            </w:pPr>
          </w:p>
        </w:tc>
        <w:tc>
          <w:tcPr>
            <w:tcW w:w="1309" w:type="dxa"/>
            <w:noWrap/>
            <w:hideMark/>
          </w:tcPr>
          <w:p w:rsidR="00FA00A0" w:rsidRPr="00D63A3D" w:rsidRDefault="00FA00A0" w:rsidP="00250E5F">
            <w:pPr>
              <w:widowControl/>
              <w:tabs>
                <w:tab w:val="left" w:pos="0"/>
                <w:tab w:val="left" w:pos="993"/>
              </w:tabs>
              <w:autoSpaceDE w:val="0"/>
              <w:autoSpaceDN w:val="0"/>
              <w:adjustRightInd w:val="0"/>
              <w:ind w:left="-43"/>
              <w:contextualSpacing/>
              <w:jc w:val="center"/>
              <w:rPr>
                <w:sz w:val="24"/>
                <w:szCs w:val="24"/>
                <w:lang w:val="ru-RU"/>
              </w:rPr>
            </w:pPr>
            <w:r w:rsidRPr="00D63A3D">
              <w:rPr>
                <w:sz w:val="24"/>
                <w:szCs w:val="24"/>
                <w:lang w:val="ru-RU"/>
              </w:rPr>
              <w:t>2022</w:t>
            </w:r>
          </w:p>
        </w:tc>
        <w:tc>
          <w:tcPr>
            <w:tcW w:w="3679" w:type="dxa"/>
            <w:hideMark/>
          </w:tcPr>
          <w:p w:rsidR="00FA00A0" w:rsidRPr="00FA00A0" w:rsidRDefault="00FA00A0" w:rsidP="00FA00A0">
            <w:pPr>
              <w:jc w:val="center"/>
              <w:rPr>
                <w:sz w:val="24"/>
                <w:szCs w:val="24"/>
              </w:rPr>
            </w:pPr>
            <w:r>
              <w:rPr>
                <w:sz w:val="24"/>
                <w:szCs w:val="24"/>
              </w:rPr>
              <w:t>11</w:t>
            </w:r>
            <w:r w:rsidR="00C62F05">
              <w:rPr>
                <w:sz w:val="24"/>
                <w:szCs w:val="24"/>
                <w:lang w:val="ru-RU"/>
              </w:rPr>
              <w:t xml:space="preserve"> </w:t>
            </w:r>
            <w:r w:rsidRPr="00FA00A0">
              <w:rPr>
                <w:sz w:val="24"/>
                <w:szCs w:val="24"/>
              </w:rPr>
              <w:t>491,51</w:t>
            </w:r>
          </w:p>
        </w:tc>
      </w:tr>
    </w:tbl>
    <w:p w:rsidR="00250E5F" w:rsidRPr="00D63A3D" w:rsidRDefault="00250E5F" w:rsidP="00250E5F">
      <w:pPr>
        <w:tabs>
          <w:tab w:val="left" w:pos="4020"/>
        </w:tabs>
        <w:ind w:firstLine="540"/>
        <w:jc w:val="both"/>
        <w:rPr>
          <w:sz w:val="24"/>
          <w:szCs w:val="24"/>
          <w:highlight w:val="yellow"/>
        </w:rPr>
      </w:pPr>
    </w:p>
    <w:p w:rsidR="004A3C0A" w:rsidRPr="00D63A3D" w:rsidRDefault="004A3C0A" w:rsidP="004A3C0A">
      <w:pPr>
        <w:tabs>
          <w:tab w:val="left" w:pos="4020"/>
        </w:tabs>
        <w:ind w:firstLine="540"/>
        <w:jc w:val="both"/>
        <w:rPr>
          <w:sz w:val="24"/>
          <w:szCs w:val="24"/>
        </w:rPr>
      </w:pPr>
      <w:r w:rsidRPr="00D63A3D">
        <w:rPr>
          <w:sz w:val="24"/>
          <w:szCs w:val="24"/>
        </w:rPr>
        <w:t>2.</w:t>
      </w:r>
      <w:r w:rsidR="00102ED2" w:rsidRPr="00D63A3D">
        <w:rPr>
          <w:sz w:val="24"/>
          <w:szCs w:val="24"/>
        </w:rPr>
        <w:t xml:space="preserve"> </w:t>
      </w:r>
      <w:r w:rsidRPr="00D63A3D">
        <w:rPr>
          <w:sz w:val="24"/>
          <w:szCs w:val="24"/>
        </w:rPr>
        <w:t>Постановление вступает в силу со дня его официального опубликования.</w:t>
      </w:r>
    </w:p>
    <w:p w:rsidR="004A3C0A" w:rsidRPr="00D63A3D" w:rsidRDefault="004A3C0A" w:rsidP="004A3C0A">
      <w:pPr>
        <w:tabs>
          <w:tab w:val="left" w:pos="4020"/>
        </w:tabs>
        <w:ind w:firstLine="540"/>
        <w:jc w:val="both"/>
        <w:rPr>
          <w:sz w:val="24"/>
          <w:szCs w:val="24"/>
          <w:highlight w:val="yellow"/>
        </w:rPr>
      </w:pPr>
    </w:p>
    <w:p w:rsidR="00790FF1" w:rsidRPr="00D63A3D" w:rsidRDefault="00790FF1" w:rsidP="00790FF1">
      <w:pPr>
        <w:tabs>
          <w:tab w:val="left" w:pos="4020"/>
        </w:tabs>
        <w:ind w:firstLine="540"/>
        <w:rPr>
          <w:sz w:val="24"/>
          <w:szCs w:val="24"/>
        </w:rPr>
      </w:pPr>
      <w:r w:rsidRPr="00D63A3D">
        <w:rPr>
          <w:sz w:val="24"/>
          <w:szCs w:val="24"/>
        </w:rPr>
        <w:t>Результаты голосования:</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33"/>
        <w:gridCol w:w="2977"/>
      </w:tblGrid>
      <w:tr w:rsidR="00A94DEB" w:rsidRPr="00D63A3D" w:rsidTr="00E95F9F">
        <w:tc>
          <w:tcPr>
            <w:tcW w:w="959" w:type="dxa"/>
            <w:tcBorders>
              <w:top w:val="single" w:sz="4" w:space="0" w:color="auto"/>
              <w:left w:val="single" w:sz="4" w:space="0" w:color="auto"/>
              <w:bottom w:val="single" w:sz="4" w:space="0" w:color="auto"/>
              <w:right w:val="single" w:sz="4" w:space="0" w:color="auto"/>
            </w:tcBorders>
          </w:tcPr>
          <w:p w:rsidR="00790FF1" w:rsidRPr="00D63A3D" w:rsidRDefault="00790FF1" w:rsidP="00E95F9F">
            <w:pPr>
              <w:tabs>
                <w:tab w:val="left" w:pos="4020"/>
              </w:tabs>
              <w:rPr>
                <w:sz w:val="24"/>
                <w:szCs w:val="24"/>
              </w:rPr>
            </w:pPr>
            <w:r w:rsidRPr="00D63A3D">
              <w:rPr>
                <w:sz w:val="24"/>
                <w:szCs w:val="24"/>
              </w:rPr>
              <w:t xml:space="preserve">№ </w:t>
            </w:r>
            <w:proofErr w:type="gramStart"/>
            <w:r w:rsidRPr="00D63A3D">
              <w:rPr>
                <w:sz w:val="24"/>
                <w:szCs w:val="24"/>
              </w:rPr>
              <w:t>п</w:t>
            </w:r>
            <w:proofErr w:type="gramEnd"/>
            <w:r w:rsidRPr="00D63A3D">
              <w:rPr>
                <w:sz w:val="24"/>
                <w:szCs w:val="24"/>
              </w:rPr>
              <w:t>/п</w:t>
            </w:r>
          </w:p>
        </w:tc>
        <w:tc>
          <w:tcPr>
            <w:tcW w:w="2533" w:type="dxa"/>
            <w:tcBorders>
              <w:top w:val="single" w:sz="4" w:space="0" w:color="auto"/>
              <w:left w:val="single" w:sz="4" w:space="0" w:color="auto"/>
              <w:bottom w:val="single" w:sz="4" w:space="0" w:color="auto"/>
              <w:right w:val="single" w:sz="4" w:space="0" w:color="auto"/>
            </w:tcBorders>
          </w:tcPr>
          <w:p w:rsidR="00790FF1" w:rsidRPr="00D63A3D" w:rsidRDefault="00790FF1" w:rsidP="00E95F9F">
            <w:pPr>
              <w:tabs>
                <w:tab w:val="left" w:pos="4020"/>
              </w:tabs>
              <w:rPr>
                <w:sz w:val="24"/>
                <w:szCs w:val="24"/>
              </w:rPr>
            </w:pPr>
            <w:r w:rsidRPr="00D63A3D">
              <w:rPr>
                <w:sz w:val="24"/>
                <w:szCs w:val="24"/>
              </w:rPr>
              <w:t>Члены правления</w:t>
            </w:r>
          </w:p>
        </w:tc>
        <w:tc>
          <w:tcPr>
            <w:tcW w:w="2977" w:type="dxa"/>
            <w:tcBorders>
              <w:top w:val="single" w:sz="4" w:space="0" w:color="auto"/>
              <w:left w:val="single" w:sz="4" w:space="0" w:color="auto"/>
              <w:bottom w:val="single" w:sz="4" w:space="0" w:color="auto"/>
              <w:right w:val="single" w:sz="4" w:space="0" w:color="auto"/>
            </w:tcBorders>
          </w:tcPr>
          <w:p w:rsidR="00790FF1" w:rsidRPr="00D63A3D" w:rsidRDefault="00790FF1" w:rsidP="00E95F9F">
            <w:pPr>
              <w:tabs>
                <w:tab w:val="left" w:pos="4020"/>
              </w:tabs>
              <w:rPr>
                <w:sz w:val="24"/>
                <w:szCs w:val="24"/>
              </w:rPr>
            </w:pPr>
            <w:r w:rsidRPr="00D63A3D">
              <w:rPr>
                <w:sz w:val="24"/>
                <w:szCs w:val="24"/>
              </w:rPr>
              <w:t>Результаты голосования</w:t>
            </w:r>
          </w:p>
        </w:tc>
      </w:tr>
      <w:tr w:rsidR="00A94DEB" w:rsidRPr="00D63A3D" w:rsidTr="00E95F9F">
        <w:tc>
          <w:tcPr>
            <w:tcW w:w="959" w:type="dxa"/>
            <w:tcBorders>
              <w:top w:val="single" w:sz="4" w:space="0" w:color="auto"/>
              <w:left w:val="single" w:sz="4" w:space="0" w:color="auto"/>
              <w:bottom w:val="single" w:sz="4" w:space="0" w:color="auto"/>
              <w:right w:val="single" w:sz="4" w:space="0" w:color="auto"/>
            </w:tcBorders>
          </w:tcPr>
          <w:p w:rsidR="00790FF1" w:rsidRPr="00D63A3D" w:rsidRDefault="00790FF1" w:rsidP="00E95F9F">
            <w:pPr>
              <w:tabs>
                <w:tab w:val="left" w:pos="4020"/>
              </w:tabs>
              <w:ind w:firstLine="540"/>
              <w:rPr>
                <w:sz w:val="24"/>
                <w:szCs w:val="24"/>
              </w:rPr>
            </w:pPr>
            <w:r w:rsidRPr="00D63A3D">
              <w:rPr>
                <w:sz w:val="24"/>
                <w:szCs w:val="24"/>
              </w:rPr>
              <w:t>1.</w:t>
            </w:r>
          </w:p>
        </w:tc>
        <w:tc>
          <w:tcPr>
            <w:tcW w:w="2533" w:type="dxa"/>
            <w:tcBorders>
              <w:top w:val="single" w:sz="4" w:space="0" w:color="auto"/>
              <w:left w:val="single" w:sz="4" w:space="0" w:color="auto"/>
              <w:bottom w:val="single" w:sz="4" w:space="0" w:color="auto"/>
              <w:right w:val="single" w:sz="4" w:space="0" w:color="auto"/>
            </w:tcBorders>
          </w:tcPr>
          <w:p w:rsidR="00790FF1" w:rsidRPr="00D63A3D" w:rsidRDefault="00790FF1" w:rsidP="00E95F9F">
            <w:pPr>
              <w:tabs>
                <w:tab w:val="left" w:pos="4020"/>
              </w:tabs>
              <w:ind w:firstLine="15"/>
              <w:rPr>
                <w:sz w:val="24"/>
                <w:szCs w:val="24"/>
              </w:rPr>
            </w:pPr>
            <w:r w:rsidRPr="00D63A3D">
              <w:rPr>
                <w:sz w:val="24"/>
                <w:szCs w:val="24"/>
              </w:rPr>
              <w:t>Морева Е.Н.</w:t>
            </w:r>
          </w:p>
        </w:tc>
        <w:tc>
          <w:tcPr>
            <w:tcW w:w="2977" w:type="dxa"/>
            <w:tcBorders>
              <w:top w:val="single" w:sz="4" w:space="0" w:color="auto"/>
              <w:left w:val="single" w:sz="4" w:space="0" w:color="auto"/>
              <w:bottom w:val="single" w:sz="4" w:space="0" w:color="auto"/>
              <w:right w:val="single" w:sz="4" w:space="0" w:color="auto"/>
            </w:tcBorders>
          </w:tcPr>
          <w:p w:rsidR="00790FF1" w:rsidRPr="00D63A3D" w:rsidRDefault="00790FF1" w:rsidP="00A525DD">
            <w:pPr>
              <w:tabs>
                <w:tab w:val="left" w:pos="4020"/>
              </w:tabs>
              <w:ind w:firstLine="33"/>
              <w:jc w:val="center"/>
              <w:rPr>
                <w:sz w:val="24"/>
                <w:szCs w:val="24"/>
              </w:rPr>
            </w:pPr>
            <w:r w:rsidRPr="00D63A3D">
              <w:rPr>
                <w:sz w:val="24"/>
                <w:szCs w:val="24"/>
              </w:rPr>
              <w:t>за</w:t>
            </w:r>
          </w:p>
        </w:tc>
      </w:tr>
      <w:tr w:rsidR="00A94DEB" w:rsidRPr="00D63A3D" w:rsidTr="00E95F9F">
        <w:tc>
          <w:tcPr>
            <w:tcW w:w="959" w:type="dxa"/>
            <w:tcBorders>
              <w:top w:val="single" w:sz="4" w:space="0" w:color="auto"/>
              <w:left w:val="single" w:sz="4" w:space="0" w:color="auto"/>
              <w:bottom w:val="single" w:sz="4" w:space="0" w:color="auto"/>
              <w:right w:val="single" w:sz="4" w:space="0" w:color="auto"/>
            </w:tcBorders>
          </w:tcPr>
          <w:p w:rsidR="00790FF1" w:rsidRPr="00D63A3D" w:rsidRDefault="00790FF1" w:rsidP="00E95F9F">
            <w:pPr>
              <w:tabs>
                <w:tab w:val="left" w:pos="4020"/>
              </w:tabs>
              <w:ind w:firstLine="540"/>
              <w:rPr>
                <w:sz w:val="24"/>
                <w:szCs w:val="24"/>
              </w:rPr>
            </w:pPr>
            <w:r w:rsidRPr="00D63A3D">
              <w:rPr>
                <w:sz w:val="24"/>
                <w:szCs w:val="24"/>
              </w:rPr>
              <w:t>2.</w:t>
            </w:r>
          </w:p>
        </w:tc>
        <w:tc>
          <w:tcPr>
            <w:tcW w:w="2533" w:type="dxa"/>
            <w:tcBorders>
              <w:top w:val="single" w:sz="4" w:space="0" w:color="auto"/>
              <w:left w:val="single" w:sz="4" w:space="0" w:color="auto"/>
              <w:bottom w:val="single" w:sz="4" w:space="0" w:color="auto"/>
              <w:right w:val="single" w:sz="4" w:space="0" w:color="auto"/>
            </w:tcBorders>
          </w:tcPr>
          <w:p w:rsidR="00790FF1" w:rsidRPr="00D63A3D" w:rsidRDefault="00790FF1" w:rsidP="00E95F9F">
            <w:pPr>
              <w:tabs>
                <w:tab w:val="left" w:pos="4020"/>
              </w:tabs>
              <w:ind w:firstLine="15"/>
              <w:rPr>
                <w:sz w:val="24"/>
                <w:szCs w:val="24"/>
              </w:rPr>
            </w:pPr>
            <w:r w:rsidRPr="00D63A3D">
              <w:rPr>
                <w:sz w:val="24"/>
                <w:szCs w:val="24"/>
              </w:rPr>
              <w:t>Бугаева С.Е.</w:t>
            </w:r>
          </w:p>
        </w:tc>
        <w:tc>
          <w:tcPr>
            <w:tcW w:w="2977" w:type="dxa"/>
            <w:tcBorders>
              <w:top w:val="single" w:sz="4" w:space="0" w:color="auto"/>
              <w:left w:val="single" w:sz="4" w:space="0" w:color="auto"/>
              <w:bottom w:val="single" w:sz="4" w:space="0" w:color="auto"/>
              <w:right w:val="single" w:sz="4" w:space="0" w:color="auto"/>
            </w:tcBorders>
          </w:tcPr>
          <w:p w:rsidR="00790FF1" w:rsidRPr="00D63A3D" w:rsidRDefault="00790FF1" w:rsidP="00A525DD">
            <w:pPr>
              <w:tabs>
                <w:tab w:val="left" w:pos="4020"/>
              </w:tabs>
              <w:ind w:firstLine="33"/>
              <w:jc w:val="center"/>
              <w:rPr>
                <w:sz w:val="24"/>
                <w:szCs w:val="24"/>
              </w:rPr>
            </w:pPr>
            <w:r w:rsidRPr="00D63A3D">
              <w:rPr>
                <w:sz w:val="24"/>
                <w:szCs w:val="24"/>
              </w:rPr>
              <w:t>за</w:t>
            </w:r>
          </w:p>
        </w:tc>
      </w:tr>
      <w:tr w:rsidR="00A94DEB" w:rsidRPr="00D63A3D" w:rsidTr="00E95F9F">
        <w:tc>
          <w:tcPr>
            <w:tcW w:w="959" w:type="dxa"/>
            <w:tcBorders>
              <w:top w:val="single" w:sz="4" w:space="0" w:color="auto"/>
              <w:left w:val="single" w:sz="4" w:space="0" w:color="auto"/>
              <w:bottom w:val="single" w:sz="4" w:space="0" w:color="auto"/>
              <w:right w:val="single" w:sz="4" w:space="0" w:color="auto"/>
            </w:tcBorders>
          </w:tcPr>
          <w:p w:rsidR="00790FF1" w:rsidRPr="00D63A3D" w:rsidRDefault="00790FF1" w:rsidP="00E95F9F">
            <w:pPr>
              <w:tabs>
                <w:tab w:val="left" w:pos="4020"/>
              </w:tabs>
              <w:ind w:firstLine="540"/>
              <w:rPr>
                <w:sz w:val="24"/>
                <w:szCs w:val="24"/>
              </w:rPr>
            </w:pPr>
            <w:r w:rsidRPr="00D63A3D">
              <w:rPr>
                <w:sz w:val="24"/>
                <w:szCs w:val="24"/>
              </w:rPr>
              <w:t>3.</w:t>
            </w:r>
          </w:p>
        </w:tc>
        <w:tc>
          <w:tcPr>
            <w:tcW w:w="2533" w:type="dxa"/>
            <w:tcBorders>
              <w:top w:val="single" w:sz="4" w:space="0" w:color="auto"/>
              <w:left w:val="single" w:sz="4" w:space="0" w:color="auto"/>
              <w:bottom w:val="single" w:sz="4" w:space="0" w:color="auto"/>
              <w:right w:val="single" w:sz="4" w:space="0" w:color="auto"/>
            </w:tcBorders>
          </w:tcPr>
          <w:p w:rsidR="00790FF1" w:rsidRPr="00D63A3D" w:rsidRDefault="00790FF1" w:rsidP="00E95F9F">
            <w:pPr>
              <w:tabs>
                <w:tab w:val="left" w:pos="4020"/>
              </w:tabs>
              <w:ind w:firstLine="15"/>
              <w:rPr>
                <w:sz w:val="24"/>
                <w:szCs w:val="24"/>
              </w:rPr>
            </w:pPr>
            <w:r w:rsidRPr="00D63A3D">
              <w:rPr>
                <w:sz w:val="24"/>
                <w:szCs w:val="24"/>
              </w:rPr>
              <w:t>Турбачкина Е.В.</w:t>
            </w:r>
          </w:p>
        </w:tc>
        <w:tc>
          <w:tcPr>
            <w:tcW w:w="2977" w:type="dxa"/>
            <w:tcBorders>
              <w:top w:val="single" w:sz="4" w:space="0" w:color="auto"/>
              <w:left w:val="single" w:sz="4" w:space="0" w:color="auto"/>
              <w:bottom w:val="single" w:sz="4" w:space="0" w:color="auto"/>
              <w:right w:val="single" w:sz="4" w:space="0" w:color="auto"/>
            </w:tcBorders>
          </w:tcPr>
          <w:p w:rsidR="00790FF1" w:rsidRPr="00D63A3D" w:rsidRDefault="00790FF1" w:rsidP="00A525DD">
            <w:pPr>
              <w:tabs>
                <w:tab w:val="left" w:pos="4020"/>
              </w:tabs>
              <w:ind w:firstLine="33"/>
              <w:jc w:val="center"/>
              <w:rPr>
                <w:sz w:val="24"/>
                <w:szCs w:val="24"/>
              </w:rPr>
            </w:pPr>
            <w:r w:rsidRPr="00D63A3D">
              <w:rPr>
                <w:sz w:val="24"/>
                <w:szCs w:val="24"/>
              </w:rPr>
              <w:t>за</w:t>
            </w:r>
          </w:p>
        </w:tc>
      </w:tr>
      <w:tr w:rsidR="00A94DEB" w:rsidRPr="00D63A3D" w:rsidTr="00E95F9F">
        <w:tc>
          <w:tcPr>
            <w:tcW w:w="959" w:type="dxa"/>
            <w:tcBorders>
              <w:top w:val="single" w:sz="4" w:space="0" w:color="auto"/>
              <w:left w:val="single" w:sz="4" w:space="0" w:color="auto"/>
              <w:bottom w:val="single" w:sz="4" w:space="0" w:color="auto"/>
              <w:right w:val="single" w:sz="4" w:space="0" w:color="auto"/>
            </w:tcBorders>
          </w:tcPr>
          <w:p w:rsidR="00790FF1" w:rsidRPr="00D63A3D" w:rsidRDefault="00790FF1" w:rsidP="00E95F9F">
            <w:pPr>
              <w:tabs>
                <w:tab w:val="left" w:pos="4020"/>
              </w:tabs>
              <w:ind w:firstLine="540"/>
              <w:rPr>
                <w:sz w:val="24"/>
                <w:szCs w:val="24"/>
              </w:rPr>
            </w:pPr>
            <w:r w:rsidRPr="00D63A3D">
              <w:rPr>
                <w:sz w:val="24"/>
                <w:szCs w:val="24"/>
              </w:rPr>
              <w:t>4.</w:t>
            </w:r>
          </w:p>
        </w:tc>
        <w:tc>
          <w:tcPr>
            <w:tcW w:w="2533" w:type="dxa"/>
            <w:tcBorders>
              <w:top w:val="single" w:sz="4" w:space="0" w:color="auto"/>
              <w:left w:val="single" w:sz="4" w:space="0" w:color="auto"/>
              <w:bottom w:val="single" w:sz="4" w:space="0" w:color="auto"/>
              <w:right w:val="single" w:sz="4" w:space="0" w:color="auto"/>
            </w:tcBorders>
          </w:tcPr>
          <w:p w:rsidR="00790FF1" w:rsidRPr="00D63A3D" w:rsidRDefault="00790FF1" w:rsidP="00E95F9F">
            <w:pPr>
              <w:tabs>
                <w:tab w:val="left" w:pos="4020"/>
              </w:tabs>
              <w:ind w:firstLine="15"/>
              <w:rPr>
                <w:sz w:val="24"/>
                <w:szCs w:val="24"/>
              </w:rPr>
            </w:pPr>
            <w:r w:rsidRPr="00D63A3D">
              <w:rPr>
                <w:sz w:val="24"/>
                <w:szCs w:val="24"/>
              </w:rPr>
              <w:t>Коннова Е.А.</w:t>
            </w:r>
          </w:p>
        </w:tc>
        <w:tc>
          <w:tcPr>
            <w:tcW w:w="2977" w:type="dxa"/>
            <w:tcBorders>
              <w:top w:val="single" w:sz="4" w:space="0" w:color="auto"/>
              <w:left w:val="single" w:sz="4" w:space="0" w:color="auto"/>
              <w:bottom w:val="single" w:sz="4" w:space="0" w:color="auto"/>
              <w:right w:val="single" w:sz="4" w:space="0" w:color="auto"/>
            </w:tcBorders>
          </w:tcPr>
          <w:p w:rsidR="00790FF1" w:rsidRPr="00D63A3D" w:rsidRDefault="00790FF1" w:rsidP="00A525DD">
            <w:pPr>
              <w:tabs>
                <w:tab w:val="left" w:pos="4020"/>
              </w:tabs>
              <w:ind w:firstLine="33"/>
              <w:jc w:val="center"/>
              <w:rPr>
                <w:sz w:val="24"/>
                <w:szCs w:val="24"/>
              </w:rPr>
            </w:pPr>
            <w:r w:rsidRPr="00D63A3D">
              <w:rPr>
                <w:sz w:val="24"/>
                <w:szCs w:val="24"/>
              </w:rPr>
              <w:t>за</w:t>
            </w:r>
          </w:p>
        </w:tc>
      </w:tr>
      <w:tr w:rsidR="00A94DEB" w:rsidRPr="00D63A3D" w:rsidTr="00E95F9F">
        <w:tc>
          <w:tcPr>
            <w:tcW w:w="959" w:type="dxa"/>
            <w:tcBorders>
              <w:top w:val="single" w:sz="4" w:space="0" w:color="auto"/>
              <w:left w:val="single" w:sz="4" w:space="0" w:color="auto"/>
              <w:bottom w:val="single" w:sz="4" w:space="0" w:color="auto"/>
              <w:right w:val="single" w:sz="4" w:space="0" w:color="auto"/>
            </w:tcBorders>
          </w:tcPr>
          <w:p w:rsidR="00790FF1" w:rsidRPr="00D63A3D" w:rsidRDefault="00790FF1" w:rsidP="00E95F9F">
            <w:pPr>
              <w:tabs>
                <w:tab w:val="left" w:pos="4020"/>
              </w:tabs>
              <w:ind w:firstLine="540"/>
              <w:rPr>
                <w:sz w:val="24"/>
                <w:szCs w:val="24"/>
              </w:rPr>
            </w:pPr>
            <w:r w:rsidRPr="00D63A3D">
              <w:rPr>
                <w:sz w:val="24"/>
                <w:szCs w:val="24"/>
              </w:rPr>
              <w:t>5.</w:t>
            </w:r>
          </w:p>
        </w:tc>
        <w:tc>
          <w:tcPr>
            <w:tcW w:w="2533" w:type="dxa"/>
            <w:tcBorders>
              <w:top w:val="single" w:sz="4" w:space="0" w:color="auto"/>
              <w:left w:val="single" w:sz="4" w:space="0" w:color="auto"/>
              <w:bottom w:val="single" w:sz="4" w:space="0" w:color="auto"/>
              <w:right w:val="single" w:sz="4" w:space="0" w:color="auto"/>
            </w:tcBorders>
          </w:tcPr>
          <w:p w:rsidR="00790FF1" w:rsidRPr="00D63A3D" w:rsidRDefault="00790FF1" w:rsidP="00E95F9F">
            <w:pPr>
              <w:tabs>
                <w:tab w:val="left" w:pos="4020"/>
              </w:tabs>
              <w:ind w:firstLine="15"/>
              <w:rPr>
                <w:sz w:val="24"/>
                <w:szCs w:val="24"/>
              </w:rPr>
            </w:pPr>
            <w:r w:rsidRPr="00D63A3D">
              <w:rPr>
                <w:sz w:val="24"/>
                <w:szCs w:val="24"/>
              </w:rPr>
              <w:t>Курчанинова О.А.</w:t>
            </w:r>
          </w:p>
        </w:tc>
        <w:tc>
          <w:tcPr>
            <w:tcW w:w="2977" w:type="dxa"/>
            <w:tcBorders>
              <w:top w:val="single" w:sz="4" w:space="0" w:color="auto"/>
              <w:left w:val="single" w:sz="4" w:space="0" w:color="auto"/>
              <w:bottom w:val="single" w:sz="4" w:space="0" w:color="auto"/>
              <w:right w:val="single" w:sz="4" w:space="0" w:color="auto"/>
            </w:tcBorders>
          </w:tcPr>
          <w:p w:rsidR="00790FF1" w:rsidRPr="00D63A3D" w:rsidRDefault="00790FF1" w:rsidP="00A525DD">
            <w:pPr>
              <w:tabs>
                <w:tab w:val="left" w:pos="4020"/>
              </w:tabs>
              <w:ind w:firstLine="33"/>
              <w:jc w:val="center"/>
              <w:rPr>
                <w:sz w:val="24"/>
                <w:szCs w:val="24"/>
              </w:rPr>
            </w:pPr>
            <w:r w:rsidRPr="00D63A3D">
              <w:rPr>
                <w:sz w:val="24"/>
                <w:szCs w:val="24"/>
              </w:rPr>
              <w:t>за</w:t>
            </w:r>
          </w:p>
        </w:tc>
      </w:tr>
      <w:tr w:rsidR="00A94DEB" w:rsidRPr="00D63A3D" w:rsidTr="00E95F9F">
        <w:tc>
          <w:tcPr>
            <w:tcW w:w="959" w:type="dxa"/>
            <w:tcBorders>
              <w:top w:val="single" w:sz="4" w:space="0" w:color="auto"/>
              <w:left w:val="single" w:sz="4" w:space="0" w:color="auto"/>
              <w:bottom w:val="single" w:sz="4" w:space="0" w:color="auto"/>
              <w:right w:val="single" w:sz="4" w:space="0" w:color="auto"/>
            </w:tcBorders>
          </w:tcPr>
          <w:p w:rsidR="00790FF1" w:rsidRPr="00D63A3D" w:rsidRDefault="002E7787" w:rsidP="00E95F9F">
            <w:pPr>
              <w:tabs>
                <w:tab w:val="left" w:pos="4020"/>
              </w:tabs>
              <w:ind w:firstLine="540"/>
              <w:rPr>
                <w:sz w:val="24"/>
                <w:szCs w:val="24"/>
              </w:rPr>
            </w:pPr>
            <w:r w:rsidRPr="00D63A3D">
              <w:rPr>
                <w:sz w:val="24"/>
                <w:szCs w:val="24"/>
              </w:rPr>
              <w:t>6</w:t>
            </w:r>
            <w:r w:rsidR="00790FF1" w:rsidRPr="00D63A3D">
              <w:rPr>
                <w:sz w:val="24"/>
                <w:szCs w:val="24"/>
              </w:rPr>
              <w:t>.</w:t>
            </w:r>
          </w:p>
        </w:tc>
        <w:tc>
          <w:tcPr>
            <w:tcW w:w="2533" w:type="dxa"/>
            <w:tcBorders>
              <w:top w:val="single" w:sz="4" w:space="0" w:color="auto"/>
              <w:left w:val="single" w:sz="4" w:space="0" w:color="auto"/>
              <w:bottom w:val="single" w:sz="4" w:space="0" w:color="auto"/>
              <w:right w:val="single" w:sz="4" w:space="0" w:color="auto"/>
            </w:tcBorders>
          </w:tcPr>
          <w:p w:rsidR="00790FF1" w:rsidRPr="00D63A3D" w:rsidRDefault="00790FF1" w:rsidP="00E95F9F">
            <w:pPr>
              <w:tabs>
                <w:tab w:val="left" w:pos="4020"/>
              </w:tabs>
              <w:ind w:firstLine="15"/>
              <w:rPr>
                <w:sz w:val="24"/>
                <w:szCs w:val="24"/>
              </w:rPr>
            </w:pPr>
            <w:r w:rsidRPr="00D63A3D">
              <w:rPr>
                <w:sz w:val="24"/>
                <w:szCs w:val="24"/>
              </w:rPr>
              <w:t>Гущина Н.Б.</w:t>
            </w:r>
          </w:p>
        </w:tc>
        <w:tc>
          <w:tcPr>
            <w:tcW w:w="2977" w:type="dxa"/>
            <w:tcBorders>
              <w:top w:val="single" w:sz="4" w:space="0" w:color="auto"/>
              <w:left w:val="single" w:sz="4" w:space="0" w:color="auto"/>
              <w:bottom w:val="single" w:sz="4" w:space="0" w:color="auto"/>
              <w:right w:val="single" w:sz="4" w:space="0" w:color="auto"/>
            </w:tcBorders>
          </w:tcPr>
          <w:p w:rsidR="00790FF1" w:rsidRPr="00D63A3D" w:rsidRDefault="008B6AA7" w:rsidP="00A525DD">
            <w:pPr>
              <w:tabs>
                <w:tab w:val="left" w:pos="4020"/>
              </w:tabs>
              <w:ind w:firstLine="33"/>
              <w:jc w:val="center"/>
              <w:rPr>
                <w:sz w:val="24"/>
                <w:szCs w:val="24"/>
              </w:rPr>
            </w:pPr>
            <w:r w:rsidRPr="00D63A3D">
              <w:rPr>
                <w:sz w:val="24"/>
                <w:szCs w:val="24"/>
              </w:rPr>
              <w:t>за</w:t>
            </w:r>
          </w:p>
        </w:tc>
      </w:tr>
      <w:tr w:rsidR="00A94DEB" w:rsidRPr="00D63A3D" w:rsidTr="00E95F9F">
        <w:tc>
          <w:tcPr>
            <w:tcW w:w="959" w:type="dxa"/>
            <w:tcBorders>
              <w:top w:val="single" w:sz="4" w:space="0" w:color="auto"/>
              <w:left w:val="single" w:sz="4" w:space="0" w:color="auto"/>
              <w:bottom w:val="single" w:sz="4" w:space="0" w:color="auto"/>
              <w:right w:val="single" w:sz="4" w:space="0" w:color="auto"/>
            </w:tcBorders>
          </w:tcPr>
          <w:p w:rsidR="00F93FAF" w:rsidRPr="00D63A3D" w:rsidRDefault="00F93FAF" w:rsidP="00E95F9F">
            <w:pPr>
              <w:tabs>
                <w:tab w:val="left" w:pos="4020"/>
              </w:tabs>
              <w:ind w:firstLine="540"/>
              <w:rPr>
                <w:sz w:val="24"/>
                <w:szCs w:val="24"/>
              </w:rPr>
            </w:pPr>
            <w:r w:rsidRPr="00D63A3D">
              <w:rPr>
                <w:sz w:val="24"/>
                <w:szCs w:val="24"/>
              </w:rPr>
              <w:t>7.</w:t>
            </w:r>
          </w:p>
        </w:tc>
        <w:tc>
          <w:tcPr>
            <w:tcW w:w="2533" w:type="dxa"/>
            <w:tcBorders>
              <w:top w:val="single" w:sz="4" w:space="0" w:color="auto"/>
              <w:left w:val="single" w:sz="4" w:space="0" w:color="auto"/>
              <w:bottom w:val="single" w:sz="4" w:space="0" w:color="auto"/>
              <w:right w:val="single" w:sz="4" w:space="0" w:color="auto"/>
            </w:tcBorders>
          </w:tcPr>
          <w:p w:rsidR="00F93FAF" w:rsidRPr="00D63A3D" w:rsidRDefault="00F93FAF" w:rsidP="00E95F9F">
            <w:pPr>
              <w:tabs>
                <w:tab w:val="left" w:pos="4020"/>
              </w:tabs>
              <w:ind w:firstLine="15"/>
              <w:rPr>
                <w:sz w:val="24"/>
                <w:szCs w:val="24"/>
              </w:rPr>
            </w:pPr>
            <w:r w:rsidRPr="00D63A3D">
              <w:rPr>
                <w:sz w:val="24"/>
                <w:szCs w:val="24"/>
              </w:rPr>
              <w:t>Агапова О.П.</w:t>
            </w:r>
          </w:p>
        </w:tc>
        <w:tc>
          <w:tcPr>
            <w:tcW w:w="2977" w:type="dxa"/>
            <w:tcBorders>
              <w:top w:val="single" w:sz="4" w:space="0" w:color="auto"/>
              <w:left w:val="single" w:sz="4" w:space="0" w:color="auto"/>
              <w:bottom w:val="single" w:sz="4" w:space="0" w:color="auto"/>
              <w:right w:val="single" w:sz="4" w:space="0" w:color="auto"/>
            </w:tcBorders>
          </w:tcPr>
          <w:p w:rsidR="00F93FAF" w:rsidRPr="00D63A3D" w:rsidRDefault="00F93FAF" w:rsidP="00A525DD">
            <w:pPr>
              <w:tabs>
                <w:tab w:val="left" w:pos="4020"/>
              </w:tabs>
              <w:ind w:firstLine="33"/>
              <w:jc w:val="center"/>
              <w:rPr>
                <w:sz w:val="24"/>
                <w:szCs w:val="24"/>
              </w:rPr>
            </w:pPr>
            <w:r w:rsidRPr="00D63A3D">
              <w:rPr>
                <w:sz w:val="24"/>
                <w:szCs w:val="24"/>
              </w:rPr>
              <w:t>за</w:t>
            </w:r>
          </w:p>
        </w:tc>
      </w:tr>
      <w:tr w:rsidR="00A94DEB" w:rsidRPr="00D63A3D" w:rsidTr="00E95F9F">
        <w:tc>
          <w:tcPr>
            <w:tcW w:w="959" w:type="dxa"/>
            <w:tcBorders>
              <w:top w:val="single" w:sz="4" w:space="0" w:color="auto"/>
              <w:left w:val="single" w:sz="4" w:space="0" w:color="auto"/>
              <w:bottom w:val="single" w:sz="4" w:space="0" w:color="auto"/>
              <w:right w:val="single" w:sz="4" w:space="0" w:color="auto"/>
            </w:tcBorders>
          </w:tcPr>
          <w:p w:rsidR="00790FF1" w:rsidRPr="00D63A3D" w:rsidRDefault="00F93FAF" w:rsidP="00E95F9F">
            <w:pPr>
              <w:tabs>
                <w:tab w:val="left" w:pos="4020"/>
              </w:tabs>
              <w:ind w:firstLine="540"/>
              <w:rPr>
                <w:sz w:val="24"/>
                <w:szCs w:val="24"/>
              </w:rPr>
            </w:pPr>
            <w:r w:rsidRPr="00D63A3D">
              <w:rPr>
                <w:sz w:val="24"/>
                <w:szCs w:val="24"/>
              </w:rPr>
              <w:t>8</w:t>
            </w:r>
            <w:r w:rsidR="00790FF1" w:rsidRPr="00D63A3D">
              <w:rPr>
                <w:sz w:val="24"/>
                <w:szCs w:val="24"/>
              </w:rPr>
              <w:t>.</w:t>
            </w:r>
          </w:p>
        </w:tc>
        <w:tc>
          <w:tcPr>
            <w:tcW w:w="2533" w:type="dxa"/>
            <w:tcBorders>
              <w:top w:val="single" w:sz="4" w:space="0" w:color="auto"/>
              <w:left w:val="single" w:sz="4" w:space="0" w:color="auto"/>
              <w:bottom w:val="single" w:sz="4" w:space="0" w:color="auto"/>
              <w:right w:val="single" w:sz="4" w:space="0" w:color="auto"/>
            </w:tcBorders>
          </w:tcPr>
          <w:p w:rsidR="00790FF1" w:rsidRPr="00D63A3D" w:rsidRDefault="00790FF1" w:rsidP="00E95F9F">
            <w:pPr>
              <w:tabs>
                <w:tab w:val="left" w:pos="4020"/>
              </w:tabs>
              <w:ind w:firstLine="15"/>
              <w:rPr>
                <w:sz w:val="24"/>
                <w:szCs w:val="24"/>
              </w:rPr>
            </w:pPr>
            <w:r w:rsidRPr="00D63A3D">
              <w:rPr>
                <w:sz w:val="24"/>
                <w:szCs w:val="24"/>
              </w:rPr>
              <w:t>Кулешов А.И.</w:t>
            </w:r>
          </w:p>
        </w:tc>
        <w:tc>
          <w:tcPr>
            <w:tcW w:w="2977" w:type="dxa"/>
            <w:tcBorders>
              <w:top w:val="single" w:sz="4" w:space="0" w:color="auto"/>
              <w:left w:val="single" w:sz="4" w:space="0" w:color="auto"/>
              <w:bottom w:val="single" w:sz="4" w:space="0" w:color="auto"/>
              <w:right w:val="single" w:sz="4" w:space="0" w:color="auto"/>
            </w:tcBorders>
          </w:tcPr>
          <w:p w:rsidR="00790FF1" w:rsidRPr="00D63A3D" w:rsidRDefault="00FA00A0" w:rsidP="00A525DD">
            <w:pPr>
              <w:tabs>
                <w:tab w:val="left" w:pos="4020"/>
              </w:tabs>
              <w:ind w:firstLine="33"/>
              <w:jc w:val="center"/>
              <w:rPr>
                <w:sz w:val="24"/>
                <w:szCs w:val="24"/>
              </w:rPr>
            </w:pPr>
            <w:r>
              <w:rPr>
                <w:sz w:val="24"/>
                <w:szCs w:val="24"/>
              </w:rPr>
              <w:t>против</w:t>
            </w:r>
          </w:p>
        </w:tc>
      </w:tr>
    </w:tbl>
    <w:p w:rsidR="00790FF1" w:rsidRPr="00D63A3D" w:rsidRDefault="00790FF1" w:rsidP="00790FF1">
      <w:pPr>
        <w:tabs>
          <w:tab w:val="left" w:pos="4020"/>
        </w:tabs>
        <w:ind w:firstLine="540"/>
        <w:rPr>
          <w:sz w:val="24"/>
          <w:szCs w:val="24"/>
        </w:rPr>
      </w:pPr>
      <w:r w:rsidRPr="00D63A3D">
        <w:rPr>
          <w:sz w:val="24"/>
          <w:szCs w:val="24"/>
        </w:rPr>
        <w:t xml:space="preserve">Итого: за – </w:t>
      </w:r>
      <w:r w:rsidR="00C62F05">
        <w:rPr>
          <w:sz w:val="24"/>
          <w:szCs w:val="24"/>
        </w:rPr>
        <w:t>7</w:t>
      </w:r>
      <w:r w:rsidRPr="00D63A3D">
        <w:rPr>
          <w:sz w:val="24"/>
          <w:szCs w:val="24"/>
        </w:rPr>
        <w:t xml:space="preserve">, против – </w:t>
      </w:r>
      <w:r w:rsidR="00C62F05">
        <w:rPr>
          <w:sz w:val="24"/>
          <w:szCs w:val="24"/>
        </w:rPr>
        <w:t>1</w:t>
      </w:r>
      <w:r w:rsidRPr="00D63A3D">
        <w:rPr>
          <w:sz w:val="24"/>
          <w:szCs w:val="24"/>
        </w:rPr>
        <w:t xml:space="preserve">, воздержался – 0, отсутствуют – </w:t>
      </w:r>
      <w:r w:rsidR="008B6AA7" w:rsidRPr="00D63A3D">
        <w:rPr>
          <w:sz w:val="24"/>
          <w:szCs w:val="24"/>
        </w:rPr>
        <w:t>0.</w:t>
      </w:r>
    </w:p>
    <w:p w:rsidR="00147B89" w:rsidRPr="00D63A3D" w:rsidRDefault="00147B89" w:rsidP="00B942FC">
      <w:pPr>
        <w:tabs>
          <w:tab w:val="left" w:pos="4020"/>
        </w:tabs>
        <w:ind w:firstLine="540"/>
        <w:rPr>
          <w:sz w:val="24"/>
          <w:szCs w:val="24"/>
          <w:highlight w:val="yellow"/>
        </w:rPr>
      </w:pPr>
    </w:p>
    <w:tbl>
      <w:tblPr>
        <w:tblW w:w="10915"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88"/>
        <w:gridCol w:w="1543"/>
        <w:gridCol w:w="2284"/>
      </w:tblGrid>
      <w:tr w:rsidR="00466942" w:rsidRPr="00D63A3D" w:rsidTr="00AD318E">
        <w:trPr>
          <w:trHeight w:val="343"/>
        </w:trPr>
        <w:tc>
          <w:tcPr>
            <w:tcW w:w="7088" w:type="dxa"/>
            <w:tcBorders>
              <w:top w:val="dotted" w:sz="4" w:space="0" w:color="auto"/>
              <w:left w:val="dotted" w:sz="4" w:space="0" w:color="auto"/>
              <w:bottom w:val="dotted" w:sz="4" w:space="0" w:color="auto"/>
              <w:right w:val="dotted" w:sz="4" w:space="0" w:color="auto"/>
            </w:tcBorders>
            <w:vAlign w:val="center"/>
            <w:hideMark/>
          </w:tcPr>
          <w:p w:rsidR="005B384C" w:rsidRPr="00D63A3D" w:rsidRDefault="00CB2DB7" w:rsidP="00FB144C">
            <w:pPr>
              <w:rPr>
                <w:sz w:val="24"/>
                <w:szCs w:val="24"/>
              </w:rPr>
            </w:pPr>
            <w:r w:rsidRPr="00D63A3D">
              <w:rPr>
                <w:sz w:val="24"/>
                <w:szCs w:val="24"/>
              </w:rPr>
              <w:t>О</w:t>
            </w:r>
            <w:r w:rsidR="005B384C" w:rsidRPr="00D63A3D">
              <w:rPr>
                <w:sz w:val="24"/>
                <w:szCs w:val="24"/>
              </w:rPr>
              <w:t>тветственный секретарь Правления</w:t>
            </w:r>
          </w:p>
        </w:tc>
        <w:tc>
          <w:tcPr>
            <w:tcW w:w="1543" w:type="dxa"/>
            <w:tcBorders>
              <w:top w:val="dotted" w:sz="4" w:space="0" w:color="auto"/>
              <w:left w:val="dotted" w:sz="4" w:space="0" w:color="auto"/>
              <w:bottom w:val="dotted" w:sz="4" w:space="0" w:color="auto"/>
              <w:right w:val="dotted" w:sz="4" w:space="0" w:color="auto"/>
            </w:tcBorders>
            <w:vAlign w:val="center"/>
          </w:tcPr>
          <w:p w:rsidR="005B384C" w:rsidRPr="00D63A3D" w:rsidRDefault="005B384C" w:rsidP="00FB144C">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hideMark/>
          </w:tcPr>
          <w:p w:rsidR="005B384C" w:rsidRPr="00D63A3D" w:rsidRDefault="00A73314" w:rsidP="00FB144C">
            <w:pPr>
              <w:tabs>
                <w:tab w:val="left" w:pos="4020"/>
              </w:tabs>
              <w:jc w:val="right"/>
              <w:rPr>
                <w:sz w:val="24"/>
                <w:szCs w:val="24"/>
              </w:rPr>
            </w:pPr>
            <w:r w:rsidRPr="00D63A3D">
              <w:rPr>
                <w:sz w:val="24"/>
                <w:szCs w:val="24"/>
              </w:rPr>
              <w:t>А.В. Соколова</w:t>
            </w:r>
          </w:p>
        </w:tc>
      </w:tr>
      <w:tr w:rsidR="00466942" w:rsidRPr="00D63A3D" w:rsidTr="00AD318E">
        <w:trPr>
          <w:trHeight w:val="264"/>
        </w:trPr>
        <w:tc>
          <w:tcPr>
            <w:tcW w:w="7088" w:type="dxa"/>
            <w:tcBorders>
              <w:top w:val="dotted" w:sz="4" w:space="0" w:color="auto"/>
              <w:left w:val="dotted" w:sz="4" w:space="0" w:color="auto"/>
              <w:bottom w:val="dotted" w:sz="4" w:space="0" w:color="auto"/>
              <w:right w:val="dotted" w:sz="4" w:space="0" w:color="auto"/>
            </w:tcBorders>
            <w:hideMark/>
          </w:tcPr>
          <w:p w:rsidR="005B384C" w:rsidRPr="00D63A3D" w:rsidRDefault="005B384C" w:rsidP="00FB144C">
            <w:pPr>
              <w:jc w:val="both"/>
              <w:rPr>
                <w:b/>
                <w:sz w:val="24"/>
                <w:szCs w:val="24"/>
              </w:rPr>
            </w:pPr>
            <w:r w:rsidRPr="00D63A3D">
              <w:rPr>
                <w:b/>
                <w:sz w:val="24"/>
                <w:szCs w:val="24"/>
              </w:rPr>
              <w:t>Члены Правления:</w:t>
            </w:r>
          </w:p>
        </w:tc>
        <w:tc>
          <w:tcPr>
            <w:tcW w:w="1543" w:type="dxa"/>
            <w:tcBorders>
              <w:top w:val="dotted" w:sz="4" w:space="0" w:color="auto"/>
              <w:left w:val="dotted" w:sz="4" w:space="0" w:color="auto"/>
              <w:bottom w:val="dotted" w:sz="4" w:space="0" w:color="auto"/>
              <w:right w:val="dotted" w:sz="4" w:space="0" w:color="auto"/>
            </w:tcBorders>
            <w:vAlign w:val="center"/>
          </w:tcPr>
          <w:p w:rsidR="005B384C" w:rsidRPr="00D63A3D" w:rsidRDefault="005B384C" w:rsidP="00FB144C">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tcPr>
          <w:p w:rsidR="005B384C" w:rsidRPr="00D63A3D" w:rsidRDefault="005B384C" w:rsidP="00FB144C">
            <w:pPr>
              <w:tabs>
                <w:tab w:val="left" w:pos="4020"/>
              </w:tabs>
              <w:jc w:val="right"/>
              <w:rPr>
                <w:sz w:val="24"/>
                <w:szCs w:val="24"/>
              </w:rPr>
            </w:pPr>
          </w:p>
        </w:tc>
      </w:tr>
      <w:tr w:rsidR="00466942" w:rsidRPr="00D63A3D" w:rsidTr="00AD318E">
        <w:tc>
          <w:tcPr>
            <w:tcW w:w="7088" w:type="dxa"/>
            <w:tcBorders>
              <w:top w:val="dotted" w:sz="4" w:space="0" w:color="auto"/>
              <w:left w:val="dotted" w:sz="4" w:space="0" w:color="auto"/>
              <w:bottom w:val="dotted" w:sz="4" w:space="0" w:color="auto"/>
              <w:right w:val="dotted" w:sz="4" w:space="0" w:color="auto"/>
            </w:tcBorders>
          </w:tcPr>
          <w:p w:rsidR="00100123" w:rsidRPr="00D63A3D" w:rsidRDefault="00100123" w:rsidP="00100123">
            <w:pPr>
              <w:rPr>
                <w:sz w:val="24"/>
                <w:szCs w:val="24"/>
              </w:rPr>
            </w:pPr>
            <w:r w:rsidRPr="00D63A3D">
              <w:rPr>
                <w:sz w:val="24"/>
                <w:szCs w:val="24"/>
              </w:rPr>
              <w:t>Первый заместитель начальника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D63A3D" w:rsidRDefault="00100123" w:rsidP="00100123">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D63A3D" w:rsidRDefault="00100123" w:rsidP="00100123">
            <w:pPr>
              <w:tabs>
                <w:tab w:val="left" w:pos="4020"/>
              </w:tabs>
              <w:jc w:val="right"/>
              <w:rPr>
                <w:sz w:val="24"/>
                <w:szCs w:val="24"/>
              </w:rPr>
            </w:pPr>
            <w:r w:rsidRPr="00D63A3D">
              <w:rPr>
                <w:sz w:val="24"/>
                <w:szCs w:val="24"/>
              </w:rPr>
              <w:t xml:space="preserve">С.Е. Бугаева </w:t>
            </w:r>
          </w:p>
        </w:tc>
      </w:tr>
      <w:tr w:rsidR="00466942" w:rsidRPr="00D63A3D" w:rsidTr="00AD318E">
        <w:tc>
          <w:tcPr>
            <w:tcW w:w="7088" w:type="dxa"/>
            <w:tcBorders>
              <w:top w:val="dotted" w:sz="4" w:space="0" w:color="auto"/>
              <w:left w:val="dotted" w:sz="4" w:space="0" w:color="auto"/>
              <w:bottom w:val="dotted" w:sz="4" w:space="0" w:color="auto"/>
              <w:right w:val="dotted" w:sz="4" w:space="0" w:color="auto"/>
            </w:tcBorders>
          </w:tcPr>
          <w:p w:rsidR="00100123" w:rsidRPr="00D63A3D" w:rsidRDefault="00100123" w:rsidP="00100123">
            <w:pPr>
              <w:rPr>
                <w:sz w:val="24"/>
                <w:szCs w:val="24"/>
              </w:rPr>
            </w:pPr>
            <w:r w:rsidRPr="00D63A3D">
              <w:rPr>
                <w:sz w:val="24"/>
                <w:szCs w:val="24"/>
              </w:rPr>
              <w:t>Заместитель начальника Департамента энергетики и тарифов Ивановской области - статс-секретарь</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D63A3D" w:rsidRDefault="00100123" w:rsidP="002977B0">
            <w:pPr>
              <w:tabs>
                <w:tab w:val="left" w:pos="4020"/>
              </w:tabs>
              <w:jc w:val="center"/>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D63A3D" w:rsidRDefault="00100123" w:rsidP="00100123">
            <w:pPr>
              <w:tabs>
                <w:tab w:val="left" w:pos="4020"/>
              </w:tabs>
              <w:jc w:val="right"/>
              <w:rPr>
                <w:sz w:val="24"/>
                <w:szCs w:val="24"/>
              </w:rPr>
            </w:pPr>
          </w:p>
          <w:p w:rsidR="00100123" w:rsidRPr="00D63A3D" w:rsidRDefault="00100123" w:rsidP="00100123">
            <w:pPr>
              <w:tabs>
                <w:tab w:val="left" w:pos="4020"/>
              </w:tabs>
              <w:jc w:val="right"/>
              <w:rPr>
                <w:sz w:val="24"/>
                <w:szCs w:val="24"/>
              </w:rPr>
            </w:pPr>
            <w:r w:rsidRPr="00D63A3D">
              <w:rPr>
                <w:sz w:val="24"/>
                <w:szCs w:val="24"/>
              </w:rPr>
              <w:t xml:space="preserve">Н.Б. Гущина </w:t>
            </w:r>
          </w:p>
        </w:tc>
      </w:tr>
      <w:tr w:rsidR="00466942" w:rsidRPr="00D63A3D" w:rsidTr="00AD318E">
        <w:tc>
          <w:tcPr>
            <w:tcW w:w="7088" w:type="dxa"/>
            <w:tcBorders>
              <w:top w:val="dotted" w:sz="4" w:space="0" w:color="auto"/>
              <w:left w:val="dotted" w:sz="4" w:space="0" w:color="auto"/>
              <w:bottom w:val="dotted" w:sz="4" w:space="0" w:color="auto"/>
              <w:right w:val="dotted" w:sz="4" w:space="0" w:color="auto"/>
            </w:tcBorders>
          </w:tcPr>
          <w:p w:rsidR="00100123" w:rsidRPr="00D63A3D" w:rsidRDefault="00100123" w:rsidP="00100123">
            <w:pPr>
              <w:rPr>
                <w:sz w:val="24"/>
                <w:szCs w:val="24"/>
              </w:rPr>
            </w:pPr>
            <w:r w:rsidRPr="00D63A3D">
              <w:rPr>
                <w:sz w:val="24"/>
                <w:szCs w:val="24"/>
              </w:rPr>
              <w:t>Начальник управления регулирования теплоэнергетики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D63A3D" w:rsidRDefault="00100123" w:rsidP="00100123">
            <w:pPr>
              <w:tabs>
                <w:tab w:val="left" w:pos="4020"/>
              </w:tabs>
              <w:rPr>
                <w:sz w:val="24"/>
                <w:szCs w:val="24"/>
              </w:rPr>
            </w:pPr>
          </w:p>
          <w:p w:rsidR="00100123" w:rsidRPr="00D63A3D" w:rsidRDefault="00100123" w:rsidP="00100123">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D63A3D" w:rsidRDefault="00100123" w:rsidP="00100123">
            <w:pPr>
              <w:tabs>
                <w:tab w:val="left" w:pos="4020"/>
              </w:tabs>
              <w:jc w:val="right"/>
              <w:rPr>
                <w:sz w:val="24"/>
                <w:szCs w:val="24"/>
              </w:rPr>
            </w:pPr>
          </w:p>
          <w:p w:rsidR="00100123" w:rsidRPr="00D63A3D" w:rsidRDefault="00A73314" w:rsidP="00100123">
            <w:pPr>
              <w:tabs>
                <w:tab w:val="left" w:pos="4020"/>
              </w:tabs>
              <w:jc w:val="right"/>
              <w:rPr>
                <w:sz w:val="24"/>
                <w:szCs w:val="24"/>
              </w:rPr>
            </w:pPr>
            <w:r w:rsidRPr="00D63A3D">
              <w:rPr>
                <w:sz w:val="24"/>
                <w:szCs w:val="24"/>
              </w:rPr>
              <w:t>Е.В. Турбачкина</w:t>
            </w:r>
          </w:p>
        </w:tc>
      </w:tr>
      <w:tr w:rsidR="00466942" w:rsidRPr="00D63A3D" w:rsidTr="00AD318E">
        <w:tc>
          <w:tcPr>
            <w:tcW w:w="7088" w:type="dxa"/>
            <w:tcBorders>
              <w:top w:val="dotted" w:sz="4" w:space="0" w:color="auto"/>
              <w:left w:val="dotted" w:sz="4" w:space="0" w:color="auto"/>
              <w:bottom w:val="dotted" w:sz="4" w:space="0" w:color="auto"/>
              <w:right w:val="dotted" w:sz="4" w:space="0" w:color="auto"/>
            </w:tcBorders>
          </w:tcPr>
          <w:p w:rsidR="00100123" w:rsidRPr="00D63A3D" w:rsidRDefault="00100123" w:rsidP="00100123">
            <w:pPr>
              <w:jc w:val="both"/>
              <w:rPr>
                <w:sz w:val="24"/>
                <w:szCs w:val="24"/>
              </w:rPr>
            </w:pPr>
            <w:r w:rsidRPr="00D63A3D">
              <w:rPr>
                <w:sz w:val="24"/>
                <w:szCs w:val="24"/>
              </w:rPr>
              <w:t>Начальник управления регулирования электроэнергетики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D63A3D" w:rsidRDefault="00100123" w:rsidP="00100123">
            <w:pPr>
              <w:tabs>
                <w:tab w:val="left" w:pos="4020"/>
              </w:tabs>
              <w:rPr>
                <w:b/>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D63A3D" w:rsidRDefault="00100123" w:rsidP="00100123">
            <w:pPr>
              <w:tabs>
                <w:tab w:val="left" w:pos="4020"/>
              </w:tabs>
              <w:jc w:val="right"/>
              <w:rPr>
                <w:sz w:val="24"/>
                <w:szCs w:val="24"/>
              </w:rPr>
            </w:pPr>
          </w:p>
          <w:p w:rsidR="00100123" w:rsidRPr="00D63A3D" w:rsidRDefault="00102CEC" w:rsidP="00102CEC">
            <w:pPr>
              <w:tabs>
                <w:tab w:val="left" w:pos="4020"/>
              </w:tabs>
              <w:jc w:val="right"/>
              <w:rPr>
                <w:sz w:val="24"/>
                <w:szCs w:val="24"/>
              </w:rPr>
            </w:pPr>
            <w:r w:rsidRPr="00D63A3D">
              <w:rPr>
                <w:sz w:val="24"/>
                <w:szCs w:val="24"/>
              </w:rPr>
              <w:t>Е.А. Коннова</w:t>
            </w:r>
          </w:p>
        </w:tc>
      </w:tr>
      <w:tr w:rsidR="00466942" w:rsidRPr="00D63A3D" w:rsidTr="00AD318E">
        <w:tc>
          <w:tcPr>
            <w:tcW w:w="7088" w:type="dxa"/>
            <w:tcBorders>
              <w:top w:val="dotted" w:sz="4" w:space="0" w:color="auto"/>
              <w:left w:val="dotted" w:sz="4" w:space="0" w:color="auto"/>
              <w:bottom w:val="dotted" w:sz="4" w:space="0" w:color="auto"/>
              <w:right w:val="dotted" w:sz="4" w:space="0" w:color="auto"/>
            </w:tcBorders>
          </w:tcPr>
          <w:p w:rsidR="00100123" w:rsidRPr="00D63A3D" w:rsidRDefault="00100123" w:rsidP="00100123">
            <w:pPr>
              <w:rPr>
                <w:sz w:val="24"/>
                <w:szCs w:val="24"/>
              </w:rPr>
            </w:pPr>
            <w:r w:rsidRPr="00D63A3D">
              <w:rPr>
                <w:sz w:val="24"/>
                <w:szCs w:val="24"/>
              </w:rPr>
              <w:t>Начальник управления регулирования коммунального комплекса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D63A3D" w:rsidRDefault="00100123" w:rsidP="00100123">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D63A3D" w:rsidRDefault="00100123" w:rsidP="00100123">
            <w:pPr>
              <w:tabs>
                <w:tab w:val="left" w:pos="4020"/>
              </w:tabs>
              <w:jc w:val="right"/>
              <w:rPr>
                <w:sz w:val="24"/>
                <w:szCs w:val="24"/>
              </w:rPr>
            </w:pPr>
            <w:r w:rsidRPr="00D63A3D">
              <w:rPr>
                <w:sz w:val="24"/>
                <w:szCs w:val="24"/>
              </w:rPr>
              <w:t>О.А. Курчанинова</w:t>
            </w:r>
          </w:p>
        </w:tc>
      </w:tr>
      <w:tr w:rsidR="00750E43" w:rsidRPr="00D63A3D" w:rsidTr="00AD318E">
        <w:tc>
          <w:tcPr>
            <w:tcW w:w="7088" w:type="dxa"/>
            <w:tcBorders>
              <w:top w:val="dotted" w:sz="4" w:space="0" w:color="auto"/>
              <w:left w:val="dotted" w:sz="4" w:space="0" w:color="auto"/>
              <w:bottom w:val="dotted" w:sz="4" w:space="0" w:color="auto"/>
              <w:right w:val="dotted" w:sz="4" w:space="0" w:color="auto"/>
            </w:tcBorders>
          </w:tcPr>
          <w:p w:rsidR="00750E43" w:rsidRPr="00D63A3D" w:rsidRDefault="00750E43" w:rsidP="00FB144C">
            <w:pPr>
              <w:jc w:val="both"/>
              <w:rPr>
                <w:sz w:val="24"/>
                <w:szCs w:val="24"/>
              </w:rPr>
            </w:pPr>
            <w:r w:rsidRPr="00D63A3D">
              <w:rPr>
                <w:sz w:val="24"/>
                <w:szCs w:val="24"/>
              </w:rPr>
              <w:t>Начальник отдела по утверждению нормативов и формированию цен на природный и сжиженный газ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tcPr>
          <w:p w:rsidR="00750E43" w:rsidRPr="00D63A3D" w:rsidRDefault="00750E43" w:rsidP="00FB144C">
            <w:pPr>
              <w:tabs>
                <w:tab w:val="left" w:pos="4020"/>
              </w:tabs>
              <w:rPr>
                <w:sz w:val="24"/>
                <w:szCs w:val="24"/>
              </w:rPr>
            </w:pPr>
          </w:p>
          <w:p w:rsidR="00750E43" w:rsidRPr="00D63A3D" w:rsidRDefault="00750E43" w:rsidP="00FB144C">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tcPr>
          <w:p w:rsidR="00750E43" w:rsidRPr="00D63A3D" w:rsidRDefault="00750E43" w:rsidP="00750E43">
            <w:pPr>
              <w:tabs>
                <w:tab w:val="left" w:pos="4020"/>
              </w:tabs>
              <w:jc w:val="right"/>
              <w:rPr>
                <w:sz w:val="24"/>
                <w:szCs w:val="24"/>
              </w:rPr>
            </w:pPr>
          </w:p>
          <w:p w:rsidR="00750E43" w:rsidRPr="00D63A3D" w:rsidRDefault="00750E43" w:rsidP="00750E43">
            <w:pPr>
              <w:tabs>
                <w:tab w:val="left" w:pos="4020"/>
              </w:tabs>
              <w:jc w:val="right"/>
              <w:rPr>
                <w:sz w:val="24"/>
                <w:szCs w:val="24"/>
              </w:rPr>
            </w:pPr>
            <w:r w:rsidRPr="00D63A3D">
              <w:rPr>
                <w:sz w:val="24"/>
                <w:szCs w:val="24"/>
              </w:rPr>
              <w:t>О.П. Агапова</w:t>
            </w:r>
          </w:p>
        </w:tc>
      </w:tr>
      <w:tr w:rsidR="00466942" w:rsidRPr="00D63A3D" w:rsidTr="00AD318E">
        <w:tc>
          <w:tcPr>
            <w:tcW w:w="7088" w:type="dxa"/>
            <w:tcBorders>
              <w:top w:val="dotted" w:sz="4" w:space="0" w:color="auto"/>
              <w:left w:val="dotted" w:sz="4" w:space="0" w:color="auto"/>
              <w:bottom w:val="dotted" w:sz="4" w:space="0" w:color="auto"/>
              <w:right w:val="dotted" w:sz="4" w:space="0" w:color="auto"/>
            </w:tcBorders>
          </w:tcPr>
          <w:p w:rsidR="00100123" w:rsidRPr="00D63A3D" w:rsidRDefault="00750E43" w:rsidP="00750E43">
            <w:pPr>
              <w:jc w:val="both"/>
              <w:rPr>
                <w:sz w:val="24"/>
                <w:szCs w:val="24"/>
              </w:rPr>
            </w:pPr>
            <w:r w:rsidRPr="00D63A3D">
              <w:rPr>
                <w:sz w:val="24"/>
                <w:szCs w:val="24"/>
              </w:rPr>
              <w:t>Главный специалист-эксперт аналитического отдела  Управления Федеральной антимонопольной службы России по Ивановской области</w:t>
            </w:r>
          </w:p>
        </w:tc>
        <w:tc>
          <w:tcPr>
            <w:tcW w:w="1543" w:type="dxa"/>
            <w:tcBorders>
              <w:top w:val="dotted" w:sz="4" w:space="0" w:color="auto"/>
              <w:left w:val="dotted" w:sz="4" w:space="0" w:color="auto"/>
              <w:bottom w:val="dotted" w:sz="4" w:space="0" w:color="auto"/>
              <w:right w:val="dotted" w:sz="4" w:space="0" w:color="auto"/>
            </w:tcBorders>
          </w:tcPr>
          <w:p w:rsidR="00100123" w:rsidRPr="00D63A3D" w:rsidRDefault="00100123" w:rsidP="00FB144C">
            <w:pPr>
              <w:tabs>
                <w:tab w:val="left" w:pos="4020"/>
              </w:tabs>
              <w:rPr>
                <w:sz w:val="24"/>
                <w:szCs w:val="24"/>
              </w:rPr>
            </w:pPr>
          </w:p>
          <w:p w:rsidR="00100123" w:rsidRPr="00D63A3D" w:rsidRDefault="00100123" w:rsidP="00FB144C">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tcPr>
          <w:p w:rsidR="00100123" w:rsidRPr="00D63A3D" w:rsidRDefault="00100123" w:rsidP="00FB144C">
            <w:pPr>
              <w:tabs>
                <w:tab w:val="left" w:pos="4020"/>
              </w:tabs>
              <w:jc w:val="right"/>
              <w:rPr>
                <w:sz w:val="24"/>
                <w:szCs w:val="24"/>
              </w:rPr>
            </w:pPr>
          </w:p>
          <w:p w:rsidR="00100123" w:rsidRPr="00D63A3D" w:rsidRDefault="00750E43" w:rsidP="00750E43">
            <w:pPr>
              <w:tabs>
                <w:tab w:val="left" w:pos="4020"/>
              </w:tabs>
              <w:jc w:val="right"/>
              <w:rPr>
                <w:sz w:val="24"/>
                <w:szCs w:val="24"/>
              </w:rPr>
            </w:pPr>
            <w:r w:rsidRPr="00D63A3D">
              <w:rPr>
                <w:sz w:val="24"/>
                <w:szCs w:val="24"/>
              </w:rPr>
              <w:t>М.В. Грехов</w:t>
            </w:r>
          </w:p>
        </w:tc>
      </w:tr>
      <w:tr w:rsidR="00466942" w:rsidRPr="00D63A3D" w:rsidTr="00AD318E">
        <w:tc>
          <w:tcPr>
            <w:tcW w:w="7088" w:type="dxa"/>
            <w:tcBorders>
              <w:top w:val="dotted" w:sz="4" w:space="0" w:color="auto"/>
              <w:left w:val="dotted" w:sz="4" w:space="0" w:color="auto"/>
              <w:bottom w:val="dotted" w:sz="4" w:space="0" w:color="auto"/>
              <w:right w:val="dotted" w:sz="4" w:space="0" w:color="auto"/>
            </w:tcBorders>
          </w:tcPr>
          <w:p w:rsidR="00100123" w:rsidRPr="00D63A3D" w:rsidRDefault="00100123" w:rsidP="00FB144C">
            <w:pPr>
              <w:jc w:val="both"/>
              <w:rPr>
                <w:sz w:val="24"/>
                <w:szCs w:val="24"/>
              </w:rPr>
            </w:pPr>
            <w:r w:rsidRPr="00D63A3D">
              <w:rPr>
                <w:sz w:val="24"/>
                <w:szCs w:val="24"/>
              </w:rPr>
              <w:t>Представитель Ассоциации «НП Совет рынка» – к.т.н., доцент кафедры электрических систем Ивановского государственного энергетического университета</w:t>
            </w:r>
          </w:p>
        </w:tc>
        <w:tc>
          <w:tcPr>
            <w:tcW w:w="1543" w:type="dxa"/>
            <w:tcBorders>
              <w:top w:val="dotted" w:sz="4" w:space="0" w:color="auto"/>
              <w:left w:val="dotted" w:sz="4" w:space="0" w:color="auto"/>
              <w:bottom w:val="dotted" w:sz="4" w:space="0" w:color="auto"/>
              <w:right w:val="dotted" w:sz="4" w:space="0" w:color="auto"/>
            </w:tcBorders>
          </w:tcPr>
          <w:p w:rsidR="00100123" w:rsidRPr="00D63A3D" w:rsidRDefault="00100123" w:rsidP="00FB144C">
            <w:pPr>
              <w:tabs>
                <w:tab w:val="left" w:pos="4020"/>
              </w:tabs>
              <w:rPr>
                <w:sz w:val="24"/>
                <w:szCs w:val="24"/>
              </w:rPr>
            </w:pPr>
          </w:p>
          <w:p w:rsidR="00100123" w:rsidRPr="00D63A3D" w:rsidRDefault="00100123" w:rsidP="00FB144C">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tcPr>
          <w:p w:rsidR="00100123" w:rsidRPr="00D63A3D" w:rsidRDefault="00100123" w:rsidP="00FB144C">
            <w:pPr>
              <w:tabs>
                <w:tab w:val="left" w:pos="4020"/>
              </w:tabs>
              <w:jc w:val="right"/>
              <w:rPr>
                <w:sz w:val="24"/>
                <w:szCs w:val="24"/>
              </w:rPr>
            </w:pPr>
          </w:p>
          <w:p w:rsidR="00100123" w:rsidRPr="00D63A3D" w:rsidRDefault="00100123" w:rsidP="00FB144C">
            <w:pPr>
              <w:tabs>
                <w:tab w:val="left" w:pos="4020"/>
              </w:tabs>
              <w:jc w:val="right"/>
              <w:rPr>
                <w:sz w:val="24"/>
                <w:szCs w:val="24"/>
              </w:rPr>
            </w:pPr>
            <w:r w:rsidRPr="00D63A3D">
              <w:rPr>
                <w:sz w:val="24"/>
                <w:szCs w:val="24"/>
              </w:rPr>
              <w:t>А.И. Кулешов</w:t>
            </w:r>
          </w:p>
        </w:tc>
      </w:tr>
    </w:tbl>
    <w:p w:rsidR="00A33801" w:rsidRPr="00D63A3D" w:rsidRDefault="00A33801" w:rsidP="000032C1">
      <w:pPr>
        <w:rPr>
          <w:sz w:val="24"/>
          <w:szCs w:val="24"/>
        </w:rPr>
      </w:pPr>
    </w:p>
    <w:sectPr w:rsidR="00A33801" w:rsidRPr="00D63A3D" w:rsidSect="009E57B2">
      <w:headerReference w:type="even" r:id="rId11"/>
      <w:headerReference w:type="default" r:id="rId12"/>
      <w:pgSz w:w="11906" w:h="16838"/>
      <w:pgMar w:top="709" w:right="566" w:bottom="567" w:left="1077"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30D" w:rsidRDefault="0068130D">
      <w:r>
        <w:separator/>
      </w:r>
    </w:p>
  </w:endnote>
  <w:endnote w:type="continuationSeparator" w:id="0">
    <w:p w:rsidR="0068130D" w:rsidRDefault="00681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30D" w:rsidRDefault="0068130D">
      <w:r>
        <w:separator/>
      </w:r>
    </w:p>
  </w:footnote>
  <w:footnote w:type="continuationSeparator" w:id="0">
    <w:p w:rsidR="0068130D" w:rsidRDefault="00681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30D" w:rsidRDefault="0068130D" w:rsidP="00FB144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8130D" w:rsidRDefault="0068130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30D" w:rsidRDefault="0068130D" w:rsidP="00FB144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66FBB">
      <w:rPr>
        <w:rStyle w:val="a5"/>
        <w:noProof/>
      </w:rPr>
      <w:t>8</w:t>
    </w:r>
    <w:r>
      <w:rPr>
        <w:rStyle w:val="a5"/>
      </w:rPr>
      <w:fldChar w:fldCharType="end"/>
    </w:r>
  </w:p>
  <w:p w:rsidR="0068130D" w:rsidRDefault="0068130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665E"/>
    <w:multiLevelType w:val="hybridMultilevel"/>
    <w:tmpl w:val="EF8EA2A6"/>
    <w:lvl w:ilvl="0" w:tplc="A0E2A55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0AED5976"/>
    <w:multiLevelType w:val="hybridMultilevel"/>
    <w:tmpl w:val="2CFC0432"/>
    <w:lvl w:ilvl="0" w:tplc="A60EFA98">
      <w:start w:val="1"/>
      <w:numFmt w:val="upperRoman"/>
      <w:lvlText w:val="%1."/>
      <w:lvlJc w:val="left"/>
      <w:pPr>
        <w:ind w:left="1354" w:hanging="360"/>
      </w:pPr>
      <w:rPr>
        <w:rFonts w:hint="default"/>
      </w:rPr>
    </w:lvl>
    <w:lvl w:ilvl="1" w:tplc="04190019" w:tentative="1">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2">
    <w:nsid w:val="0F81680E"/>
    <w:multiLevelType w:val="hybridMultilevel"/>
    <w:tmpl w:val="FBFE0440"/>
    <w:lvl w:ilvl="0" w:tplc="0FF2151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529054E"/>
    <w:multiLevelType w:val="hybridMultilevel"/>
    <w:tmpl w:val="FAE023D0"/>
    <w:lvl w:ilvl="0" w:tplc="C5B89ED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9A746D2"/>
    <w:multiLevelType w:val="hybridMultilevel"/>
    <w:tmpl w:val="6508816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nsid w:val="236E6709"/>
    <w:multiLevelType w:val="multilevel"/>
    <w:tmpl w:val="2F82E0D0"/>
    <w:lvl w:ilvl="0">
      <w:start w:val="1"/>
      <w:numFmt w:val="decimal"/>
      <w:lvlText w:val="%1."/>
      <w:lvlJc w:val="left"/>
      <w:pPr>
        <w:ind w:left="1320" w:hanging="780"/>
      </w:pPr>
      <w:rPr>
        <w:rFonts w:hint="default"/>
      </w:rPr>
    </w:lvl>
    <w:lvl w:ilvl="1">
      <w:start w:val="1"/>
      <w:numFmt w:val="decimal"/>
      <w:isLgl/>
      <w:lvlText w:val="%1.%2."/>
      <w:lvlJc w:val="left"/>
      <w:pPr>
        <w:ind w:left="2629"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6">
    <w:nsid w:val="25887F53"/>
    <w:multiLevelType w:val="hybridMultilevel"/>
    <w:tmpl w:val="42926C82"/>
    <w:lvl w:ilvl="0" w:tplc="43C2E3F2">
      <w:start w:val="1"/>
      <w:numFmt w:val="upperRoman"/>
      <w:lvlText w:val="%1."/>
      <w:lvlJc w:val="left"/>
      <w:pPr>
        <w:ind w:left="1341"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1E43ABC"/>
    <w:multiLevelType w:val="hybridMultilevel"/>
    <w:tmpl w:val="FD345440"/>
    <w:lvl w:ilvl="0" w:tplc="36CE03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59430FE"/>
    <w:multiLevelType w:val="hybridMultilevel"/>
    <w:tmpl w:val="FBFE0440"/>
    <w:lvl w:ilvl="0" w:tplc="0FF2151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FD2246D"/>
    <w:multiLevelType w:val="hybridMultilevel"/>
    <w:tmpl w:val="1EB0A99A"/>
    <w:lvl w:ilvl="0" w:tplc="DA523372">
      <w:start w:val="1"/>
      <w:numFmt w:val="upperRoman"/>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5E118CB"/>
    <w:multiLevelType w:val="hybridMultilevel"/>
    <w:tmpl w:val="7BFE422E"/>
    <w:lvl w:ilvl="0" w:tplc="F51254E6">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B0823B7"/>
    <w:multiLevelType w:val="hybridMultilevel"/>
    <w:tmpl w:val="FAE023D0"/>
    <w:lvl w:ilvl="0" w:tplc="C5B89ED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53B92FFE"/>
    <w:multiLevelType w:val="hybridMultilevel"/>
    <w:tmpl w:val="C756CF38"/>
    <w:lvl w:ilvl="0" w:tplc="DFEAD7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251086F"/>
    <w:multiLevelType w:val="hybridMultilevel"/>
    <w:tmpl w:val="E728A060"/>
    <w:lvl w:ilvl="0" w:tplc="20164C48">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37418B3"/>
    <w:multiLevelType w:val="hybridMultilevel"/>
    <w:tmpl w:val="FBFE0440"/>
    <w:lvl w:ilvl="0" w:tplc="0FF2151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572159B"/>
    <w:multiLevelType w:val="hybridMultilevel"/>
    <w:tmpl w:val="7D6C38F8"/>
    <w:lvl w:ilvl="0" w:tplc="560EAB7E">
      <w:start w:val="1"/>
      <w:numFmt w:val="decimal"/>
      <w:lvlText w:val="%1."/>
      <w:lvlJc w:val="left"/>
      <w:pPr>
        <w:ind w:left="1354" w:hanging="360"/>
      </w:pPr>
      <w:rPr>
        <w:b w:val="0"/>
      </w:rPr>
    </w:lvl>
    <w:lvl w:ilvl="1" w:tplc="04190019">
      <w:start w:val="1"/>
      <w:numFmt w:val="lowerLetter"/>
      <w:lvlText w:val="%2."/>
      <w:lvlJc w:val="left"/>
      <w:pPr>
        <w:ind w:left="2074" w:hanging="360"/>
      </w:pPr>
    </w:lvl>
    <w:lvl w:ilvl="2" w:tplc="0419001B">
      <w:start w:val="1"/>
      <w:numFmt w:val="lowerRoman"/>
      <w:lvlText w:val="%3."/>
      <w:lvlJc w:val="right"/>
      <w:pPr>
        <w:ind w:left="2794" w:hanging="180"/>
      </w:pPr>
    </w:lvl>
    <w:lvl w:ilvl="3" w:tplc="0419000F">
      <w:start w:val="1"/>
      <w:numFmt w:val="decimal"/>
      <w:lvlText w:val="%4."/>
      <w:lvlJc w:val="left"/>
      <w:pPr>
        <w:ind w:left="3514" w:hanging="360"/>
      </w:pPr>
    </w:lvl>
    <w:lvl w:ilvl="4" w:tplc="04190019">
      <w:start w:val="1"/>
      <w:numFmt w:val="lowerLetter"/>
      <w:lvlText w:val="%5."/>
      <w:lvlJc w:val="left"/>
      <w:pPr>
        <w:ind w:left="4234" w:hanging="360"/>
      </w:pPr>
    </w:lvl>
    <w:lvl w:ilvl="5" w:tplc="0419001B">
      <w:start w:val="1"/>
      <w:numFmt w:val="lowerRoman"/>
      <w:lvlText w:val="%6."/>
      <w:lvlJc w:val="right"/>
      <w:pPr>
        <w:ind w:left="4954" w:hanging="180"/>
      </w:pPr>
    </w:lvl>
    <w:lvl w:ilvl="6" w:tplc="0419000F">
      <w:start w:val="1"/>
      <w:numFmt w:val="decimal"/>
      <w:lvlText w:val="%7."/>
      <w:lvlJc w:val="left"/>
      <w:pPr>
        <w:ind w:left="5674" w:hanging="360"/>
      </w:pPr>
    </w:lvl>
    <w:lvl w:ilvl="7" w:tplc="04190019">
      <w:start w:val="1"/>
      <w:numFmt w:val="lowerLetter"/>
      <w:lvlText w:val="%8."/>
      <w:lvlJc w:val="left"/>
      <w:pPr>
        <w:ind w:left="6394" w:hanging="360"/>
      </w:pPr>
    </w:lvl>
    <w:lvl w:ilvl="8" w:tplc="0419001B">
      <w:start w:val="1"/>
      <w:numFmt w:val="lowerRoman"/>
      <w:lvlText w:val="%9."/>
      <w:lvlJc w:val="right"/>
      <w:pPr>
        <w:ind w:left="7114" w:hanging="180"/>
      </w:pPr>
    </w:lvl>
  </w:abstractNum>
  <w:abstractNum w:abstractNumId="16">
    <w:nsid w:val="6FDA465D"/>
    <w:multiLevelType w:val="hybridMultilevel"/>
    <w:tmpl w:val="519E87C4"/>
    <w:lvl w:ilvl="0" w:tplc="D0002C1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70732B1D"/>
    <w:multiLevelType w:val="hybridMultilevel"/>
    <w:tmpl w:val="8B6660BC"/>
    <w:lvl w:ilvl="0" w:tplc="93E65B46">
      <w:start w:val="1"/>
      <w:numFmt w:val="decimal"/>
      <w:lvlText w:val="%1."/>
      <w:lvlJc w:val="left"/>
      <w:pPr>
        <w:ind w:left="1392" w:hanging="82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9B2736A"/>
    <w:multiLevelType w:val="hybridMultilevel"/>
    <w:tmpl w:val="EF8EA2A6"/>
    <w:lvl w:ilvl="0" w:tplc="A0E2A55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7EF95912"/>
    <w:multiLevelType w:val="hybridMultilevel"/>
    <w:tmpl w:val="5E928E60"/>
    <w:lvl w:ilvl="0" w:tplc="04190001">
      <w:start w:val="1"/>
      <w:numFmt w:val="bullet"/>
      <w:lvlText w:val=""/>
      <w:lvlJc w:val="left"/>
      <w:pPr>
        <w:ind w:left="1337" w:hanging="360"/>
      </w:pPr>
      <w:rPr>
        <w:rFonts w:ascii="Symbol" w:hAnsi="Symbol" w:hint="default"/>
      </w:rPr>
    </w:lvl>
    <w:lvl w:ilvl="1" w:tplc="04190003" w:tentative="1">
      <w:start w:val="1"/>
      <w:numFmt w:val="bullet"/>
      <w:lvlText w:val="o"/>
      <w:lvlJc w:val="left"/>
      <w:pPr>
        <w:ind w:left="2057" w:hanging="360"/>
      </w:pPr>
      <w:rPr>
        <w:rFonts w:ascii="Courier New" w:hAnsi="Courier New" w:cs="Courier New" w:hint="default"/>
      </w:rPr>
    </w:lvl>
    <w:lvl w:ilvl="2" w:tplc="04190005" w:tentative="1">
      <w:start w:val="1"/>
      <w:numFmt w:val="bullet"/>
      <w:lvlText w:val=""/>
      <w:lvlJc w:val="left"/>
      <w:pPr>
        <w:ind w:left="2777" w:hanging="360"/>
      </w:pPr>
      <w:rPr>
        <w:rFonts w:ascii="Wingdings" w:hAnsi="Wingdings" w:hint="default"/>
      </w:rPr>
    </w:lvl>
    <w:lvl w:ilvl="3" w:tplc="04190001" w:tentative="1">
      <w:start w:val="1"/>
      <w:numFmt w:val="bullet"/>
      <w:lvlText w:val=""/>
      <w:lvlJc w:val="left"/>
      <w:pPr>
        <w:ind w:left="3497" w:hanging="360"/>
      </w:pPr>
      <w:rPr>
        <w:rFonts w:ascii="Symbol" w:hAnsi="Symbol" w:hint="default"/>
      </w:rPr>
    </w:lvl>
    <w:lvl w:ilvl="4" w:tplc="04190003" w:tentative="1">
      <w:start w:val="1"/>
      <w:numFmt w:val="bullet"/>
      <w:lvlText w:val="o"/>
      <w:lvlJc w:val="left"/>
      <w:pPr>
        <w:ind w:left="4217" w:hanging="360"/>
      </w:pPr>
      <w:rPr>
        <w:rFonts w:ascii="Courier New" w:hAnsi="Courier New" w:cs="Courier New" w:hint="default"/>
      </w:rPr>
    </w:lvl>
    <w:lvl w:ilvl="5" w:tplc="04190005" w:tentative="1">
      <w:start w:val="1"/>
      <w:numFmt w:val="bullet"/>
      <w:lvlText w:val=""/>
      <w:lvlJc w:val="left"/>
      <w:pPr>
        <w:ind w:left="4937" w:hanging="360"/>
      </w:pPr>
      <w:rPr>
        <w:rFonts w:ascii="Wingdings" w:hAnsi="Wingdings" w:hint="default"/>
      </w:rPr>
    </w:lvl>
    <w:lvl w:ilvl="6" w:tplc="04190001" w:tentative="1">
      <w:start w:val="1"/>
      <w:numFmt w:val="bullet"/>
      <w:lvlText w:val=""/>
      <w:lvlJc w:val="left"/>
      <w:pPr>
        <w:ind w:left="5657" w:hanging="360"/>
      </w:pPr>
      <w:rPr>
        <w:rFonts w:ascii="Symbol" w:hAnsi="Symbol" w:hint="default"/>
      </w:rPr>
    </w:lvl>
    <w:lvl w:ilvl="7" w:tplc="04190003" w:tentative="1">
      <w:start w:val="1"/>
      <w:numFmt w:val="bullet"/>
      <w:lvlText w:val="o"/>
      <w:lvlJc w:val="left"/>
      <w:pPr>
        <w:ind w:left="6377" w:hanging="360"/>
      </w:pPr>
      <w:rPr>
        <w:rFonts w:ascii="Courier New" w:hAnsi="Courier New" w:cs="Courier New" w:hint="default"/>
      </w:rPr>
    </w:lvl>
    <w:lvl w:ilvl="8" w:tplc="04190005" w:tentative="1">
      <w:start w:val="1"/>
      <w:numFmt w:val="bullet"/>
      <w:lvlText w:val=""/>
      <w:lvlJc w:val="left"/>
      <w:pPr>
        <w:ind w:left="7097" w:hanging="360"/>
      </w:pPr>
      <w:rPr>
        <w:rFonts w:ascii="Wingdings" w:hAnsi="Wingdings" w:hint="default"/>
      </w:rPr>
    </w:lvl>
  </w:abstractNum>
  <w:num w:numId="1">
    <w:abstractNumId w:val="4"/>
  </w:num>
  <w:num w:numId="2">
    <w:abstractNumId w:val="19"/>
  </w:num>
  <w:num w:numId="3">
    <w:abstractNumId w:val="1"/>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
  </w:num>
  <w:num w:numId="7">
    <w:abstractNumId w:val="14"/>
  </w:num>
  <w:num w:numId="8">
    <w:abstractNumId w:val="18"/>
  </w:num>
  <w:num w:numId="9">
    <w:abstractNumId w:val="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8"/>
  </w:num>
  <w:num w:numId="13">
    <w:abstractNumId w:val="3"/>
  </w:num>
  <w:num w:numId="14">
    <w:abstractNumId w:val="10"/>
  </w:num>
  <w:num w:numId="15">
    <w:abstractNumId w:val="17"/>
  </w:num>
  <w:num w:numId="16">
    <w:abstractNumId w:val="13"/>
  </w:num>
  <w:num w:numId="17">
    <w:abstractNumId w:val="9"/>
  </w:num>
  <w:num w:numId="18">
    <w:abstractNumId w:val="5"/>
  </w:num>
  <w:num w:numId="19">
    <w:abstractNumId w:val="7"/>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84C"/>
    <w:rsid w:val="00001B84"/>
    <w:rsid w:val="00002CD4"/>
    <w:rsid w:val="000032C1"/>
    <w:rsid w:val="000064CF"/>
    <w:rsid w:val="0000686F"/>
    <w:rsid w:val="000277EB"/>
    <w:rsid w:val="000301BD"/>
    <w:rsid w:val="00030E80"/>
    <w:rsid w:val="00034065"/>
    <w:rsid w:val="00035973"/>
    <w:rsid w:val="00042C3E"/>
    <w:rsid w:val="00045D63"/>
    <w:rsid w:val="00047724"/>
    <w:rsid w:val="00050055"/>
    <w:rsid w:val="000514A4"/>
    <w:rsid w:val="00052294"/>
    <w:rsid w:val="000556C3"/>
    <w:rsid w:val="00074265"/>
    <w:rsid w:val="00080924"/>
    <w:rsid w:val="00086DEB"/>
    <w:rsid w:val="00091843"/>
    <w:rsid w:val="000949BD"/>
    <w:rsid w:val="0009775D"/>
    <w:rsid w:val="000A4B37"/>
    <w:rsid w:val="000A59DE"/>
    <w:rsid w:val="000C7F31"/>
    <w:rsid w:val="000D61F7"/>
    <w:rsid w:val="000E6693"/>
    <w:rsid w:val="000E6C4A"/>
    <w:rsid w:val="00100123"/>
    <w:rsid w:val="00102665"/>
    <w:rsid w:val="00102CEC"/>
    <w:rsid w:val="00102ED2"/>
    <w:rsid w:val="0010702C"/>
    <w:rsid w:val="00113A9D"/>
    <w:rsid w:val="0011739C"/>
    <w:rsid w:val="00145D4A"/>
    <w:rsid w:val="00147B89"/>
    <w:rsid w:val="001509A7"/>
    <w:rsid w:val="00150B76"/>
    <w:rsid w:val="001512A5"/>
    <w:rsid w:val="00174CA1"/>
    <w:rsid w:val="00174DB7"/>
    <w:rsid w:val="0017733A"/>
    <w:rsid w:val="00181BF3"/>
    <w:rsid w:val="00181D4D"/>
    <w:rsid w:val="00186A35"/>
    <w:rsid w:val="00190A38"/>
    <w:rsid w:val="00195E01"/>
    <w:rsid w:val="001A1815"/>
    <w:rsid w:val="001A68A8"/>
    <w:rsid w:val="001C3FF6"/>
    <w:rsid w:val="001C5116"/>
    <w:rsid w:val="001D267C"/>
    <w:rsid w:val="001E449B"/>
    <w:rsid w:val="001E4804"/>
    <w:rsid w:val="001F100B"/>
    <w:rsid w:val="001F29F1"/>
    <w:rsid w:val="0020423A"/>
    <w:rsid w:val="00205D42"/>
    <w:rsid w:val="00217DC7"/>
    <w:rsid w:val="00222418"/>
    <w:rsid w:val="00230A1D"/>
    <w:rsid w:val="002471C9"/>
    <w:rsid w:val="00250E5F"/>
    <w:rsid w:val="00262C82"/>
    <w:rsid w:val="00266FBD"/>
    <w:rsid w:val="00267E21"/>
    <w:rsid w:val="00273544"/>
    <w:rsid w:val="00273BD2"/>
    <w:rsid w:val="00283F36"/>
    <w:rsid w:val="002853FC"/>
    <w:rsid w:val="0028579F"/>
    <w:rsid w:val="00293AF9"/>
    <w:rsid w:val="002977B0"/>
    <w:rsid w:val="002C2B11"/>
    <w:rsid w:val="002D04FB"/>
    <w:rsid w:val="002D0AF6"/>
    <w:rsid w:val="002E3293"/>
    <w:rsid w:val="002E4504"/>
    <w:rsid w:val="002E6303"/>
    <w:rsid w:val="002E7787"/>
    <w:rsid w:val="002F7851"/>
    <w:rsid w:val="00334250"/>
    <w:rsid w:val="00335AB5"/>
    <w:rsid w:val="00353E00"/>
    <w:rsid w:val="00370909"/>
    <w:rsid w:val="00371BAB"/>
    <w:rsid w:val="003768AC"/>
    <w:rsid w:val="00390B94"/>
    <w:rsid w:val="00392DA8"/>
    <w:rsid w:val="00394351"/>
    <w:rsid w:val="003953E3"/>
    <w:rsid w:val="0039712C"/>
    <w:rsid w:val="003A2FBF"/>
    <w:rsid w:val="003A364D"/>
    <w:rsid w:val="003A4496"/>
    <w:rsid w:val="003A6C9D"/>
    <w:rsid w:val="003A78E2"/>
    <w:rsid w:val="003A7B41"/>
    <w:rsid w:val="003B0663"/>
    <w:rsid w:val="003B0C99"/>
    <w:rsid w:val="003C01FA"/>
    <w:rsid w:val="003D2E03"/>
    <w:rsid w:val="003D5005"/>
    <w:rsid w:val="003D7854"/>
    <w:rsid w:val="003E5A74"/>
    <w:rsid w:val="003E7C83"/>
    <w:rsid w:val="003F081D"/>
    <w:rsid w:val="003F3FC6"/>
    <w:rsid w:val="0041444D"/>
    <w:rsid w:val="004351F4"/>
    <w:rsid w:val="0043607E"/>
    <w:rsid w:val="00456648"/>
    <w:rsid w:val="004579CC"/>
    <w:rsid w:val="004649EB"/>
    <w:rsid w:val="00465DE5"/>
    <w:rsid w:val="00466942"/>
    <w:rsid w:val="00473802"/>
    <w:rsid w:val="0047755F"/>
    <w:rsid w:val="00480CA5"/>
    <w:rsid w:val="0048693C"/>
    <w:rsid w:val="0049037D"/>
    <w:rsid w:val="004A3C0A"/>
    <w:rsid w:val="004A3C0B"/>
    <w:rsid w:val="004B0782"/>
    <w:rsid w:val="004B191C"/>
    <w:rsid w:val="004C2B75"/>
    <w:rsid w:val="004C3F09"/>
    <w:rsid w:val="004C4178"/>
    <w:rsid w:val="004C6E09"/>
    <w:rsid w:val="004D0A10"/>
    <w:rsid w:val="004D4E44"/>
    <w:rsid w:val="004E2154"/>
    <w:rsid w:val="004E2C77"/>
    <w:rsid w:val="004E35E5"/>
    <w:rsid w:val="005010B2"/>
    <w:rsid w:val="00515FCE"/>
    <w:rsid w:val="00520414"/>
    <w:rsid w:val="0052099A"/>
    <w:rsid w:val="005212AD"/>
    <w:rsid w:val="00522274"/>
    <w:rsid w:val="00534B05"/>
    <w:rsid w:val="005353FE"/>
    <w:rsid w:val="00546435"/>
    <w:rsid w:val="00551589"/>
    <w:rsid w:val="0055285B"/>
    <w:rsid w:val="00554200"/>
    <w:rsid w:val="005614F7"/>
    <w:rsid w:val="005639E3"/>
    <w:rsid w:val="00576EDF"/>
    <w:rsid w:val="00593C83"/>
    <w:rsid w:val="005A7693"/>
    <w:rsid w:val="005B1C2A"/>
    <w:rsid w:val="005B2A72"/>
    <w:rsid w:val="005B37A6"/>
    <w:rsid w:val="005B384C"/>
    <w:rsid w:val="005B57C8"/>
    <w:rsid w:val="005C5306"/>
    <w:rsid w:val="005D13EC"/>
    <w:rsid w:val="005D4BBE"/>
    <w:rsid w:val="005E3111"/>
    <w:rsid w:val="005E4D07"/>
    <w:rsid w:val="005E6BAD"/>
    <w:rsid w:val="005F268F"/>
    <w:rsid w:val="006019BB"/>
    <w:rsid w:val="00610136"/>
    <w:rsid w:val="006208AA"/>
    <w:rsid w:val="006218E7"/>
    <w:rsid w:val="00626A32"/>
    <w:rsid w:val="00630F85"/>
    <w:rsid w:val="0063569C"/>
    <w:rsid w:val="006376B4"/>
    <w:rsid w:val="00637B5E"/>
    <w:rsid w:val="0064709F"/>
    <w:rsid w:val="006479A0"/>
    <w:rsid w:val="0065294E"/>
    <w:rsid w:val="00657A22"/>
    <w:rsid w:val="00662303"/>
    <w:rsid w:val="00670278"/>
    <w:rsid w:val="00671CC5"/>
    <w:rsid w:val="006732ED"/>
    <w:rsid w:val="0067528C"/>
    <w:rsid w:val="00675A8B"/>
    <w:rsid w:val="0068130D"/>
    <w:rsid w:val="00682705"/>
    <w:rsid w:val="00684A5F"/>
    <w:rsid w:val="00691745"/>
    <w:rsid w:val="00693F4E"/>
    <w:rsid w:val="00694117"/>
    <w:rsid w:val="0069698E"/>
    <w:rsid w:val="006B6625"/>
    <w:rsid w:val="006C6386"/>
    <w:rsid w:val="006C7FD6"/>
    <w:rsid w:val="006D00A4"/>
    <w:rsid w:val="006E2C97"/>
    <w:rsid w:val="006E56E3"/>
    <w:rsid w:val="006F54B2"/>
    <w:rsid w:val="006F580B"/>
    <w:rsid w:val="0070141D"/>
    <w:rsid w:val="007068DC"/>
    <w:rsid w:val="00725F00"/>
    <w:rsid w:val="00737365"/>
    <w:rsid w:val="007407CB"/>
    <w:rsid w:val="00750E43"/>
    <w:rsid w:val="0076398B"/>
    <w:rsid w:val="00764D5A"/>
    <w:rsid w:val="007660C9"/>
    <w:rsid w:val="00771B42"/>
    <w:rsid w:val="00772D93"/>
    <w:rsid w:val="0077344F"/>
    <w:rsid w:val="00780D41"/>
    <w:rsid w:val="00784053"/>
    <w:rsid w:val="00784702"/>
    <w:rsid w:val="00790FF1"/>
    <w:rsid w:val="00791DD6"/>
    <w:rsid w:val="007921B5"/>
    <w:rsid w:val="00792F5A"/>
    <w:rsid w:val="007A0214"/>
    <w:rsid w:val="007B5DD0"/>
    <w:rsid w:val="007C2BFE"/>
    <w:rsid w:val="007D340D"/>
    <w:rsid w:val="007D42E6"/>
    <w:rsid w:val="007D776C"/>
    <w:rsid w:val="007E5A1F"/>
    <w:rsid w:val="007F0CD7"/>
    <w:rsid w:val="007F24F4"/>
    <w:rsid w:val="008018D0"/>
    <w:rsid w:val="00802AFD"/>
    <w:rsid w:val="008069CD"/>
    <w:rsid w:val="00822448"/>
    <w:rsid w:val="00827CE1"/>
    <w:rsid w:val="00832278"/>
    <w:rsid w:val="00834454"/>
    <w:rsid w:val="00843EBE"/>
    <w:rsid w:val="00847CC3"/>
    <w:rsid w:val="00884BA4"/>
    <w:rsid w:val="00884C58"/>
    <w:rsid w:val="00885A4A"/>
    <w:rsid w:val="00894F2F"/>
    <w:rsid w:val="008A57C8"/>
    <w:rsid w:val="008A5F9F"/>
    <w:rsid w:val="008B0AFB"/>
    <w:rsid w:val="008B14A0"/>
    <w:rsid w:val="008B4AF5"/>
    <w:rsid w:val="008B6AA7"/>
    <w:rsid w:val="008B720C"/>
    <w:rsid w:val="008B75D9"/>
    <w:rsid w:val="008C042F"/>
    <w:rsid w:val="008C5C74"/>
    <w:rsid w:val="008D0D47"/>
    <w:rsid w:val="008D1B66"/>
    <w:rsid w:val="008D4BD7"/>
    <w:rsid w:val="008E24DC"/>
    <w:rsid w:val="008E343B"/>
    <w:rsid w:val="008E7EDA"/>
    <w:rsid w:val="008F0C67"/>
    <w:rsid w:val="00902327"/>
    <w:rsid w:val="009049AE"/>
    <w:rsid w:val="009162DA"/>
    <w:rsid w:val="009171B2"/>
    <w:rsid w:val="0092634E"/>
    <w:rsid w:val="00945A23"/>
    <w:rsid w:val="00947799"/>
    <w:rsid w:val="00950A6E"/>
    <w:rsid w:val="00960CB6"/>
    <w:rsid w:val="009643B0"/>
    <w:rsid w:val="0098043C"/>
    <w:rsid w:val="00994D20"/>
    <w:rsid w:val="009A06DC"/>
    <w:rsid w:val="009A0A72"/>
    <w:rsid w:val="009A1FB2"/>
    <w:rsid w:val="009B7572"/>
    <w:rsid w:val="009C6019"/>
    <w:rsid w:val="009D1404"/>
    <w:rsid w:val="009D3914"/>
    <w:rsid w:val="009D5AB3"/>
    <w:rsid w:val="009D60BE"/>
    <w:rsid w:val="009E57B2"/>
    <w:rsid w:val="009E75E7"/>
    <w:rsid w:val="009F131D"/>
    <w:rsid w:val="00A01D42"/>
    <w:rsid w:val="00A02F26"/>
    <w:rsid w:val="00A14BD5"/>
    <w:rsid w:val="00A17C95"/>
    <w:rsid w:val="00A26D02"/>
    <w:rsid w:val="00A32482"/>
    <w:rsid w:val="00A33801"/>
    <w:rsid w:val="00A423D8"/>
    <w:rsid w:val="00A525DD"/>
    <w:rsid w:val="00A53A61"/>
    <w:rsid w:val="00A5462E"/>
    <w:rsid w:val="00A64548"/>
    <w:rsid w:val="00A658B7"/>
    <w:rsid w:val="00A73314"/>
    <w:rsid w:val="00A833E0"/>
    <w:rsid w:val="00A924C4"/>
    <w:rsid w:val="00A94DEB"/>
    <w:rsid w:val="00A973F4"/>
    <w:rsid w:val="00AA1281"/>
    <w:rsid w:val="00AA1CE4"/>
    <w:rsid w:val="00AA3F49"/>
    <w:rsid w:val="00AA4D30"/>
    <w:rsid w:val="00AA676D"/>
    <w:rsid w:val="00AB2502"/>
    <w:rsid w:val="00AC1506"/>
    <w:rsid w:val="00AC336E"/>
    <w:rsid w:val="00AC6A44"/>
    <w:rsid w:val="00AD318E"/>
    <w:rsid w:val="00AD6195"/>
    <w:rsid w:val="00AE001D"/>
    <w:rsid w:val="00AE0509"/>
    <w:rsid w:val="00AE1D47"/>
    <w:rsid w:val="00AE5EEB"/>
    <w:rsid w:val="00AF3073"/>
    <w:rsid w:val="00B00CF1"/>
    <w:rsid w:val="00B1374E"/>
    <w:rsid w:val="00B150D4"/>
    <w:rsid w:val="00B173E4"/>
    <w:rsid w:val="00B21B80"/>
    <w:rsid w:val="00B30208"/>
    <w:rsid w:val="00B31BA4"/>
    <w:rsid w:val="00B5737D"/>
    <w:rsid w:val="00B71C97"/>
    <w:rsid w:val="00B73526"/>
    <w:rsid w:val="00B854A8"/>
    <w:rsid w:val="00B86551"/>
    <w:rsid w:val="00B872E8"/>
    <w:rsid w:val="00B911BA"/>
    <w:rsid w:val="00B942FC"/>
    <w:rsid w:val="00B96B60"/>
    <w:rsid w:val="00BA20E7"/>
    <w:rsid w:val="00BA4212"/>
    <w:rsid w:val="00BC172E"/>
    <w:rsid w:val="00BC1905"/>
    <w:rsid w:val="00BD2155"/>
    <w:rsid w:val="00BD3E90"/>
    <w:rsid w:val="00BD4C16"/>
    <w:rsid w:val="00BE2600"/>
    <w:rsid w:val="00BF6CDF"/>
    <w:rsid w:val="00C007C7"/>
    <w:rsid w:val="00C10AF5"/>
    <w:rsid w:val="00C17229"/>
    <w:rsid w:val="00C2349C"/>
    <w:rsid w:val="00C433FF"/>
    <w:rsid w:val="00C45974"/>
    <w:rsid w:val="00C57BF7"/>
    <w:rsid w:val="00C62F05"/>
    <w:rsid w:val="00C6399E"/>
    <w:rsid w:val="00C645A4"/>
    <w:rsid w:val="00C81296"/>
    <w:rsid w:val="00C8155C"/>
    <w:rsid w:val="00C828F9"/>
    <w:rsid w:val="00C92030"/>
    <w:rsid w:val="00CB07AC"/>
    <w:rsid w:val="00CB2DB7"/>
    <w:rsid w:val="00CB396C"/>
    <w:rsid w:val="00CB3C58"/>
    <w:rsid w:val="00CB5495"/>
    <w:rsid w:val="00CC6A50"/>
    <w:rsid w:val="00CD1ACA"/>
    <w:rsid w:val="00CD3A4E"/>
    <w:rsid w:val="00CD41AA"/>
    <w:rsid w:val="00CE0328"/>
    <w:rsid w:val="00CE5B58"/>
    <w:rsid w:val="00CE7A74"/>
    <w:rsid w:val="00CF12C1"/>
    <w:rsid w:val="00D0355D"/>
    <w:rsid w:val="00D116AE"/>
    <w:rsid w:val="00D13CE4"/>
    <w:rsid w:val="00D2174F"/>
    <w:rsid w:val="00D270C4"/>
    <w:rsid w:val="00D27625"/>
    <w:rsid w:val="00D303A6"/>
    <w:rsid w:val="00D37CFC"/>
    <w:rsid w:val="00D63A3D"/>
    <w:rsid w:val="00D65A0C"/>
    <w:rsid w:val="00D81313"/>
    <w:rsid w:val="00D86FA6"/>
    <w:rsid w:val="00D871F9"/>
    <w:rsid w:val="00D913B7"/>
    <w:rsid w:val="00DB156E"/>
    <w:rsid w:val="00DB2BAD"/>
    <w:rsid w:val="00DC690C"/>
    <w:rsid w:val="00DC70E0"/>
    <w:rsid w:val="00DC7CDD"/>
    <w:rsid w:val="00DD3D8E"/>
    <w:rsid w:val="00DE310B"/>
    <w:rsid w:val="00DE63F9"/>
    <w:rsid w:val="00DF2186"/>
    <w:rsid w:val="00E20344"/>
    <w:rsid w:val="00E330EB"/>
    <w:rsid w:val="00E34193"/>
    <w:rsid w:val="00E51103"/>
    <w:rsid w:val="00E566D5"/>
    <w:rsid w:val="00E84A53"/>
    <w:rsid w:val="00E86E4E"/>
    <w:rsid w:val="00E95F9F"/>
    <w:rsid w:val="00EA2A52"/>
    <w:rsid w:val="00EA6678"/>
    <w:rsid w:val="00EB77D5"/>
    <w:rsid w:val="00EC0FB5"/>
    <w:rsid w:val="00EC77B9"/>
    <w:rsid w:val="00ED3715"/>
    <w:rsid w:val="00EE40BF"/>
    <w:rsid w:val="00EE48B6"/>
    <w:rsid w:val="00EF2F65"/>
    <w:rsid w:val="00F07056"/>
    <w:rsid w:val="00F07C93"/>
    <w:rsid w:val="00F23C80"/>
    <w:rsid w:val="00F31207"/>
    <w:rsid w:val="00F36FBC"/>
    <w:rsid w:val="00F37527"/>
    <w:rsid w:val="00F43C50"/>
    <w:rsid w:val="00F57773"/>
    <w:rsid w:val="00F61D56"/>
    <w:rsid w:val="00F620F1"/>
    <w:rsid w:val="00F64F61"/>
    <w:rsid w:val="00F66CD0"/>
    <w:rsid w:val="00F66FBB"/>
    <w:rsid w:val="00F72658"/>
    <w:rsid w:val="00F84FCF"/>
    <w:rsid w:val="00F92613"/>
    <w:rsid w:val="00F93FAF"/>
    <w:rsid w:val="00FA00A0"/>
    <w:rsid w:val="00FB144C"/>
    <w:rsid w:val="00FB2BA8"/>
    <w:rsid w:val="00FC453A"/>
    <w:rsid w:val="00FD590F"/>
    <w:rsid w:val="00FE5D55"/>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FD6"/>
    <w:pPr>
      <w:widowControl w:val="0"/>
      <w:spacing w:after="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384C"/>
    <w:pPr>
      <w:tabs>
        <w:tab w:val="center" w:pos="4677"/>
        <w:tab w:val="right" w:pos="9355"/>
      </w:tabs>
    </w:pPr>
  </w:style>
  <w:style w:type="character" w:customStyle="1" w:styleId="a4">
    <w:name w:val="Верхний колонтитул Знак"/>
    <w:basedOn w:val="a0"/>
    <w:link w:val="a3"/>
    <w:uiPriority w:val="99"/>
    <w:rsid w:val="005B384C"/>
    <w:rPr>
      <w:rFonts w:ascii="Times New Roman" w:eastAsia="Times New Roman" w:hAnsi="Times New Roman" w:cs="Times New Roman"/>
      <w:sz w:val="20"/>
      <w:szCs w:val="20"/>
      <w:lang w:eastAsia="ru-RU"/>
    </w:rPr>
  </w:style>
  <w:style w:type="character" w:styleId="a5">
    <w:name w:val="page number"/>
    <w:basedOn w:val="a0"/>
    <w:rsid w:val="005B384C"/>
  </w:style>
  <w:style w:type="paragraph" w:styleId="a6">
    <w:name w:val="Normal (Web)"/>
    <w:basedOn w:val="a"/>
    <w:link w:val="a7"/>
    <w:uiPriority w:val="99"/>
    <w:rsid w:val="005B384C"/>
    <w:pPr>
      <w:widowControl/>
      <w:spacing w:before="100" w:beforeAutospacing="1" w:after="100" w:afterAutospacing="1"/>
    </w:pPr>
    <w:rPr>
      <w:sz w:val="24"/>
      <w:szCs w:val="24"/>
    </w:rPr>
  </w:style>
  <w:style w:type="paragraph" w:customStyle="1" w:styleId="21">
    <w:name w:val="Основной текст с отступом 21"/>
    <w:basedOn w:val="a"/>
    <w:uiPriority w:val="99"/>
    <w:rsid w:val="005B384C"/>
    <w:pPr>
      <w:ind w:firstLine="851"/>
      <w:jc w:val="both"/>
    </w:pPr>
    <w:rPr>
      <w:sz w:val="24"/>
    </w:rPr>
  </w:style>
  <w:style w:type="character" w:customStyle="1" w:styleId="a7">
    <w:name w:val="Обычный (веб) Знак"/>
    <w:link w:val="a6"/>
    <w:uiPriority w:val="99"/>
    <w:rsid w:val="005B384C"/>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20414"/>
    <w:rPr>
      <w:rFonts w:ascii="Tahoma" w:hAnsi="Tahoma" w:cs="Tahoma"/>
      <w:sz w:val="16"/>
      <w:szCs w:val="16"/>
    </w:rPr>
  </w:style>
  <w:style w:type="character" w:customStyle="1" w:styleId="a9">
    <w:name w:val="Текст выноски Знак"/>
    <w:basedOn w:val="a0"/>
    <w:link w:val="a8"/>
    <w:uiPriority w:val="99"/>
    <w:semiHidden/>
    <w:rsid w:val="00520414"/>
    <w:rPr>
      <w:rFonts w:ascii="Tahoma" w:eastAsia="Times New Roman" w:hAnsi="Tahoma" w:cs="Tahoma"/>
      <w:sz w:val="16"/>
      <w:szCs w:val="16"/>
      <w:lang w:eastAsia="ru-RU"/>
    </w:rPr>
  </w:style>
  <w:style w:type="paragraph" w:styleId="aa">
    <w:name w:val="List Paragraph"/>
    <w:basedOn w:val="a"/>
    <w:uiPriority w:val="34"/>
    <w:qFormat/>
    <w:rsid w:val="00FC453A"/>
    <w:pPr>
      <w:ind w:left="720"/>
      <w:contextualSpacing/>
    </w:pPr>
  </w:style>
  <w:style w:type="character" w:styleId="ab">
    <w:name w:val="Hyperlink"/>
    <w:basedOn w:val="a0"/>
    <w:uiPriority w:val="99"/>
    <w:unhideWhenUsed/>
    <w:rsid w:val="00370909"/>
    <w:rPr>
      <w:color w:val="0000FF" w:themeColor="hyperlink"/>
      <w:u w:val="single"/>
    </w:rPr>
  </w:style>
  <w:style w:type="character" w:customStyle="1" w:styleId="extended-textshort">
    <w:name w:val="extended-text__short"/>
    <w:basedOn w:val="a0"/>
    <w:rsid w:val="00102CEC"/>
  </w:style>
  <w:style w:type="table" w:styleId="ac">
    <w:name w:val="Table Grid"/>
    <w:basedOn w:val="a1"/>
    <w:uiPriority w:val="99"/>
    <w:rsid w:val="00960CB6"/>
    <w:pPr>
      <w:widowControl w:val="0"/>
      <w:spacing w:after="0"/>
      <w:jc w:val="left"/>
    </w:pPr>
    <w:rPr>
      <w:rFonts w:ascii="Times New Roman" w:eastAsia="Times New Roman" w:hAnsi="Times New Roman"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c"/>
    <w:uiPriority w:val="99"/>
    <w:rsid w:val="00250E5F"/>
    <w:pPr>
      <w:widowControl w:val="0"/>
      <w:spacing w:after="0"/>
      <w:jc w:val="left"/>
    </w:pPr>
    <w:rPr>
      <w:rFonts w:ascii="Times New Roman" w:eastAsia="Times New Roman" w:hAnsi="Times New Roman"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FD6"/>
    <w:pPr>
      <w:widowControl w:val="0"/>
      <w:spacing w:after="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384C"/>
    <w:pPr>
      <w:tabs>
        <w:tab w:val="center" w:pos="4677"/>
        <w:tab w:val="right" w:pos="9355"/>
      </w:tabs>
    </w:pPr>
  </w:style>
  <w:style w:type="character" w:customStyle="1" w:styleId="a4">
    <w:name w:val="Верхний колонтитул Знак"/>
    <w:basedOn w:val="a0"/>
    <w:link w:val="a3"/>
    <w:uiPriority w:val="99"/>
    <w:rsid w:val="005B384C"/>
    <w:rPr>
      <w:rFonts w:ascii="Times New Roman" w:eastAsia="Times New Roman" w:hAnsi="Times New Roman" w:cs="Times New Roman"/>
      <w:sz w:val="20"/>
      <w:szCs w:val="20"/>
      <w:lang w:eastAsia="ru-RU"/>
    </w:rPr>
  </w:style>
  <w:style w:type="character" w:styleId="a5">
    <w:name w:val="page number"/>
    <w:basedOn w:val="a0"/>
    <w:rsid w:val="005B384C"/>
  </w:style>
  <w:style w:type="paragraph" w:styleId="a6">
    <w:name w:val="Normal (Web)"/>
    <w:basedOn w:val="a"/>
    <w:link w:val="a7"/>
    <w:uiPriority w:val="99"/>
    <w:rsid w:val="005B384C"/>
    <w:pPr>
      <w:widowControl/>
      <w:spacing w:before="100" w:beforeAutospacing="1" w:after="100" w:afterAutospacing="1"/>
    </w:pPr>
    <w:rPr>
      <w:sz w:val="24"/>
      <w:szCs w:val="24"/>
    </w:rPr>
  </w:style>
  <w:style w:type="paragraph" w:customStyle="1" w:styleId="21">
    <w:name w:val="Основной текст с отступом 21"/>
    <w:basedOn w:val="a"/>
    <w:uiPriority w:val="99"/>
    <w:rsid w:val="005B384C"/>
    <w:pPr>
      <w:ind w:firstLine="851"/>
      <w:jc w:val="both"/>
    </w:pPr>
    <w:rPr>
      <w:sz w:val="24"/>
    </w:rPr>
  </w:style>
  <w:style w:type="character" w:customStyle="1" w:styleId="a7">
    <w:name w:val="Обычный (веб) Знак"/>
    <w:link w:val="a6"/>
    <w:uiPriority w:val="99"/>
    <w:rsid w:val="005B384C"/>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20414"/>
    <w:rPr>
      <w:rFonts w:ascii="Tahoma" w:hAnsi="Tahoma" w:cs="Tahoma"/>
      <w:sz w:val="16"/>
      <w:szCs w:val="16"/>
    </w:rPr>
  </w:style>
  <w:style w:type="character" w:customStyle="1" w:styleId="a9">
    <w:name w:val="Текст выноски Знак"/>
    <w:basedOn w:val="a0"/>
    <w:link w:val="a8"/>
    <w:uiPriority w:val="99"/>
    <w:semiHidden/>
    <w:rsid w:val="00520414"/>
    <w:rPr>
      <w:rFonts w:ascii="Tahoma" w:eastAsia="Times New Roman" w:hAnsi="Tahoma" w:cs="Tahoma"/>
      <w:sz w:val="16"/>
      <w:szCs w:val="16"/>
      <w:lang w:eastAsia="ru-RU"/>
    </w:rPr>
  </w:style>
  <w:style w:type="paragraph" w:styleId="aa">
    <w:name w:val="List Paragraph"/>
    <w:basedOn w:val="a"/>
    <w:uiPriority w:val="34"/>
    <w:qFormat/>
    <w:rsid w:val="00FC453A"/>
    <w:pPr>
      <w:ind w:left="720"/>
      <w:contextualSpacing/>
    </w:pPr>
  </w:style>
  <w:style w:type="character" w:styleId="ab">
    <w:name w:val="Hyperlink"/>
    <w:basedOn w:val="a0"/>
    <w:uiPriority w:val="99"/>
    <w:unhideWhenUsed/>
    <w:rsid w:val="00370909"/>
    <w:rPr>
      <w:color w:val="0000FF" w:themeColor="hyperlink"/>
      <w:u w:val="single"/>
    </w:rPr>
  </w:style>
  <w:style w:type="character" w:customStyle="1" w:styleId="extended-textshort">
    <w:name w:val="extended-text__short"/>
    <w:basedOn w:val="a0"/>
    <w:rsid w:val="00102CEC"/>
  </w:style>
  <w:style w:type="table" w:styleId="ac">
    <w:name w:val="Table Grid"/>
    <w:basedOn w:val="a1"/>
    <w:uiPriority w:val="99"/>
    <w:rsid w:val="00960CB6"/>
    <w:pPr>
      <w:widowControl w:val="0"/>
      <w:spacing w:after="0"/>
      <w:jc w:val="left"/>
    </w:pPr>
    <w:rPr>
      <w:rFonts w:ascii="Times New Roman" w:eastAsia="Times New Roman" w:hAnsi="Times New Roman"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c"/>
    <w:uiPriority w:val="99"/>
    <w:rsid w:val="00250E5F"/>
    <w:pPr>
      <w:widowControl w:val="0"/>
      <w:spacing w:after="0"/>
      <w:jc w:val="left"/>
    </w:pPr>
    <w:rPr>
      <w:rFonts w:ascii="Times New Roman" w:eastAsia="Times New Roman" w:hAnsi="Times New Roman"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49819">
      <w:bodyDiv w:val="1"/>
      <w:marLeft w:val="0"/>
      <w:marRight w:val="0"/>
      <w:marTop w:val="0"/>
      <w:marBottom w:val="0"/>
      <w:divBdr>
        <w:top w:val="none" w:sz="0" w:space="0" w:color="auto"/>
        <w:left w:val="none" w:sz="0" w:space="0" w:color="auto"/>
        <w:bottom w:val="none" w:sz="0" w:space="0" w:color="auto"/>
        <w:right w:val="none" w:sz="0" w:space="0" w:color="auto"/>
      </w:divBdr>
    </w:div>
    <w:div w:id="124274572">
      <w:bodyDiv w:val="1"/>
      <w:marLeft w:val="0"/>
      <w:marRight w:val="0"/>
      <w:marTop w:val="0"/>
      <w:marBottom w:val="0"/>
      <w:divBdr>
        <w:top w:val="none" w:sz="0" w:space="0" w:color="auto"/>
        <w:left w:val="none" w:sz="0" w:space="0" w:color="auto"/>
        <w:bottom w:val="none" w:sz="0" w:space="0" w:color="auto"/>
        <w:right w:val="none" w:sz="0" w:space="0" w:color="auto"/>
      </w:divBdr>
    </w:div>
    <w:div w:id="153179810">
      <w:bodyDiv w:val="1"/>
      <w:marLeft w:val="0"/>
      <w:marRight w:val="0"/>
      <w:marTop w:val="0"/>
      <w:marBottom w:val="0"/>
      <w:divBdr>
        <w:top w:val="none" w:sz="0" w:space="0" w:color="auto"/>
        <w:left w:val="none" w:sz="0" w:space="0" w:color="auto"/>
        <w:bottom w:val="none" w:sz="0" w:space="0" w:color="auto"/>
        <w:right w:val="none" w:sz="0" w:space="0" w:color="auto"/>
      </w:divBdr>
    </w:div>
    <w:div w:id="174223499">
      <w:bodyDiv w:val="1"/>
      <w:marLeft w:val="0"/>
      <w:marRight w:val="0"/>
      <w:marTop w:val="0"/>
      <w:marBottom w:val="0"/>
      <w:divBdr>
        <w:top w:val="none" w:sz="0" w:space="0" w:color="auto"/>
        <w:left w:val="none" w:sz="0" w:space="0" w:color="auto"/>
        <w:bottom w:val="none" w:sz="0" w:space="0" w:color="auto"/>
        <w:right w:val="none" w:sz="0" w:space="0" w:color="auto"/>
      </w:divBdr>
    </w:div>
    <w:div w:id="512376751">
      <w:bodyDiv w:val="1"/>
      <w:marLeft w:val="0"/>
      <w:marRight w:val="0"/>
      <w:marTop w:val="0"/>
      <w:marBottom w:val="0"/>
      <w:divBdr>
        <w:top w:val="none" w:sz="0" w:space="0" w:color="auto"/>
        <w:left w:val="none" w:sz="0" w:space="0" w:color="auto"/>
        <w:bottom w:val="none" w:sz="0" w:space="0" w:color="auto"/>
        <w:right w:val="none" w:sz="0" w:space="0" w:color="auto"/>
      </w:divBdr>
    </w:div>
    <w:div w:id="516622625">
      <w:bodyDiv w:val="1"/>
      <w:marLeft w:val="0"/>
      <w:marRight w:val="0"/>
      <w:marTop w:val="0"/>
      <w:marBottom w:val="0"/>
      <w:divBdr>
        <w:top w:val="none" w:sz="0" w:space="0" w:color="auto"/>
        <w:left w:val="none" w:sz="0" w:space="0" w:color="auto"/>
        <w:bottom w:val="none" w:sz="0" w:space="0" w:color="auto"/>
        <w:right w:val="none" w:sz="0" w:space="0" w:color="auto"/>
      </w:divBdr>
    </w:div>
    <w:div w:id="580793327">
      <w:bodyDiv w:val="1"/>
      <w:marLeft w:val="0"/>
      <w:marRight w:val="0"/>
      <w:marTop w:val="0"/>
      <w:marBottom w:val="0"/>
      <w:divBdr>
        <w:top w:val="none" w:sz="0" w:space="0" w:color="auto"/>
        <w:left w:val="none" w:sz="0" w:space="0" w:color="auto"/>
        <w:bottom w:val="none" w:sz="0" w:space="0" w:color="auto"/>
        <w:right w:val="none" w:sz="0" w:space="0" w:color="auto"/>
      </w:divBdr>
    </w:div>
    <w:div w:id="1039234588">
      <w:bodyDiv w:val="1"/>
      <w:marLeft w:val="0"/>
      <w:marRight w:val="0"/>
      <w:marTop w:val="0"/>
      <w:marBottom w:val="0"/>
      <w:divBdr>
        <w:top w:val="none" w:sz="0" w:space="0" w:color="auto"/>
        <w:left w:val="none" w:sz="0" w:space="0" w:color="auto"/>
        <w:bottom w:val="none" w:sz="0" w:space="0" w:color="auto"/>
        <w:right w:val="none" w:sz="0" w:space="0" w:color="auto"/>
      </w:divBdr>
    </w:div>
    <w:div w:id="1050346957">
      <w:bodyDiv w:val="1"/>
      <w:marLeft w:val="0"/>
      <w:marRight w:val="0"/>
      <w:marTop w:val="0"/>
      <w:marBottom w:val="0"/>
      <w:divBdr>
        <w:top w:val="none" w:sz="0" w:space="0" w:color="auto"/>
        <w:left w:val="none" w:sz="0" w:space="0" w:color="auto"/>
        <w:bottom w:val="none" w:sz="0" w:space="0" w:color="auto"/>
        <w:right w:val="none" w:sz="0" w:space="0" w:color="auto"/>
      </w:divBdr>
    </w:div>
    <w:div w:id="1051459715">
      <w:bodyDiv w:val="1"/>
      <w:marLeft w:val="0"/>
      <w:marRight w:val="0"/>
      <w:marTop w:val="0"/>
      <w:marBottom w:val="0"/>
      <w:divBdr>
        <w:top w:val="none" w:sz="0" w:space="0" w:color="auto"/>
        <w:left w:val="none" w:sz="0" w:space="0" w:color="auto"/>
        <w:bottom w:val="none" w:sz="0" w:space="0" w:color="auto"/>
        <w:right w:val="none" w:sz="0" w:space="0" w:color="auto"/>
      </w:divBdr>
    </w:div>
    <w:div w:id="1289774642">
      <w:bodyDiv w:val="1"/>
      <w:marLeft w:val="0"/>
      <w:marRight w:val="0"/>
      <w:marTop w:val="0"/>
      <w:marBottom w:val="0"/>
      <w:divBdr>
        <w:top w:val="none" w:sz="0" w:space="0" w:color="auto"/>
        <w:left w:val="none" w:sz="0" w:space="0" w:color="auto"/>
        <w:bottom w:val="none" w:sz="0" w:space="0" w:color="auto"/>
        <w:right w:val="none" w:sz="0" w:space="0" w:color="auto"/>
      </w:divBdr>
    </w:div>
    <w:div w:id="1676304321">
      <w:bodyDiv w:val="1"/>
      <w:marLeft w:val="0"/>
      <w:marRight w:val="0"/>
      <w:marTop w:val="0"/>
      <w:marBottom w:val="0"/>
      <w:divBdr>
        <w:top w:val="none" w:sz="0" w:space="0" w:color="auto"/>
        <w:left w:val="none" w:sz="0" w:space="0" w:color="auto"/>
        <w:bottom w:val="none" w:sz="0" w:space="0" w:color="auto"/>
        <w:right w:val="none" w:sz="0" w:space="0" w:color="auto"/>
      </w:divBdr>
    </w:div>
    <w:div w:id="1761874370">
      <w:bodyDiv w:val="1"/>
      <w:marLeft w:val="0"/>
      <w:marRight w:val="0"/>
      <w:marTop w:val="0"/>
      <w:marBottom w:val="0"/>
      <w:divBdr>
        <w:top w:val="none" w:sz="0" w:space="0" w:color="auto"/>
        <w:left w:val="none" w:sz="0" w:space="0" w:color="auto"/>
        <w:bottom w:val="none" w:sz="0" w:space="0" w:color="auto"/>
        <w:right w:val="none" w:sz="0" w:space="0" w:color="auto"/>
      </w:divBdr>
    </w:div>
    <w:div w:id="1828934005">
      <w:bodyDiv w:val="1"/>
      <w:marLeft w:val="0"/>
      <w:marRight w:val="0"/>
      <w:marTop w:val="0"/>
      <w:marBottom w:val="0"/>
      <w:divBdr>
        <w:top w:val="none" w:sz="0" w:space="0" w:color="auto"/>
        <w:left w:val="none" w:sz="0" w:space="0" w:color="auto"/>
        <w:bottom w:val="none" w:sz="0" w:space="0" w:color="auto"/>
        <w:right w:val="none" w:sz="0" w:space="0" w:color="auto"/>
      </w:divBdr>
    </w:div>
    <w:div w:id="1862543883">
      <w:bodyDiv w:val="1"/>
      <w:marLeft w:val="0"/>
      <w:marRight w:val="0"/>
      <w:marTop w:val="0"/>
      <w:marBottom w:val="0"/>
      <w:divBdr>
        <w:top w:val="none" w:sz="0" w:space="0" w:color="auto"/>
        <w:left w:val="none" w:sz="0" w:space="0" w:color="auto"/>
        <w:bottom w:val="none" w:sz="0" w:space="0" w:color="auto"/>
        <w:right w:val="none" w:sz="0" w:space="0" w:color="auto"/>
      </w:divBdr>
    </w:div>
    <w:div w:id="1959481943">
      <w:bodyDiv w:val="1"/>
      <w:marLeft w:val="0"/>
      <w:marRight w:val="0"/>
      <w:marTop w:val="0"/>
      <w:marBottom w:val="0"/>
      <w:divBdr>
        <w:top w:val="none" w:sz="0" w:space="0" w:color="auto"/>
        <w:left w:val="none" w:sz="0" w:space="0" w:color="auto"/>
        <w:bottom w:val="none" w:sz="0" w:space="0" w:color="auto"/>
        <w:right w:val="none" w:sz="0" w:space="0" w:color="auto"/>
      </w:divBdr>
    </w:div>
    <w:div w:id="1976253556">
      <w:bodyDiv w:val="1"/>
      <w:marLeft w:val="0"/>
      <w:marRight w:val="0"/>
      <w:marTop w:val="0"/>
      <w:marBottom w:val="0"/>
      <w:divBdr>
        <w:top w:val="none" w:sz="0" w:space="0" w:color="auto"/>
        <w:left w:val="none" w:sz="0" w:space="0" w:color="auto"/>
        <w:bottom w:val="none" w:sz="0" w:space="0" w:color="auto"/>
        <w:right w:val="none" w:sz="0" w:space="0" w:color="auto"/>
      </w:divBdr>
    </w:div>
    <w:div w:id="1980109316">
      <w:bodyDiv w:val="1"/>
      <w:marLeft w:val="0"/>
      <w:marRight w:val="0"/>
      <w:marTop w:val="0"/>
      <w:marBottom w:val="0"/>
      <w:divBdr>
        <w:top w:val="none" w:sz="0" w:space="0" w:color="auto"/>
        <w:left w:val="none" w:sz="0" w:space="0" w:color="auto"/>
        <w:bottom w:val="none" w:sz="0" w:space="0" w:color="auto"/>
        <w:right w:val="none" w:sz="0" w:space="0" w:color="auto"/>
      </w:divBdr>
    </w:div>
    <w:div w:id="2099793186">
      <w:bodyDiv w:val="1"/>
      <w:marLeft w:val="0"/>
      <w:marRight w:val="0"/>
      <w:marTop w:val="0"/>
      <w:marBottom w:val="0"/>
      <w:divBdr>
        <w:top w:val="none" w:sz="0" w:space="0" w:color="auto"/>
        <w:left w:val="none" w:sz="0" w:space="0" w:color="auto"/>
        <w:bottom w:val="none" w:sz="0" w:space="0" w:color="auto"/>
        <w:right w:val="none" w:sz="0" w:space="0" w:color="auto"/>
      </w:divBdr>
    </w:div>
    <w:div w:id="212514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consultantplus://offline/ref=CEED01B701C54306992D4DEE8DEA6841D27D8B33A244B1B512CCAF0AFAB1FA2B0EB3C2F38E1D5FB54768372ADC9B9B04E4D937947F72p1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73609-517F-47C7-86EF-7C2DC80B0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2640</TotalTime>
  <Pages>8</Pages>
  <Words>4551</Words>
  <Characters>25941</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RST</Company>
  <LinksUpToDate>false</LinksUpToDate>
  <CharactersWithSpaces>30432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0084</dc:creator>
  <cp:keywords/>
  <dc:description/>
  <cp:lastModifiedBy>Назарова О.А.</cp:lastModifiedBy>
  <cp:revision>110</cp:revision>
  <cp:lastPrinted>2021-12-21T10:55:00Z</cp:lastPrinted>
  <dcterms:created xsi:type="dcterms:W3CDTF">2020-11-06T12:27:00Z</dcterms:created>
  <dcterms:modified xsi:type="dcterms:W3CDTF">2021-12-21T10:56:00Z</dcterms:modified>
</cp:coreProperties>
</file>