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FF0CC" w14:textId="77777777" w:rsidR="0081660A" w:rsidRPr="00766C29" w:rsidRDefault="0081660A" w:rsidP="00DA2CD9">
      <w:pPr>
        <w:tabs>
          <w:tab w:val="left" w:pos="2694"/>
          <w:tab w:val="left" w:pos="8789"/>
        </w:tabs>
        <w:jc w:val="right"/>
        <w:rPr>
          <w:b/>
          <w:sz w:val="22"/>
          <w:szCs w:val="22"/>
        </w:rPr>
      </w:pPr>
      <w:r w:rsidRPr="00766C29">
        <w:rPr>
          <w:b/>
          <w:sz w:val="22"/>
          <w:szCs w:val="22"/>
        </w:rPr>
        <w:t>Утверждаю</w:t>
      </w:r>
    </w:p>
    <w:p w14:paraId="41158A44" w14:textId="77777777" w:rsidR="0081660A" w:rsidRPr="00766C29" w:rsidRDefault="0081660A" w:rsidP="00DA2CD9">
      <w:pPr>
        <w:tabs>
          <w:tab w:val="left" w:pos="8789"/>
        </w:tabs>
        <w:jc w:val="right"/>
        <w:rPr>
          <w:sz w:val="22"/>
          <w:szCs w:val="22"/>
        </w:rPr>
      </w:pPr>
      <w:r w:rsidRPr="00766C29">
        <w:rPr>
          <w:sz w:val="22"/>
          <w:szCs w:val="22"/>
        </w:rPr>
        <w:t>Председатель Правления</w:t>
      </w:r>
    </w:p>
    <w:p w14:paraId="72662978" w14:textId="77777777" w:rsidR="0081660A" w:rsidRPr="00766C29" w:rsidRDefault="0081660A" w:rsidP="00DA2CD9">
      <w:pPr>
        <w:tabs>
          <w:tab w:val="left" w:pos="8789"/>
        </w:tabs>
        <w:jc w:val="right"/>
        <w:rPr>
          <w:sz w:val="22"/>
          <w:szCs w:val="22"/>
        </w:rPr>
      </w:pPr>
      <w:r w:rsidRPr="00766C29">
        <w:rPr>
          <w:sz w:val="22"/>
          <w:szCs w:val="22"/>
        </w:rPr>
        <w:t>Департамента энергетики и тарифов</w:t>
      </w:r>
    </w:p>
    <w:p w14:paraId="5451C778" w14:textId="77777777" w:rsidR="0081660A" w:rsidRPr="00766C29" w:rsidRDefault="0081660A" w:rsidP="00DA2CD9">
      <w:pPr>
        <w:tabs>
          <w:tab w:val="left" w:pos="8789"/>
        </w:tabs>
        <w:jc w:val="right"/>
        <w:rPr>
          <w:sz w:val="22"/>
          <w:szCs w:val="22"/>
        </w:rPr>
      </w:pPr>
      <w:r w:rsidRPr="00766C29">
        <w:rPr>
          <w:sz w:val="22"/>
          <w:szCs w:val="22"/>
        </w:rPr>
        <w:t>Ивановской области</w:t>
      </w:r>
    </w:p>
    <w:p w14:paraId="605E2F91" w14:textId="77777777" w:rsidR="0081660A" w:rsidRPr="00766C29" w:rsidRDefault="0081660A" w:rsidP="00DA2CD9">
      <w:pPr>
        <w:tabs>
          <w:tab w:val="left" w:pos="8789"/>
        </w:tabs>
        <w:jc w:val="right"/>
        <w:rPr>
          <w:sz w:val="22"/>
          <w:szCs w:val="22"/>
        </w:rPr>
      </w:pPr>
    </w:p>
    <w:p w14:paraId="1853B9E0" w14:textId="77777777" w:rsidR="0081660A" w:rsidRPr="00554366" w:rsidRDefault="0081660A" w:rsidP="00DA2CD9">
      <w:pPr>
        <w:tabs>
          <w:tab w:val="left" w:pos="8789"/>
        </w:tabs>
        <w:jc w:val="right"/>
        <w:rPr>
          <w:b/>
          <w:sz w:val="22"/>
          <w:szCs w:val="22"/>
        </w:rPr>
      </w:pPr>
      <w:r w:rsidRPr="00554366">
        <w:rPr>
          <w:sz w:val="22"/>
          <w:szCs w:val="22"/>
        </w:rPr>
        <w:t>______________________Е.Н. Морева</w:t>
      </w:r>
    </w:p>
    <w:p w14:paraId="5F0E84F0" w14:textId="77777777" w:rsidR="0081660A" w:rsidRPr="00554366" w:rsidRDefault="0081660A" w:rsidP="00DA2CD9">
      <w:pPr>
        <w:tabs>
          <w:tab w:val="left" w:pos="8789"/>
        </w:tabs>
        <w:jc w:val="center"/>
        <w:rPr>
          <w:b/>
          <w:sz w:val="22"/>
          <w:szCs w:val="22"/>
          <w:u w:val="single"/>
        </w:rPr>
      </w:pPr>
    </w:p>
    <w:p w14:paraId="4B0EDEBA" w14:textId="02D08BC7" w:rsidR="0081660A" w:rsidRPr="00554366" w:rsidRDefault="0081660A" w:rsidP="00DA2CD9">
      <w:pPr>
        <w:tabs>
          <w:tab w:val="left" w:pos="8789"/>
        </w:tabs>
        <w:jc w:val="center"/>
        <w:rPr>
          <w:b/>
          <w:sz w:val="22"/>
          <w:szCs w:val="22"/>
          <w:u w:val="single"/>
        </w:rPr>
      </w:pPr>
      <w:r w:rsidRPr="00554366">
        <w:rPr>
          <w:b/>
          <w:sz w:val="22"/>
          <w:szCs w:val="22"/>
          <w:u w:val="single"/>
        </w:rPr>
        <w:t xml:space="preserve">П Р О Т О К О Л № </w:t>
      </w:r>
      <w:r w:rsidR="00554366" w:rsidRPr="00554366">
        <w:rPr>
          <w:b/>
          <w:sz w:val="22"/>
          <w:szCs w:val="22"/>
          <w:u w:val="single"/>
        </w:rPr>
        <w:t>44(4)</w:t>
      </w:r>
    </w:p>
    <w:p w14:paraId="148362DC" w14:textId="77777777" w:rsidR="0081660A" w:rsidRPr="00554366" w:rsidRDefault="0081660A" w:rsidP="00DA2CD9">
      <w:pPr>
        <w:tabs>
          <w:tab w:val="left" w:pos="8789"/>
        </w:tabs>
        <w:jc w:val="center"/>
        <w:rPr>
          <w:b/>
          <w:sz w:val="22"/>
          <w:szCs w:val="22"/>
          <w:u w:val="single"/>
        </w:rPr>
      </w:pPr>
    </w:p>
    <w:p w14:paraId="0F744ADF" w14:textId="77777777" w:rsidR="0081660A" w:rsidRPr="00554366" w:rsidRDefault="0081660A" w:rsidP="00DA2CD9">
      <w:pPr>
        <w:tabs>
          <w:tab w:val="left" w:pos="8789"/>
        </w:tabs>
        <w:jc w:val="center"/>
        <w:rPr>
          <w:sz w:val="22"/>
          <w:szCs w:val="22"/>
        </w:rPr>
      </w:pPr>
      <w:r w:rsidRPr="00554366">
        <w:rPr>
          <w:sz w:val="22"/>
          <w:szCs w:val="22"/>
        </w:rPr>
        <w:t>заседания Правления Департамента энергетики и тарифов Ивановской области</w:t>
      </w:r>
    </w:p>
    <w:p w14:paraId="7B690248" w14:textId="77777777" w:rsidR="0081660A" w:rsidRPr="00554366" w:rsidRDefault="0081660A" w:rsidP="00DA2CD9">
      <w:pPr>
        <w:tabs>
          <w:tab w:val="left" w:pos="8789"/>
        </w:tabs>
        <w:jc w:val="center"/>
        <w:rPr>
          <w:sz w:val="22"/>
          <w:szCs w:val="22"/>
        </w:rPr>
      </w:pPr>
    </w:p>
    <w:p w14:paraId="068989FB" w14:textId="65CC203D" w:rsidR="0081660A" w:rsidRPr="00554366" w:rsidRDefault="00554366" w:rsidP="00DA2CD9">
      <w:pPr>
        <w:rPr>
          <w:sz w:val="22"/>
          <w:szCs w:val="22"/>
        </w:rPr>
      </w:pPr>
      <w:r w:rsidRPr="00554366">
        <w:rPr>
          <w:sz w:val="22"/>
          <w:szCs w:val="22"/>
        </w:rPr>
        <w:t>22</w:t>
      </w:r>
      <w:r w:rsidR="0081660A" w:rsidRPr="00554366">
        <w:rPr>
          <w:sz w:val="22"/>
          <w:szCs w:val="22"/>
        </w:rPr>
        <w:t xml:space="preserve"> ноября 202</w:t>
      </w:r>
      <w:r w:rsidR="00A83CC3" w:rsidRPr="00554366">
        <w:rPr>
          <w:sz w:val="22"/>
          <w:szCs w:val="22"/>
        </w:rPr>
        <w:t>4</w:t>
      </w:r>
      <w:r w:rsidR="0081660A" w:rsidRPr="00554366">
        <w:rPr>
          <w:sz w:val="22"/>
          <w:szCs w:val="22"/>
        </w:rPr>
        <w:t xml:space="preserve"> г.</w:t>
      </w:r>
      <w:r w:rsidR="0081660A" w:rsidRPr="00554366">
        <w:rPr>
          <w:sz w:val="22"/>
          <w:szCs w:val="22"/>
        </w:rPr>
        <w:tab/>
        <w:t xml:space="preserve"> </w:t>
      </w:r>
      <w:r w:rsidR="0081660A" w:rsidRPr="00554366">
        <w:rPr>
          <w:sz w:val="22"/>
          <w:szCs w:val="22"/>
        </w:rPr>
        <w:tab/>
      </w:r>
      <w:r w:rsidR="0081660A" w:rsidRPr="00554366">
        <w:rPr>
          <w:sz w:val="22"/>
          <w:szCs w:val="22"/>
        </w:rPr>
        <w:tab/>
      </w:r>
      <w:r w:rsidR="0081660A" w:rsidRPr="00554366">
        <w:rPr>
          <w:sz w:val="22"/>
          <w:szCs w:val="22"/>
        </w:rPr>
        <w:tab/>
      </w:r>
      <w:r w:rsidR="0081660A" w:rsidRPr="00554366">
        <w:rPr>
          <w:sz w:val="22"/>
          <w:szCs w:val="22"/>
        </w:rPr>
        <w:tab/>
      </w:r>
      <w:r w:rsidR="0081660A" w:rsidRPr="00554366">
        <w:rPr>
          <w:sz w:val="22"/>
          <w:szCs w:val="22"/>
        </w:rPr>
        <w:tab/>
      </w:r>
      <w:r w:rsidR="0081660A" w:rsidRPr="00554366">
        <w:rPr>
          <w:sz w:val="22"/>
          <w:szCs w:val="22"/>
        </w:rPr>
        <w:tab/>
      </w:r>
      <w:r w:rsidR="0081660A" w:rsidRPr="00554366">
        <w:rPr>
          <w:sz w:val="22"/>
          <w:szCs w:val="22"/>
        </w:rPr>
        <w:tab/>
        <w:t xml:space="preserve">                               г. Иваново</w:t>
      </w:r>
    </w:p>
    <w:p w14:paraId="657F2564" w14:textId="77777777" w:rsidR="0081660A" w:rsidRPr="00554366" w:rsidRDefault="0081660A" w:rsidP="00DA2CD9">
      <w:pPr>
        <w:tabs>
          <w:tab w:val="left" w:pos="8789"/>
        </w:tabs>
        <w:jc w:val="center"/>
        <w:rPr>
          <w:sz w:val="22"/>
          <w:szCs w:val="22"/>
        </w:rPr>
      </w:pPr>
    </w:p>
    <w:p w14:paraId="59CA6AE8" w14:textId="77777777" w:rsidR="0081660A" w:rsidRPr="00554366" w:rsidRDefault="0081660A" w:rsidP="00DA2CD9">
      <w:pPr>
        <w:pStyle w:val="24"/>
        <w:widowControl/>
        <w:ind w:firstLine="0"/>
        <w:rPr>
          <w:sz w:val="22"/>
          <w:szCs w:val="22"/>
        </w:rPr>
      </w:pPr>
      <w:r w:rsidRPr="00554366">
        <w:rPr>
          <w:sz w:val="22"/>
          <w:szCs w:val="22"/>
        </w:rPr>
        <w:t>Присутствовали:</w:t>
      </w:r>
    </w:p>
    <w:p w14:paraId="4574309B" w14:textId="77777777" w:rsidR="0081660A" w:rsidRPr="00554366" w:rsidRDefault="0081660A" w:rsidP="00DA2CD9">
      <w:pPr>
        <w:pStyle w:val="24"/>
        <w:widowControl/>
        <w:ind w:firstLine="0"/>
        <w:rPr>
          <w:sz w:val="22"/>
          <w:szCs w:val="22"/>
        </w:rPr>
      </w:pPr>
      <w:r w:rsidRPr="00554366">
        <w:rPr>
          <w:sz w:val="22"/>
          <w:szCs w:val="22"/>
        </w:rPr>
        <w:t>Председатель Правления: Морева Е.Н.</w:t>
      </w:r>
    </w:p>
    <w:p w14:paraId="15797A7C" w14:textId="77777777" w:rsidR="0081660A" w:rsidRPr="00554366" w:rsidRDefault="0081660A" w:rsidP="00DA2CD9">
      <w:pPr>
        <w:pStyle w:val="24"/>
        <w:widowControl/>
        <w:ind w:firstLine="0"/>
        <w:rPr>
          <w:sz w:val="22"/>
          <w:szCs w:val="22"/>
        </w:rPr>
      </w:pPr>
      <w:r w:rsidRPr="00554366">
        <w:rPr>
          <w:sz w:val="22"/>
          <w:szCs w:val="22"/>
        </w:rPr>
        <w:t>Члены Правления: Бугаева С.Е., Гущина Н.Б., Турбачкина Е.В., Коннова Е.А., Агапова О.П., Полозов И.Г.</w:t>
      </w:r>
    </w:p>
    <w:p w14:paraId="705CA828" w14:textId="3D2DFCC3" w:rsidR="0081660A" w:rsidRPr="00554366" w:rsidRDefault="0081660A" w:rsidP="00DA2CD9">
      <w:pPr>
        <w:pStyle w:val="24"/>
        <w:widowControl/>
        <w:ind w:firstLine="0"/>
        <w:rPr>
          <w:sz w:val="22"/>
          <w:szCs w:val="22"/>
        </w:rPr>
      </w:pPr>
      <w:r w:rsidRPr="00554366">
        <w:rPr>
          <w:sz w:val="22"/>
          <w:szCs w:val="22"/>
        </w:rPr>
        <w:t xml:space="preserve">Ответственный секретарь правления: </w:t>
      </w:r>
      <w:r w:rsidR="00A83CC3" w:rsidRPr="00554366">
        <w:rPr>
          <w:sz w:val="22"/>
          <w:szCs w:val="22"/>
        </w:rPr>
        <w:t>Карика О.Н.</w:t>
      </w:r>
    </w:p>
    <w:p w14:paraId="2DAC00D1" w14:textId="454F2E89" w:rsidR="0081660A" w:rsidRPr="00554366" w:rsidRDefault="0081660A" w:rsidP="00DA2CD9">
      <w:pPr>
        <w:pStyle w:val="24"/>
        <w:widowControl/>
        <w:ind w:firstLine="0"/>
        <w:rPr>
          <w:sz w:val="22"/>
          <w:szCs w:val="22"/>
        </w:rPr>
      </w:pPr>
      <w:r w:rsidRPr="00554366">
        <w:rPr>
          <w:sz w:val="22"/>
          <w:szCs w:val="22"/>
        </w:rPr>
        <w:t xml:space="preserve">От Департамента энергетики и тарифов Ивановской области: </w:t>
      </w:r>
      <w:r w:rsidR="00797FAB" w:rsidRPr="00554366">
        <w:rPr>
          <w:sz w:val="22"/>
          <w:szCs w:val="22"/>
        </w:rPr>
        <w:t>Зуева Е.В.</w:t>
      </w:r>
    </w:p>
    <w:p w14:paraId="3AA81630" w14:textId="77777777" w:rsidR="0081660A" w:rsidRPr="00554366" w:rsidRDefault="0081660A" w:rsidP="00DA2CD9">
      <w:pPr>
        <w:pStyle w:val="24"/>
        <w:widowControl/>
        <w:ind w:firstLine="0"/>
        <w:rPr>
          <w:sz w:val="22"/>
          <w:szCs w:val="22"/>
        </w:rPr>
      </w:pPr>
      <w:r w:rsidRPr="00554366">
        <w:rPr>
          <w:sz w:val="22"/>
          <w:szCs w:val="22"/>
        </w:rPr>
        <w:t>От УФАС по Ивановской области: Виднова З.Б.</w:t>
      </w:r>
    </w:p>
    <w:p w14:paraId="3B8E0F7A" w14:textId="77777777" w:rsidR="00755D76" w:rsidRPr="00554366" w:rsidRDefault="00755D76" w:rsidP="00DA2CD9">
      <w:pPr>
        <w:jc w:val="center"/>
        <w:rPr>
          <w:b/>
          <w:sz w:val="22"/>
          <w:szCs w:val="22"/>
        </w:rPr>
      </w:pPr>
    </w:p>
    <w:p w14:paraId="2F565CD1" w14:textId="77777777" w:rsidR="00A4036A" w:rsidRPr="00554366" w:rsidRDefault="00A4036A" w:rsidP="00DA2CD9">
      <w:pPr>
        <w:jc w:val="center"/>
        <w:rPr>
          <w:b/>
          <w:color w:val="FF0000"/>
          <w:sz w:val="22"/>
          <w:szCs w:val="22"/>
        </w:rPr>
      </w:pPr>
    </w:p>
    <w:p w14:paraId="53F49D67" w14:textId="77777777" w:rsidR="00F3495C" w:rsidRPr="00554366" w:rsidRDefault="00F3495C" w:rsidP="00DA2CD9">
      <w:pPr>
        <w:jc w:val="center"/>
        <w:rPr>
          <w:b/>
          <w:sz w:val="22"/>
          <w:szCs w:val="22"/>
        </w:rPr>
      </w:pPr>
      <w:r w:rsidRPr="00554366">
        <w:rPr>
          <w:b/>
          <w:sz w:val="22"/>
          <w:szCs w:val="22"/>
        </w:rPr>
        <w:t>П О В Е С Т К А:</w:t>
      </w:r>
    </w:p>
    <w:p w14:paraId="6A474957" w14:textId="77777777" w:rsidR="00A363F5" w:rsidRPr="00554366" w:rsidRDefault="00A363F5" w:rsidP="00DA2CD9">
      <w:pPr>
        <w:jc w:val="center"/>
        <w:rPr>
          <w:b/>
          <w:color w:val="FF0000"/>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554366" w:rsidRPr="00554366" w14:paraId="7DC21EC2" w14:textId="77777777" w:rsidTr="00B016E9">
        <w:trPr>
          <w:trHeight w:val="401"/>
        </w:trPr>
        <w:tc>
          <w:tcPr>
            <w:tcW w:w="567" w:type="dxa"/>
            <w:vAlign w:val="center"/>
          </w:tcPr>
          <w:p w14:paraId="4BD56F0A" w14:textId="77777777" w:rsidR="00B016E9" w:rsidRPr="00554366" w:rsidRDefault="00B016E9" w:rsidP="00DA2CD9">
            <w:pPr>
              <w:jc w:val="center"/>
              <w:rPr>
                <w:b/>
                <w:sz w:val="22"/>
                <w:szCs w:val="22"/>
              </w:rPr>
            </w:pPr>
            <w:r w:rsidRPr="00554366">
              <w:rPr>
                <w:b/>
                <w:sz w:val="22"/>
                <w:szCs w:val="22"/>
              </w:rPr>
              <w:t>№ п/п</w:t>
            </w:r>
          </w:p>
        </w:tc>
        <w:tc>
          <w:tcPr>
            <w:tcW w:w="9639" w:type="dxa"/>
            <w:vAlign w:val="center"/>
          </w:tcPr>
          <w:p w14:paraId="5611A3B4" w14:textId="77777777" w:rsidR="00B016E9" w:rsidRPr="00554366" w:rsidRDefault="00B016E9" w:rsidP="00DA2CD9">
            <w:pPr>
              <w:tabs>
                <w:tab w:val="left" w:pos="1276"/>
              </w:tabs>
              <w:autoSpaceDE w:val="0"/>
              <w:autoSpaceDN w:val="0"/>
              <w:adjustRightInd w:val="0"/>
              <w:jc w:val="center"/>
              <w:rPr>
                <w:b/>
                <w:bCs/>
                <w:sz w:val="22"/>
                <w:szCs w:val="22"/>
              </w:rPr>
            </w:pPr>
            <w:r w:rsidRPr="00554366">
              <w:rPr>
                <w:b/>
                <w:bCs/>
                <w:sz w:val="22"/>
                <w:szCs w:val="22"/>
              </w:rPr>
              <w:t>Наименование вопроса</w:t>
            </w:r>
          </w:p>
        </w:tc>
      </w:tr>
      <w:tr w:rsidR="00554366" w:rsidRPr="00554366" w14:paraId="015206C5" w14:textId="77777777" w:rsidTr="001C798C">
        <w:trPr>
          <w:trHeight w:val="401"/>
        </w:trPr>
        <w:tc>
          <w:tcPr>
            <w:tcW w:w="567" w:type="dxa"/>
            <w:vAlign w:val="center"/>
          </w:tcPr>
          <w:p w14:paraId="3454661E" w14:textId="75CD8AB6" w:rsidR="001C4F66" w:rsidRPr="00554366" w:rsidRDefault="00A76551" w:rsidP="00DA2CD9">
            <w:pPr>
              <w:jc w:val="center"/>
              <w:rPr>
                <w:b/>
                <w:sz w:val="22"/>
                <w:szCs w:val="22"/>
              </w:rPr>
            </w:pPr>
            <w:r w:rsidRPr="00554366">
              <w:rPr>
                <w:b/>
                <w:sz w:val="22"/>
                <w:szCs w:val="22"/>
              </w:rPr>
              <w:t>1</w:t>
            </w:r>
            <w:r w:rsidR="001C4F66" w:rsidRPr="00554366">
              <w:rPr>
                <w:b/>
                <w:sz w:val="22"/>
                <w:szCs w:val="22"/>
              </w:rPr>
              <w:t>.</w:t>
            </w:r>
          </w:p>
        </w:tc>
        <w:tc>
          <w:tcPr>
            <w:tcW w:w="9639" w:type="dxa"/>
            <w:vAlign w:val="center"/>
          </w:tcPr>
          <w:p w14:paraId="24DE5AE7" w14:textId="0E364410" w:rsidR="001C4F66" w:rsidRPr="00554366" w:rsidRDefault="00554366" w:rsidP="00DA2CD9">
            <w:pPr>
              <w:autoSpaceDE w:val="0"/>
              <w:autoSpaceDN w:val="0"/>
              <w:adjustRightInd w:val="0"/>
              <w:jc w:val="both"/>
              <w:rPr>
                <w:bCs/>
                <w:sz w:val="22"/>
                <w:szCs w:val="22"/>
              </w:rPr>
            </w:pPr>
            <w:r w:rsidRPr="00554366">
              <w:rPr>
                <w:rStyle w:val="af7"/>
                <w:rFonts w:eastAsia="Calibri"/>
                <w:sz w:val="22"/>
                <w:szCs w:val="22"/>
                <w:bdr w:val="none" w:sz="0" w:space="0" w:color="auto" w:frame="1"/>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«ИБК» (Южский район) на 2025–2029 годы</w:t>
            </w:r>
          </w:p>
        </w:tc>
      </w:tr>
      <w:tr w:rsidR="00554366" w:rsidRPr="00554366" w14:paraId="3B838986" w14:textId="77777777" w:rsidTr="001C798C">
        <w:trPr>
          <w:trHeight w:val="401"/>
        </w:trPr>
        <w:tc>
          <w:tcPr>
            <w:tcW w:w="567" w:type="dxa"/>
            <w:vAlign w:val="center"/>
          </w:tcPr>
          <w:p w14:paraId="43EC57FC" w14:textId="0B298DA9" w:rsidR="00D26E71" w:rsidRPr="00554366" w:rsidRDefault="00D26E71" w:rsidP="00DA2CD9">
            <w:pPr>
              <w:jc w:val="center"/>
              <w:rPr>
                <w:b/>
                <w:sz w:val="22"/>
                <w:szCs w:val="22"/>
              </w:rPr>
            </w:pPr>
            <w:r w:rsidRPr="00554366">
              <w:rPr>
                <w:b/>
                <w:sz w:val="22"/>
                <w:szCs w:val="22"/>
              </w:rPr>
              <w:t>2.</w:t>
            </w:r>
          </w:p>
        </w:tc>
        <w:tc>
          <w:tcPr>
            <w:tcW w:w="9639" w:type="dxa"/>
            <w:vAlign w:val="center"/>
          </w:tcPr>
          <w:p w14:paraId="5CF84532" w14:textId="211C71F4" w:rsidR="00D26E71" w:rsidRPr="00554366" w:rsidRDefault="00554366" w:rsidP="00DA2CD9">
            <w:pPr>
              <w:autoSpaceDE w:val="0"/>
              <w:autoSpaceDN w:val="0"/>
              <w:adjustRightInd w:val="0"/>
              <w:jc w:val="both"/>
              <w:rPr>
                <w:rStyle w:val="af7"/>
                <w:rFonts w:eastAsia="Calibri"/>
                <w:sz w:val="22"/>
                <w:szCs w:val="22"/>
                <w:bdr w:val="none" w:sz="0" w:space="0" w:color="auto" w:frame="1"/>
              </w:rPr>
            </w:pPr>
            <w:r w:rsidRPr="00554366">
              <w:rPr>
                <w:rStyle w:val="af7"/>
                <w:rFonts w:eastAsia="Calibri"/>
                <w:sz w:val="22"/>
                <w:szCs w:val="22"/>
                <w:bdr w:val="none" w:sz="0" w:space="0" w:color="auto" w:frame="1"/>
              </w:rPr>
              <w:t>О корректировке долгосрочных тарифов на тепловую энергию для потребителей ООО «Тепло Людям. Южа» (Южский район) на 2025–2029 годы»</w:t>
            </w:r>
          </w:p>
        </w:tc>
      </w:tr>
    </w:tbl>
    <w:p w14:paraId="56BDE548" w14:textId="09160A8C" w:rsidR="004C6880" w:rsidRPr="00554366" w:rsidRDefault="00FF3699" w:rsidP="00DA2CD9">
      <w:pPr>
        <w:pStyle w:val="ConsNormal"/>
        <w:tabs>
          <w:tab w:val="left" w:pos="851"/>
          <w:tab w:val="left" w:pos="993"/>
          <w:tab w:val="left" w:pos="4020"/>
        </w:tabs>
        <w:ind w:firstLine="567"/>
        <w:jc w:val="both"/>
        <w:rPr>
          <w:rFonts w:ascii="Times New Roman" w:hAnsi="Times New Roman"/>
          <w:b/>
          <w:color w:val="FF0000"/>
          <w:sz w:val="22"/>
          <w:szCs w:val="22"/>
        </w:rPr>
      </w:pPr>
      <w:r w:rsidRPr="00554366">
        <w:rPr>
          <w:rFonts w:ascii="Times New Roman" w:hAnsi="Times New Roman"/>
          <w:b/>
          <w:color w:val="FF0000"/>
          <w:sz w:val="22"/>
          <w:szCs w:val="22"/>
        </w:rPr>
        <w:t xml:space="preserve"> </w:t>
      </w:r>
    </w:p>
    <w:p w14:paraId="64E14382" w14:textId="35CD5F7B" w:rsidR="00325F43" w:rsidRPr="00554366" w:rsidRDefault="00325F43" w:rsidP="00325F43">
      <w:pPr>
        <w:pStyle w:val="24"/>
        <w:widowControl/>
        <w:numPr>
          <w:ilvl w:val="0"/>
          <w:numId w:val="33"/>
        </w:numPr>
        <w:tabs>
          <w:tab w:val="left" w:pos="851"/>
        </w:tabs>
        <w:ind w:left="0" w:firstLine="660"/>
        <w:rPr>
          <w:b/>
          <w:bCs/>
          <w:sz w:val="22"/>
          <w:szCs w:val="22"/>
        </w:rPr>
      </w:pPr>
      <w:r w:rsidRPr="00554366">
        <w:rPr>
          <w:b/>
          <w:sz w:val="22"/>
          <w:szCs w:val="22"/>
        </w:rPr>
        <w:t xml:space="preserve"> СЛУШАЛИ</w:t>
      </w:r>
      <w:proofErr w:type="gramStart"/>
      <w:r w:rsidRPr="00554366">
        <w:rPr>
          <w:b/>
          <w:sz w:val="22"/>
          <w:szCs w:val="22"/>
        </w:rPr>
        <w:t>:</w:t>
      </w:r>
      <w:r w:rsidRPr="00554366">
        <w:rPr>
          <w:b/>
          <w:bCs/>
          <w:sz w:val="22"/>
          <w:szCs w:val="22"/>
        </w:rPr>
        <w:t xml:space="preserve"> </w:t>
      </w:r>
      <w:r w:rsidR="00554366" w:rsidRPr="00554366">
        <w:rPr>
          <w:rStyle w:val="af7"/>
          <w:rFonts w:eastAsia="Calibri"/>
          <w:sz w:val="22"/>
          <w:szCs w:val="22"/>
          <w:bdr w:val="none" w:sz="0" w:space="0" w:color="auto" w:frame="1"/>
        </w:rPr>
        <w:t>Об</w:t>
      </w:r>
      <w:proofErr w:type="gramEnd"/>
      <w:r w:rsidR="00554366" w:rsidRPr="00554366">
        <w:rPr>
          <w:rStyle w:val="af7"/>
          <w:rFonts w:eastAsia="Calibri"/>
          <w:sz w:val="22"/>
          <w:szCs w:val="22"/>
          <w:bdr w:val="none" w:sz="0" w:space="0" w:color="auto" w:frame="1"/>
        </w:rPr>
        <w:t xml:space="preserve">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«ИБК» (Южский район) на 2025–2029 годы </w:t>
      </w:r>
      <w:r w:rsidRPr="00554366">
        <w:rPr>
          <w:b/>
          <w:bCs/>
          <w:sz w:val="22"/>
          <w:szCs w:val="22"/>
        </w:rPr>
        <w:t>(</w:t>
      </w:r>
      <w:r w:rsidR="00554366" w:rsidRPr="00554366">
        <w:rPr>
          <w:b/>
          <w:sz w:val="22"/>
          <w:szCs w:val="22"/>
        </w:rPr>
        <w:t>Зуева</w:t>
      </w:r>
      <w:r w:rsidRPr="00554366">
        <w:rPr>
          <w:b/>
          <w:sz w:val="22"/>
          <w:szCs w:val="22"/>
        </w:rPr>
        <w:t xml:space="preserve"> Е.В.)</w:t>
      </w:r>
      <w:r w:rsidRPr="00554366">
        <w:rPr>
          <w:b/>
          <w:bCs/>
          <w:sz w:val="22"/>
          <w:szCs w:val="22"/>
        </w:rPr>
        <w:t>.</w:t>
      </w:r>
    </w:p>
    <w:p w14:paraId="4E5222C2" w14:textId="3608C68F" w:rsidR="00C77E2C" w:rsidRPr="00E91093" w:rsidRDefault="00AF59AA" w:rsidP="00C77E2C">
      <w:pPr>
        <w:pStyle w:val="24"/>
        <w:widowControl/>
        <w:ind w:firstLine="709"/>
        <w:rPr>
          <w:sz w:val="22"/>
          <w:szCs w:val="22"/>
        </w:rPr>
      </w:pPr>
      <w:r w:rsidRPr="00E91093">
        <w:rPr>
          <w:sz w:val="22"/>
          <w:szCs w:val="22"/>
        </w:rPr>
        <w:t xml:space="preserve">В связи с обращением </w:t>
      </w:r>
      <w:r w:rsidR="00E91093" w:rsidRPr="00E91093">
        <w:rPr>
          <w:sz w:val="22"/>
          <w:szCs w:val="22"/>
        </w:rPr>
        <w:t>ООО «ИБК» (Южский район)</w:t>
      </w:r>
      <w:r w:rsidR="00C77E2C" w:rsidRPr="00E91093">
        <w:rPr>
          <w:rStyle w:val="af7"/>
          <w:rFonts w:eastAsia="Calibri"/>
          <w:sz w:val="22"/>
          <w:szCs w:val="22"/>
          <w:bdr w:val="none" w:sz="0" w:space="0" w:color="auto" w:frame="1"/>
        </w:rPr>
        <w:t xml:space="preserve"> </w:t>
      </w:r>
      <w:r w:rsidRPr="00E91093">
        <w:rPr>
          <w:sz w:val="22"/>
          <w:szCs w:val="22"/>
        </w:rPr>
        <w:t xml:space="preserve">приказом Департамента энергетики и тарифов Ивановской области </w:t>
      </w:r>
      <w:r w:rsidR="00E91093" w:rsidRPr="00E91093">
        <w:rPr>
          <w:sz w:val="22"/>
          <w:szCs w:val="22"/>
        </w:rPr>
        <w:t>от 04.06.2024 № 35-у</w:t>
      </w:r>
      <w:r w:rsidRPr="00E91093">
        <w:rPr>
          <w:sz w:val="22"/>
          <w:szCs w:val="22"/>
        </w:rPr>
        <w:t xml:space="preserve"> открыто дело</w:t>
      </w:r>
      <w:r w:rsidR="007470B6" w:rsidRPr="00E91093">
        <w:rPr>
          <w:sz w:val="22"/>
          <w:szCs w:val="22"/>
        </w:rPr>
        <w:t xml:space="preserve"> </w:t>
      </w:r>
      <w:r w:rsidR="00E91093" w:rsidRPr="00E91093">
        <w:rPr>
          <w:sz w:val="22"/>
          <w:szCs w:val="22"/>
        </w:rPr>
        <w:t>об установлении долгосрочных тарифов на тепловую энергию для потребителей ООО «ИБК» на 2025–2029 годы</w:t>
      </w:r>
      <w:r w:rsidRPr="00E91093">
        <w:rPr>
          <w:sz w:val="22"/>
          <w:szCs w:val="22"/>
        </w:rPr>
        <w:t xml:space="preserve">. </w:t>
      </w:r>
    </w:p>
    <w:p w14:paraId="546DC423" w14:textId="3941F82E" w:rsidR="00AF59AA" w:rsidRPr="00E91093" w:rsidRDefault="007470B6" w:rsidP="00AF59AA">
      <w:pPr>
        <w:pStyle w:val="24"/>
        <w:widowControl/>
        <w:ind w:firstLine="709"/>
        <w:rPr>
          <w:sz w:val="22"/>
          <w:szCs w:val="22"/>
        </w:rPr>
      </w:pPr>
      <w:r w:rsidRPr="00E91093">
        <w:rPr>
          <w:sz w:val="22"/>
          <w:szCs w:val="22"/>
        </w:rPr>
        <w:t>Методом регулирования</w:t>
      </w:r>
      <w:r w:rsidR="00AF59AA" w:rsidRPr="00E91093">
        <w:rPr>
          <w:sz w:val="22"/>
          <w:szCs w:val="22"/>
        </w:rPr>
        <w:t xml:space="preserve"> тарифов на </w:t>
      </w:r>
      <w:r w:rsidR="00E91093" w:rsidRPr="00E91093">
        <w:rPr>
          <w:sz w:val="22"/>
          <w:szCs w:val="22"/>
        </w:rPr>
        <w:t>тепловую энергию</w:t>
      </w:r>
      <w:r w:rsidR="00AF59AA" w:rsidRPr="00E91093">
        <w:rPr>
          <w:sz w:val="22"/>
          <w:szCs w:val="22"/>
        </w:rPr>
        <w:t xml:space="preserve"> </w:t>
      </w:r>
      <w:r w:rsidRPr="00E91093">
        <w:rPr>
          <w:sz w:val="22"/>
          <w:szCs w:val="22"/>
        </w:rPr>
        <w:t>указанным приказом</w:t>
      </w:r>
      <w:r w:rsidR="00C77E2C" w:rsidRPr="00E91093">
        <w:rPr>
          <w:sz w:val="22"/>
          <w:szCs w:val="22"/>
        </w:rPr>
        <w:t xml:space="preserve"> </w:t>
      </w:r>
      <w:r w:rsidR="00AF59AA" w:rsidRPr="00E91093">
        <w:rPr>
          <w:sz w:val="22"/>
          <w:szCs w:val="22"/>
        </w:rPr>
        <w:t xml:space="preserve">определен </w:t>
      </w:r>
      <w:r w:rsidR="00C77E2C" w:rsidRPr="00E91093">
        <w:rPr>
          <w:sz w:val="22"/>
          <w:szCs w:val="22"/>
        </w:rPr>
        <w:t xml:space="preserve">метод </w:t>
      </w:r>
      <w:r w:rsidR="00E91093" w:rsidRPr="00E91093">
        <w:rPr>
          <w:sz w:val="22"/>
          <w:szCs w:val="22"/>
        </w:rPr>
        <w:t>индексации установленных тарифов на 2025-2029 годы</w:t>
      </w:r>
      <w:r w:rsidR="00AF59AA" w:rsidRPr="00E91093">
        <w:rPr>
          <w:sz w:val="22"/>
          <w:szCs w:val="22"/>
        </w:rPr>
        <w:t>.</w:t>
      </w:r>
    </w:p>
    <w:p w14:paraId="7533B04A" w14:textId="77777777" w:rsidR="00C77E2C" w:rsidRPr="00907BAF" w:rsidRDefault="00C77E2C" w:rsidP="00C77E2C">
      <w:pPr>
        <w:pStyle w:val="24"/>
        <w:widowControl/>
        <w:ind w:firstLine="709"/>
        <w:rPr>
          <w:sz w:val="22"/>
          <w:szCs w:val="22"/>
        </w:rPr>
      </w:pPr>
      <w:r w:rsidRPr="00907BAF">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72B0B11E" w14:textId="77777777" w:rsidR="00907BAF" w:rsidRPr="00907BAF" w:rsidRDefault="00907BAF" w:rsidP="00907BAF">
      <w:pPr>
        <w:pStyle w:val="24"/>
        <w:widowControl/>
        <w:ind w:firstLine="709"/>
        <w:rPr>
          <w:sz w:val="22"/>
          <w:szCs w:val="22"/>
        </w:rPr>
      </w:pPr>
      <w:r w:rsidRPr="00907BAF">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7F87BB9D" w14:textId="77777777" w:rsidR="00907BAF" w:rsidRPr="00907BAF" w:rsidRDefault="00907BAF" w:rsidP="00907BAF">
      <w:pPr>
        <w:pStyle w:val="24"/>
        <w:widowControl/>
        <w:ind w:firstLine="709"/>
        <w:rPr>
          <w:sz w:val="22"/>
          <w:szCs w:val="22"/>
        </w:rPr>
      </w:pPr>
      <w:r w:rsidRPr="00907BAF">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15356FA6" w14:textId="77777777" w:rsidR="00907BAF" w:rsidRPr="00907BAF" w:rsidRDefault="00907BAF" w:rsidP="00907BAF">
      <w:pPr>
        <w:pStyle w:val="24"/>
        <w:widowControl/>
        <w:ind w:firstLine="709"/>
        <w:rPr>
          <w:sz w:val="22"/>
          <w:szCs w:val="22"/>
        </w:rPr>
      </w:pPr>
      <w:r w:rsidRPr="00907BAF">
        <w:rPr>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3E08DF4A" w14:textId="77777777" w:rsidR="00907BAF" w:rsidRPr="00907BAF" w:rsidRDefault="00907BAF" w:rsidP="00907BAF">
      <w:pPr>
        <w:pStyle w:val="24"/>
        <w:widowControl/>
        <w:ind w:firstLine="709"/>
        <w:rPr>
          <w:sz w:val="22"/>
          <w:szCs w:val="22"/>
        </w:rPr>
      </w:pPr>
      <w:r w:rsidRPr="00907BAF">
        <w:rPr>
          <w:sz w:val="22"/>
          <w:szCs w:val="22"/>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756AE542" w14:textId="77777777" w:rsidR="00907BAF" w:rsidRPr="00907BAF" w:rsidRDefault="00907BAF" w:rsidP="00907BAF">
      <w:pPr>
        <w:pStyle w:val="24"/>
        <w:widowControl/>
        <w:ind w:firstLine="709"/>
        <w:rPr>
          <w:sz w:val="22"/>
          <w:szCs w:val="22"/>
        </w:rPr>
      </w:pPr>
      <w:r w:rsidRPr="00907BAF">
        <w:rPr>
          <w:sz w:val="22"/>
          <w:szCs w:val="22"/>
        </w:rPr>
        <w:lastRenderedPageBreak/>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20EA0AD7" w14:textId="77777777" w:rsidR="00907BAF" w:rsidRDefault="00907BAF" w:rsidP="00907BAF">
      <w:pPr>
        <w:pStyle w:val="24"/>
        <w:widowControl/>
        <w:ind w:firstLine="709"/>
        <w:rPr>
          <w:sz w:val="22"/>
          <w:szCs w:val="22"/>
        </w:rPr>
      </w:pPr>
      <w:r w:rsidRPr="00907BAF">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BA526C7" w14:textId="191EA5FF" w:rsidR="001A0A58" w:rsidRPr="001A0A58" w:rsidRDefault="001A0A58" w:rsidP="001A0A58">
      <w:pPr>
        <w:pStyle w:val="24"/>
        <w:widowControl/>
        <w:ind w:firstLine="709"/>
        <w:rPr>
          <w:sz w:val="22"/>
          <w:szCs w:val="22"/>
        </w:rPr>
      </w:pPr>
      <w:r w:rsidRPr="001A0A58">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1/1.</w:t>
      </w:r>
    </w:p>
    <w:p w14:paraId="3B14305A" w14:textId="64C7942E" w:rsidR="00C77E2C" w:rsidRPr="001A0A58" w:rsidRDefault="00C77E2C" w:rsidP="00C77E2C">
      <w:pPr>
        <w:widowControl/>
        <w:spacing w:line="252" w:lineRule="auto"/>
        <w:ind w:firstLine="709"/>
        <w:jc w:val="both"/>
        <w:rPr>
          <w:sz w:val="22"/>
          <w:szCs w:val="22"/>
        </w:rPr>
      </w:pPr>
      <w:r w:rsidRPr="001A0A58">
        <w:rPr>
          <w:sz w:val="22"/>
          <w:szCs w:val="22"/>
        </w:rPr>
        <w:t>По результатам рассмотрения подготовлено экспертное заключение.</w:t>
      </w:r>
    </w:p>
    <w:p w14:paraId="0331CAEA" w14:textId="71DFC8CF" w:rsidR="001A0A58" w:rsidRPr="001A0A58" w:rsidRDefault="001A0A58" w:rsidP="001A0A58">
      <w:pPr>
        <w:pStyle w:val="24"/>
        <w:widowControl/>
        <w:ind w:firstLine="709"/>
        <w:rPr>
          <w:sz w:val="22"/>
          <w:szCs w:val="22"/>
        </w:rPr>
      </w:pPr>
      <w:r w:rsidRPr="001A0A58">
        <w:rPr>
          <w:sz w:val="22"/>
          <w:szCs w:val="22"/>
        </w:rPr>
        <w:t xml:space="preserve">Письмом от 21.11.2024 №54 теплоснабжающая организация направила письменное согласие с предлагаемыми к утверждению уровнями тарифов на тепловую энергию на 2025–2029 годы. </w:t>
      </w:r>
    </w:p>
    <w:p w14:paraId="254E7039" w14:textId="77777777" w:rsidR="001A0A58" w:rsidRPr="001A0A58" w:rsidRDefault="001A0A58" w:rsidP="001A0A58">
      <w:pPr>
        <w:pStyle w:val="24"/>
        <w:widowControl/>
        <w:ind w:firstLine="709"/>
        <w:rPr>
          <w:sz w:val="22"/>
          <w:szCs w:val="22"/>
        </w:rPr>
      </w:pPr>
      <w:r w:rsidRPr="001A0A58">
        <w:rPr>
          <w:sz w:val="22"/>
          <w:szCs w:val="22"/>
        </w:rPr>
        <w:t>На заседании правления Департамента представители теплоснабжающей организации, уведомленных должным образом, не присутствовали.</w:t>
      </w:r>
    </w:p>
    <w:p w14:paraId="40A1EEF3" w14:textId="77777777" w:rsidR="00907BAF" w:rsidRPr="00554366" w:rsidRDefault="00907BAF" w:rsidP="00C77E2C">
      <w:pPr>
        <w:widowControl/>
        <w:spacing w:line="252" w:lineRule="auto"/>
        <w:ind w:firstLine="709"/>
        <w:jc w:val="both"/>
        <w:rPr>
          <w:color w:val="FF0000"/>
          <w:sz w:val="22"/>
          <w:szCs w:val="22"/>
        </w:rPr>
      </w:pPr>
    </w:p>
    <w:p w14:paraId="49213F76" w14:textId="77777777" w:rsidR="00C77E2C" w:rsidRPr="00554366" w:rsidRDefault="00C77E2C" w:rsidP="00C77E2C">
      <w:pPr>
        <w:widowControl/>
        <w:spacing w:line="252" w:lineRule="auto"/>
        <w:ind w:firstLine="709"/>
        <w:jc w:val="both"/>
        <w:rPr>
          <w:color w:val="FF0000"/>
          <w:sz w:val="22"/>
          <w:szCs w:val="22"/>
        </w:rPr>
      </w:pPr>
    </w:p>
    <w:p w14:paraId="0B0D742B" w14:textId="77777777" w:rsidR="00C77E2C" w:rsidRPr="00301708" w:rsidRDefault="00C77E2C" w:rsidP="00C77E2C">
      <w:pPr>
        <w:tabs>
          <w:tab w:val="left" w:pos="993"/>
        </w:tabs>
        <w:spacing w:line="235" w:lineRule="auto"/>
        <w:ind w:firstLine="567"/>
        <w:jc w:val="both"/>
        <w:rPr>
          <w:b/>
          <w:sz w:val="22"/>
          <w:szCs w:val="22"/>
        </w:rPr>
      </w:pPr>
      <w:r w:rsidRPr="00301708">
        <w:rPr>
          <w:b/>
          <w:sz w:val="22"/>
          <w:szCs w:val="22"/>
        </w:rPr>
        <w:t>РЕШИЛИ:</w:t>
      </w:r>
    </w:p>
    <w:p w14:paraId="6F5B4566" w14:textId="661562CE" w:rsidR="00C77E2C" w:rsidRDefault="00301708" w:rsidP="00C77E2C">
      <w:pPr>
        <w:tabs>
          <w:tab w:val="left" w:pos="993"/>
        </w:tabs>
        <w:spacing w:line="235" w:lineRule="auto"/>
        <w:ind w:firstLine="567"/>
        <w:jc w:val="both"/>
        <w:rPr>
          <w:sz w:val="22"/>
          <w:szCs w:val="22"/>
        </w:rPr>
      </w:pPr>
      <w:r w:rsidRPr="00301708">
        <w:rPr>
          <w:sz w:val="22"/>
          <w:szCs w:val="22"/>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Департамент энергетики и тарифов Ивановской области постановляет:</w:t>
      </w:r>
    </w:p>
    <w:p w14:paraId="63F85220" w14:textId="634F6628" w:rsidR="00301708" w:rsidRDefault="00301708" w:rsidP="00301708">
      <w:pPr>
        <w:pStyle w:val="a4"/>
        <w:numPr>
          <w:ilvl w:val="0"/>
          <w:numId w:val="41"/>
        </w:numPr>
        <w:tabs>
          <w:tab w:val="left" w:pos="851"/>
        </w:tabs>
        <w:spacing w:line="235" w:lineRule="auto"/>
        <w:ind w:left="0" w:firstLine="567"/>
        <w:jc w:val="both"/>
        <w:rPr>
          <w:sz w:val="22"/>
          <w:szCs w:val="22"/>
        </w:rPr>
      </w:pPr>
      <w:r w:rsidRPr="00301708">
        <w:rPr>
          <w:sz w:val="22"/>
          <w:szCs w:val="22"/>
        </w:rPr>
        <w:t>Установить долгосрочные тарифы на тепловую энергию для потребителей ООО «ИБК» (Южский район) на 2025-2029 годы.</w:t>
      </w:r>
    </w:p>
    <w:p w14:paraId="7A2FE627" w14:textId="77777777" w:rsidR="004E5458" w:rsidRDefault="004E5458" w:rsidP="004E5458">
      <w:pPr>
        <w:tabs>
          <w:tab w:val="left" w:pos="851"/>
        </w:tabs>
        <w:spacing w:line="235" w:lineRule="auto"/>
        <w:jc w:val="both"/>
        <w:rPr>
          <w:sz w:val="22"/>
          <w:szCs w:val="22"/>
        </w:rPr>
      </w:pPr>
    </w:p>
    <w:p w14:paraId="394A7D2F" w14:textId="77777777" w:rsidR="004E5458" w:rsidRPr="005A177D" w:rsidRDefault="004E5458" w:rsidP="004E5458">
      <w:pPr>
        <w:widowControl/>
        <w:autoSpaceDE w:val="0"/>
        <w:autoSpaceDN w:val="0"/>
        <w:adjustRightInd w:val="0"/>
        <w:jc w:val="center"/>
        <w:rPr>
          <w:b/>
          <w:bCs/>
          <w:sz w:val="22"/>
          <w:szCs w:val="22"/>
        </w:rPr>
      </w:pPr>
      <w:r w:rsidRPr="005A177D">
        <w:rPr>
          <w:b/>
          <w:bCs/>
          <w:sz w:val="22"/>
          <w:szCs w:val="22"/>
        </w:rPr>
        <w:t>Тарифы на тепловую энергию (мощность), поставляемую потребителям</w:t>
      </w:r>
    </w:p>
    <w:p w14:paraId="79B1461E" w14:textId="77777777" w:rsidR="004E5458" w:rsidRPr="005A177D" w:rsidRDefault="004E5458" w:rsidP="004E5458">
      <w:pPr>
        <w:widowControl/>
        <w:autoSpaceDE w:val="0"/>
        <w:autoSpaceDN w:val="0"/>
        <w:adjustRightInd w:val="0"/>
        <w:jc w:val="cente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383"/>
        <w:gridCol w:w="1145"/>
        <w:gridCol w:w="691"/>
        <w:gridCol w:w="1121"/>
        <w:gridCol w:w="1147"/>
        <w:gridCol w:w="911"/>
        <w:gridCol w:w="721"/>
        <w:gridCol w:w="919"/>
        <w:gridCol w:w="709"/>
        <w:gridCol w:w="1240"/>
      </w:tblGrid>
      <w:tr w:rsidR="004E5458" w:rsidRPr="005A177D" w14:paraId="0D1059ED" w14:textId="77777777" w:rsidTr="000D779C">
        <w:trPr>
          <w:trHeight w:val="264"/>
        </w:trPr>
        <w:tc>
          <w:tcPr>
            <w:tcW w:w="467" w:type="dxa"/>
            <w:vMerge w:val="restart"/>
            <w:shd w:val="clear" w:color="auto" w:fill="auto"/>
            <w:vAlign w:val="center"/>
            <w:hideMark/>
          </w:tcPr>
          <w:p w14:paraId="20DBE922" w14:textId="77777777" w:rsidR="004E5458" w:rsidRPr="005A177D" w:rsidRDefault="004E5458" w:rsidP="000D779C">
            <w:pPr>
              <w:widowControl/>
              <w:jc w:val="center"/>
            </w:pPr>
            <w:r w:rsidRPr="005A177D">
              <w:t>№ п/п</w:t>
            </w:r>
          </w:p>
        </w:tc>
        <w:tc>
          <w:tcPr>
            <w:tcW w:w="1383" w:type="dxa"/>
            <w:vMerge w:val="restart"/>
            <w:shd w:val="clear" w:color="auto" w:fill="auto"/>
            <w:vAlign w:val="center"/>
            <w:hideMark/>
          </w:tcPr>
          <w:p w14:paraId="2F8B771F" w14:textId="77777777" w:rsidR="004E5458" w:rsidRPr="005A177D" w:rsidRDefault="004E5458" w:rsidP="000D779C">
            <w:pPr>
              <w:widowControl/>
              <w:jc w:val="center"/>
            </w:pPr>
            <w:r w:rsidRPr="005A177D">
              <w:t>Наименование регулируемой организации</w:t>
            </w:r>
          </w:p>
        </w:tc>
        <w:tc>
          <w:tcPr>
            <w:tcW w:w="1145" w:type="dxa"/>
            <w:vMerge w:val="restart"/>
            <w:shd w:val="clear" w:color="auto" w:fill="auto"/>
            <w:noWrap/>
            <w:vAlign w:val="center"/>
            <w:hideMark/>
          </w:tcPr>
          <w:p w14:paraId="1465BBD4" w14:textId="77777777" w:rsidR="004E5458" w:rsidRPr="005A177D" w:rsidRDefault="004E5458" w:rsidP="000D779C">
            <w:pPr>
              <w:widowControl/>
              <w:jc w:val="center"/>
            </w:pPr>
            <w:r w:rsidRPr="005A177D">
              <w:t>Вид тарифа</w:t>
            </w:r>
          </w:p>
        </w:tc>
        <w:tc>
          <w:tcPr>
            <w:tcW w:w="691" w:type="dxa"/>
            <w:vMerge w:val="restart"/>
            <w:shd w:val="clear" w:color="auto" w:fill="auto"/>
            <w:noWrap/>
            <w:vAlign w:val="center"/>
            <w:hideMark/>
          </w:tcPr>
          <w:p w14:paraId="1DE36625" w14:textId="77777777" w:rsidR="004E5458" w:rsidRPr="005A177D" w:rsidRDefault="004E5458" w:rsidP="000D779C">
            <w:pPr>
              <w:widowControl/>
              <w:jc w:val="center"/>
            </w:pPr>
            <w:r w:rsidRPr="005A177D">
              <w:t>Год</w:t>
            </w:r>
          </w:p>
        </w:tc>
        <w:tc>
          <w:tcPr>
            <w:tcW w:w="2268" w:type="dxa"/>
            <w:gridSpan w:val="2"/>
            <w:shd w:val="clear" w:color="auto" w:fill="auto"/>
            <w:noWrap/>
            <w:vAlign w:val="center"/>
            <w:hideMark/>
          </w:tcPr>
          <w:p w14:paraId="37D260C6" w14:textId="77777777" w:rsidR="004E5458" w:rsidRPr="005A177D" w:rsidRDefault="004E5458" w:rsidP="000D779C">
            <w:pPr>
              <w:widowControl/>
              <w:jc w:val="center"/>
            </w:pPr>
            <w:r w:rsidRPr="005A177D">
              <w:t>Вода</w:t>
            </w:r>
          </w:p>
        </w:tc>
        <w:tc>
          <w:tcPr>
            <w:tcW w:w="3260" w:type="dxa"/>
            <w:gridSpan w:val="4"/>
            <w:shd w:val="clear" w:color="auto" w:fill="auto"/>
            <w:noWrap/>
            <w:vAlign w:val="center"/>
            <w:hideMark/>
          </w:tcPr>
          <w:p w14:paraId="1CD762C6" w14:textId="77777777" w:rsidR="004E5458" w:rsidRPr="005A177D" w:rsidRDefault="004E5458" w:rsidP="000D779C">
            <w:pPr>
              <w:widowControl/>
              <w:jc w:val="center"/>
            </w:pPr>
            <w:r w:rsidRPr="005A177D">
              <w:t>Отборный пар давлением</w:t>
            </w:r>
          </w:p>
        </w:tc>
        <w:tc>
          <w:tcPr>
            <w:tcW w:w="1240" w:type="dxa"/>
            <w:vMerge w:val="restart"/>
          </w:tcPr>
          <w:p w14:paraId="0DF50D6A" w14:textId="77777777" w:rsidR="004E5458" w:rsidRPr="005A177D" w:rsidRDefault="004E5458" w:rsidP="000D779C">
            <w:pPr>
              <w:widowControl/>
              <w:jc w:val="center"/>
            </w:pPr>
            <w:r w:rsidRPr="005A177D">
              <w:t>Острый и редуцированный пар</w:t>
            </w:r>
          </w:p>
        </w:tc>
      </w:tr>
      <w:tr w:rsidR="004E5458" w:rsidRPr="005A177D" w14:paraId="3B09195B" w14:textId="77777777" w:rsidTr="000D779C">
        <w:trPr>
          <w:trHeight w:val="540"/>
        </w:trPr>
        <w:tc>
          <w:tcPr>
            <w:tcW w:w="467" w:type="dxa"/>
            <w:vMerge/>
            <w:shd w:val="clear" w:color="auto" w:fill="auto"/>
            <w:noWrap/>
            <w:vAlign w:val="center"/>
            <w:hideMark/>
          </w:tcPr>
          <w:p w14:paraId="47569856" w14:textId="77777777" w:rsidR="004E5458" w:rsidRPr="005A177D" w:rsidRDefault="004E5458" w:rsidP="000D779C">
            <w:pPr>
              <w:widowControl/>
              <w:jc w:val="center"/>
            </w:pPr>
          </w:p>
        </w:tc>
        <w:tc>
          <w:tcPr>
            <w:tcW w:w="1383" w:type="dxa"/>
            <w:vMerge/>
            <w:shd w:val="clear" w:color="auto" w:fill="auto"/>
            <w:vAlign w:val="center"/>
            <w:hideMark/>
          </w:tcPr>
          <w:p w14:paraId="601F00C5" w14:textId="77777777" w:rsidR="004E5458" w:rsidRPr="005A177D" w:rsidRDefault="004E5458" w:rsidP="000D779C">
            <w:pPr>
              <w:widowControl/>
            </w:pPr>
          </w:p>
        </w:tc>
        <w:tc>
          <w:tcPr>
            <w:tcW w:w="1145" w:type="dxa"/>
            <w:vMerge/>
            <w:shd w:val="clear" w:color="auto" w:fill="auto"/>
            <w:noWrap/>
            <w:vAlign w:val="center"/>
            <w:hideMark/>
          </w:tcPr>
          <w:p w14:paraId="206D6421" w14:textId="77777777" w:rsidR="004E5458" w:rsidRPr="005A177D" w:rsidRDefault="004E5458" w:rsidP="000D779C">
            <w:pPr>
              <w:widowControl/>
              <w:jc w:val="center"/>
            </w:pPr>
          </w:p>
        </w:tc>
        <w:tc>
          <w:tcPr>
            <w:tcW w:w="691" w:type="dxa"/>
            <w:vMerge/>
            <w:shd w:val="clear" w:color="auto" w:fill="auto"/>
            <w:noWrap/>
            <w:vAlign w:val="center"/>
            <w:hideMark/>
          </w:tcPr>
          <w:p w14:paraId="1FA7024F" w14:textId="77777777" w:rsidR="004E5458" w:rsidRPr="005A177D" w:rsidRDefault="004E5458" w:rsidP="000D779C">
            <w:pPr>
              <w:widowControl/>
              <w:jc w:val="center"/>
            </w:pPr>
          </w:p>
        </w:tc>
        <w:tc>
          <w:tcPr>
            <w:tcW w:w="1121" w:type="dxa"/>
            <w:shd w:val="clear" w:color="auto" w:fill="auto"/>
            <w:noWrap/>
            <w:vAlign w:val="center"/>
            <w:hideMark/>
          </w:tcPr>
          <w:p w14:paraId="65104CA4" w14:textId="77777777" w:rsidR="004E5458" w:rsidRPr="005A177D" w:rsidRDefault="004E5458" w:rsidP="000D779C">
            <w:pPr>
              <w:widowControl/>
              <w:jc w:val="center"/>
            </w:pPr>
            <w:r w:rsidRPr="005A177D">
              <w:t>1 полугодие</w:t>
            </w:r>
          </w:p>
        </w:tc>
        <w:tc>
          <w:tcPr>
            <w:tcW w:w="1147" w:type="dxa"/>
            <w:shd w:val="clear" w:color="auto" w:fill="auto"/>
            <w:vAlign w:val="center"/>
          </w:tcPr>
          <w:p w14:paraId="3D591568" w14:textId="77777777" w:rsidR="004E5458" w:rsidRPr="005A177D" w:rsidRDefault="004E5458" w:rsidP="000D779C">
            <w:pPr>
              <w:widowControl/>
              <w:jc w:val="center"/>
            </w:pPr>
            <w:r w:rsidRPr="005A177D">
              <w:t>2 полугодие</w:t>
            </w:r>
          </w:p>
        </w:tc>
        <w:tc>
          <w:tcPr>
            <w:tcW w:w="911" w:type="dxa"/>
            <w:shd w:val="clear" w:color="auto" w:fill="auto"/>
            <w:vAlign w:val="center"/>
            <w:hideMark/>
          </w:tcPr>
          <w:p w14:paraId="1D970ADA" w14:textId="77777777" w:rsidR="004E5458" w:rsidRPr="005A177D" w:rsidRDefault="004E5458" w:rsidP="000D779C">
            <w:pPr>
              <w:widowControl/>
              <w:jc w:val="center"/>
            </w:pPr>
            <w:r w:rsidRPr="005A177D">
              <w:t>от 1,2 до 2,5 кг/</w:t>
            </w:r>
          </w:p>
          <w:p w14:paraId="46881F64" w14:textId="77777777" w:rsidR="004E5458" w:rsidRPr="005A177D" w:rsidRDefault="004E5458" w:rsidP="000D779C">
            <w:pPr>
              <w:widowControl/>
              <w:jc w:val="center"/>
            </w:pPr>
            <w:r w:rsidRPr="005A177D">
              <w:t>см</w:t>
            </w:r>
            <w:r w:rsidRPr="005A177D">
              <w:rPr>
                <w:vertAlign w:val="superscript"/>
              </w:rPr>
              <w:t>2</w:t>
            </w:r>
          </w:p>
        </w:tc>
        <w:tc>
          <w:tcPr>
            <w:tcW w:w="721" w:type="dxa"/>
            <w:vAlign w:val="center"/>
          </w:tcPr>
          <w:p w14:paraId="6F292321" w14:textId="77777777" w:rsidR="004E5458" w:rsidRPr="005A177D" w:rsidRDefault="004E5458" w:rsidP="000D779C">
            <w:pPr>
              <w:widowControl/>
              <w:jc w:val="center"/>
            </w:pPr>
            <w:r w:rsidRPr="005A177D">
              <w:t>от 2,5 до 7,0 кг/см</w:t>
            </w:r>
            <w:r w:rsidRPr="005A177D">
              <w:rPr>
                <w:vertAlign w:val="superscript"/>
              </w:rPr>
              <w:t>2</w:t>
            </w:r>
          </w:p>
        </w:tc>
        <w:tc>
          <w:tcPr>
            <w:tcW w:w="919" w:type="dxa"/>
            <w:vAlign w:val="center"/>
          </w:tcPr>
          <w:p w14:paraId="1835A718" w14:textId="77777777" w:rsidR="004E5458" w:rsidRPr="005A177D" w:rsidRDefault="004E5458" w:rsidP="000D779C">
            <w:pPr>
              <w:widowControl/>
              <w:jc w:val="center"/>
            </w:pPr>
            <w:r w:rsidRPr="005A177D">
              <w:t>от 7,0 до 13,0 кг/</w:t>
            </w:r>
          </w:p>
          <w:p w14:paraId="5D58122B" w14:textId="77777777" w:rsidR="004E5458" w:rsidRPr="005A177D" w:rsidRDefault="004E5458" w:rsidP="000D779C">
            <w:pPr>
              <w:widowControl/>
              <w:jc w:val="center"/>
            </w:pPr>
            <w:r w:rsidRPr="005A177D">
              <w:t>см</w:t>
            </w:r>
            <w:r w:rsidRPr="005A177D">
              <w:rPr>
                <w:vertAlign w:val="superscript"/>
              </w:rPr>
              <w:t>2</w:t>
            </w:r>
          </w:p>
        </w:tc>
        <w:tc>
          <w:tcPr>
            <w:tcW w:w="709" w:type="dxa"/>
            <w:vAlign w:val="center"/>
          </w:tcPr>
          <w:p w14:paraId="16BDDC48" w14:textId="77777777" w:rsidR="004E5458" w:rsidRPr="005A177D" w:rsidRDefault="004E5458" w:rsidP="000D779C">
            <w:pPr>
              <w:widowControl/>
              <w:ind w:right="-108" w:hanging="109"/>
              <w:jc w:val="center"/>
            </w:pPr>
            <w:r w:rsidRPr="005A177D">
              <w:t>Свыше 13,0 кг/</w:t>
            </w:r>
          </w:p>
          <w:p w14:paraId="0CB875C6" w14:textId="77777777" w:rsidR="004E5458" w:rsidRPr="005A177D" w:rsidRDefault="004E5458" w:rsidP="000D779C">
            <w:pPr>
              <w:widowControl/>
              <w:jc w:val="center"/>
            </w:pPr>
            <w:r w:rsidRPr="005A177D">
              <w:t>см</w:t>
            </w:r>
            <w:r w:rsidRPr="005A177D">
              <w:rPr>
                <w:vertAlign w:val="superscript"/>
              </w:rPr>
              <w:t>2</w:t>
            </w:r>
          </w:p>
        </w:tc>
        <w:tc>
          <w:tcPr>
            <w:tcW w:w="1240" w:type="dxa"/>
            <w:vMerge/>
            <w:vAlign w:val="center"/>
          </w:tcPr>
          <w:p w14:paraId="1B8AE893" w14:textId="77777777" w:rsidR="004E5458" w:rsidRPr="005A177D" w:rsidRDefault="004E5458" w:rsidP="000D779C">
            <w:pPr>
              <w:widowControl/>
              <w:jc w:val="center"/>
            </w:pPr>
          </w:p>
        </w:tc>
      </w:tr>
      <w:tr w:rsidR="004E5458" w:rsidRPr="005A177D" w14:paraId="507B0ED3" w14:textId="77777777" w:rsidTr="000D779C">
        <w:trPr>
          <w:trHeight w:val="300"/>
        </w:trPr>
        <w:tc>
          <w:tcPr>
            <w:tcW w:w="467" w:type="dxa"/>
          </w:tcPr>
          <w:p w14:paraId="671E9C9C" w14:textId="77777777" w:rsidR="004E5458" w:rsidRPr="005A177D" w:rsidRDefault="004E5458" w:rsidP="000D779C">
            <w:pPr>
              <w:widowControl/>
              <w:jc w:val="center"/>
            </w:pPr>
          </w:p>
        </w:tc>
        <w:tc>
          <w:tcPr>
            <w:tcW w:w="9987" w:type="dxa"/>
            <w:gridSpan w:val="10"/>
            <w:shd w:val="clear" w:color="auto" w:fill="auto"/>
            <w:noWrap/>
            <w:vAlign w:val="center"/>
            <w:hideMark/>
          </w:tcPr>
          <w:p w14:paraId="1C6B03BC" w14:textId="77777777" w:rsidR="004E5458" w:rsidRPr="005A177D" w:rsidRDefault="004E5458" w:rsidP="000D779C">
            <w:pPr>
              <w:widowControl/>
              <w:jc w:val="center"/>
            </w:pPr>
            <w:r w:rsidRPr="005A177D">
              <w:t>Для потребителей, в случае отсутствия дифференциации тарифов по схеме подключения</w:t>
            </w:r>
          </w:p>
        </w:tc>
      </w:tr>
      <w:tr w:rsidR="004E5458" w:rsidRPr="005A177D" w14:paraId="2972AA9B" w14:textId="77777777" w:rsidTr="000D779C">
        <w:trPr>
          <w:trHeight w:val="340"/>
        </w:trPr>
        <w:tc>
          <w:tcPr>
            <w:tcW w:w="467" w:type="dxa"/>
            <w:vMerge w:val="restart"/>
            <w:shd w:val="clear" w:color="auto" w:fill="auto"/>
            <w:noWrap/>
            <w:vAlign w:val="center"/>
            <w:hideMark/>
          </w:tcPr>
          <w:p w14:paraId="1BF49217" w14:textId="77777777" w:rsidR="004E5458" w:rsidRPr="005A177D" w:rsidRDefault="004E5458" w:rsidP="000D779C">
            <w:pPr>
              <w:jc w:val="center"/>
            </w:pPr>
            <w:r w:rsidRPr="005A177D">
              <w:t>1.</w:t>
            </w:r>
          </w:p>
        </w:tc>
        <w:tc>
          <w:tcPr>
            <w:tcW w:w="1383" w:type="dxa"/>
            <w:vMerge w:val="restart"/>
            <w:shd w:val="clear" w:color="auto" w:fill="auto"/>
            <w:vAlign w:val="center"/>
            <w:hideMark/>
          </w:tcPr>
          <w:p w14:paraId="1095433E" w14:textId="77777777" w:rsidR="004E5458" w:rsidRPr="005A177D" w:rsidRDefault="004E5458" w:rsidP="000D779C">
            <w:pPr>
              <w:widowControl/>
              <w:autoSpaceDE w:val="0"/>
              <w:autoSpaceDN w:val="0"/>
              <w:adjustRightInd w:val="0"/>
            </w:pPr>
            <w:r w:rsidRPr="005A177D">
              <w:t>ООО «</w:t>
            </w:r>
            <w:r w:rsidRPr="005A177D">
              <w:rPr>
                <w:szCs w:val="28"/>
              </w:rPr>
              <w:t>ИБК</w:t>
            </w:r>
            <w:r w:rsidRPr="005A177D">
              <w:t>» (Южский район)</w:t>
            </w:r>
          </w:p>
        </w:tc>
        <w:tc>
          <w:tcPr>
            <w:tcW w:w="1145" w:type="dxa"/>
            <w:vMerge w:val="restart"/>
            <w:shd w:val="clear" w:color="auto" w:fill="auto"/>
            <w:vAlign w:val="center"/>
            <w:hideMark/>
          </w:tcPr>
          <w:p w14:paraId="49414E8E" w14:textId="77777777" w:rsidR="004E5458" w:rsidRPr="005A177D" w:rsidRDefault="004E5458" w:rsidP="000D779C">
            <w:pPr>
              <w:widowControl/>
              <w:jc w:val="center"/>
            </w:pPr>
            <w:r w:rsidRPr="005A177D">
              <w:t xml:space="preserve">Одноставочный, руб./Гкал, без НДС </w:t>
            </w:r>
          </w:p>
        </w:tc>
        <w:tc>
          <w:tcPr>
            <w:tcW w:w="691" w:type="dxa"/>
            <w:shd w:val="clear" w:color="auto" w:fill="auto"/>
            <w:noWrap/>
            <w:vAlign w:val="center"/>
          </w:tcPr>
          <w:p w14:paraId="696F7DCB" w14:textId="77777777" w:rsidR="004E5458" w:rsidRPr="005A177D" w:rsidRDefault="004E5458" w:rsidP="000D779C">
            <w:pPr>
              <w:jc w:val="center"/>
              <w:rPr>
                <w:sz w:val="22"/>
              </w:rPr>
            </w:pPr>
            <w:r w:rsidRPr="005A177D">
              <w:rPr>
                <w:sz w:val="22"/>
              </w:rPr>
              <w:t>202</w:t>
            </w:r>
            <w:r>
              <w:rPr>
                <w:sz w:val="22"/>
              </w:rPr>
              <w:t>5</w:t>
            </w:r>
          </w:p>
        </w:tc>
        <w:tc>
          <w:tcPr>
            <w:tcW w:w="1121" w:type="dxa"/>
            <w:shd w:val="clear" w:color="auto" w:fill="auto"/>
            <w:noWrap/>
            <w:vAlign w:val="center"/>
          </w:tcPr>
          <w:p w14:paraId="7539B746" w14:textId="77777777" w:rsidR="004E5458" w:rsidRPr="005A177D" w:rsidRDefault="004E5458" w:rsidP="000D779C">
            <w:pPr>
              <w:jc w:val="center"/>
              <w:rPr>
                <w:sz w:val="22"/>
              </w:rPr>
            </w:pPr>
            <w:r w:rsidRPr="004E56FD">
              <w:rPr>
                <w:sz w:val="22"/>
              </w:rPr>
              <w:t>5 834,80</w:t>
            </w:r>
          </w:p>
        </w:tc>
        <w:tc>
          <w:tcPr>
            <w:tcW w:w="1147" w:type="dxa"/>
            <w:shd w:val="clear" w:color="auto" w:fill="auto"/>
            <w:vAlign w:val="center"/>
          </w:tcPr>
          <w:p w14:paraId="4238F32A" w14:textId="77777777" w:rsidR="004E5458" w:rsidRPr="005A177D" w:rsidRDefault="004E5458" w:rsidP="000D779C">
            <w:pPr>
              <w:jc w:val="center"/>
              <w:rPr>
                <w:sz w:val="22"/>
              </w:rPr>
            </w:pPr>
            <w:r w:rsidRPr="004E56FD">
              <w:rPr>
                <w:sz w:val="22"/>
              </w:rPr>
              <w:t>6 021,10</w:t>
            </w:r>
          </w:p>
        </w:tc>
        <w:tc>
          <w:tcPr>
            <w:tcW w:w="911" w:type="dxa"/>
            <w:shd w:val="clear" w:color="auto" w:fill="auto"/>
            <w:noWrap/>
            <w:vAlign w:val="center"/>
          </w:tcPr>
          <w:p w14:paraId="1DD55A1E" w14:textId="77777777" w:rsidR="004E5458" w:rsidRPr="005A177D" w:rsidRDefault="004E5458" w:rsidP="000D779C">
            <w:pPr>
              <w:jc w:val="center"/>
              <w:rPr>
                <w:sz w:val="22"/>
              </w:rPr>
            </w:pPr>
            <w:r w:rsidRPr="005A177D">
              <w:rPr>
                <w:sz w:val="22"/>
              </w:rPr>
              <w:t>-</w:t>
            </w:r>
          </w:p>
        </w:tc>
        <w:tc>
          <w:tcPr>
            <w:tcW w:w="721" w:type="dxa"/>
            <w:vAlign w:val="center"/>
          </w:tcPr>
          <w:p w14:paraId="1CEEEBCB" w14:textId="77777777" w:rsidR="004E5458" w:rsidRPr="005A177D" w:rsidRDefault="004E5458" w:rsidP="000D779C">
            <w:pPr>
              <w:jc w:val="center"/>
              <w:rPr>
                <w:sz w:val="22"/>
              </w:rPr>
            </w:pPr>
            <w:r w:rsidRPr="005A177D">
              <w:rPr>
                <w:sz w:val="22"/>
              </w:rPr>
              <w:t>-</w:t>
            </w:r>
          </w:p>
        </w:tc>
        <w:tc>
          <w:tcPr>
            <w:tcW w:w="919" w:type="dxa"/>
            <w:vAlign w:val="center"/>
          </w:tcPr>
          <w:p w14:paraId="14D89BBF" w14:textId="77777777" w:rsidR="004E5458" w:rsidRPr="005A177D" w:rsidRDefault="004E5458" w:rsidP="000D779C">
            <w:pPr>
              <w:jc w:val="center"/>
              <w:rPr>
                <w:sz w:val="22"/>
              </w:rPr>
            </w:pPr>
            <w:r w:rsidRPr="005A177D">
              <w:rPr>
                <w:sz w:val="22"/>
              </w:rPr>
              <w:t>-</w:t>
            </w:r>
          </w:p>
        </w:tc>
        <w:tc>
          <w:tcPr>
            <w:tcW w:w="709" w:type="dxa"/>
            <w:vAlign w:val="center"/>
          </w:tcPr>
          <w:p w14:paraId="54DBAF6C" w14:textId="77777777" w:rsidR="004E5458" w:rsidRPr="005A177D" w:rsidRDefault="004E5458" w:rsidP="000D779C">
            <w:pPr>
              <w:jc w:val="center"/>
              <w:rPr>
                <w:sz w:val="22"/>
              </w:rPr>
            </w:pPr>
            <w:r w:rsidRPr="005A177D">
              <w:rPr>
                <w:sz w:val="22"/>
              </w:rPr>
              <w:t>-</w:t>
            </w:r>
          </w:p>
        </w:tc>
        <w:tc>
          <w:tcPr>
            <w:tcW w:w="1240" w:type="dxa"/>
            <w:vAlign w:val="center"/>
          </w:tcPr>
          <w:p w14:paraId="0AE5B58D" w14:textId="77777777" w:rsidR="004E5458" w:rsidRPr="005A177D" w:rsidRDefault="004E5458" w:rsidP="000D779C">
            <w:pPr>
              <w:jc w:val="center"/>
              <w:rPr>
                <w:sz w:val="22"/>
              </w:rPr>
            </w:pPr>
            <w:r w:rsidRPr="005A177D">
              <w:rPr>
                <w:sz w:val="22"/>
              </w:rPr>
              <w:t>-</w:t>
            </w:r>
          </w:p>
        </w:tc>
      </w:tr>
      <w:tr w:rsidR="004E5458" w:rsidRPr="005A177D" w14:paraId="7D44BA34" w14:textId="77777777" w:rsidTr="000D779C">
        <w:trPr>
          <w:trHeight w:val="340"/>
        </w:trPr>
        <w:tc>
          <w:tcPr>
            <w:tcW w:w="467" w:type="dxa"/>
            <w:vMerge/>
            <w:shd w:val="clear" w:color="auto" w:fill="auto"/>
            <w:noWrap/>
            <w:vAlign w:val="center"/>
          </w:tcPr>
          <w:p w14:paraId="2F07C19E" w14:textId="77777777" w:rsidR="004E5458" w:rsidRPr="005A177D" w:rsidRDefault="004E5458" w:rsidP="000D779C">
            <w:pPr>
              <w:jc w:val="center"/>
            </w:pPr>
          </w:p>
        </w:tc>
        <w:tc>
          <w:tcPr>
            <w:tcW w:w="1383" w:type="dxa"/>
            <w:vMerge/>
            <w:shd w:val="clear" w:color="auto" w:fill="auto"/>
            <w:vAlign w:val="center"/>
          </w:tcPr>
          <w:p w14:paraId="579BA4E9" w14:textId="77777777" w:rsidR="004E5458" w:rsidRPr="005A177D" w:rsidRDefault="004E5458" w:rsidP="000D779C">
            <w:pPr>
              <w:widowControl/>
              <w:autoSpaceDE w:val="0"/>
              <w:autoSpaceDN w:val="0"/>
              <w:adjustRightInd w:val="0"/>
            </w:pPr>
          </w:p>
        </w:tc>
        <w:tc>
          <w:tcPr>
            <w:tcW w:w="1145" w:type="dxa"/>
            <w:vMerge/>
            <w:shd w:val="clear" w:color="auto" w:fill="auto"/>
            <w:vAlign w:val="center"/>
          </w:tcPr>
          <w:p w14:paraId="091268AC" w14:textId="77777777" w:rsidR="004E5458" w:rsidRPr="005A177D" w:rsidRDefault="004E5458" w:rsidP="000D779C">
            <w:pPr>
              <w:widowControl/>
              <w:jc w:val="center"/>
            </w:pPr>
          </w:p>
        </w:tc>
        <w:tc>
          <w:tcPr>
            <w:tcW w:w="691" w:type="dxa"/>
            <w:shd w:val="clear" w:color="auto" w:fill="auto"/>
            <w:noWrap/>
            <w:vAlign w:val="center"/>
          </w:tcPr>
          <w:p w14:paraId="224642C9" w14:textId="77777777" w:rsidR="004E5458" w:rsidRPr="005A177D" w:rsidRDefault="004E5458" w:rsidP="000D779C">
            <w:pPr>
              <w:jc w:val="center"/>
              <w:rPr>
                <w:sz w:val="22"/>
              </w:rPr>
            </w:pPr>
            <w:r>
              <w:rPr>
                <w:sz w:val="22"/>
              </w:rPr>
              <w:t>2026</w:t>
            </w:r>
          </w:p>
        </w:tc>
        <w:tc>
          <w:tcPr>
            <w:tcW w:w="1121" w:type="dxa"/>
            <w:shd w:val="clear" w:color="auto" w:fill="auto"/>
            <w:noWrap/>
            <w:vAlign w:val="center"/>
          </w:tcPr>
          <w:p w14:paraId="7C7CEA9D" w14:textId="77777777" w:rsidR="004E5458" w:rsidRPr="005A177D" w:rsidRDefault="004E5458" w:rsidP="000D779C">
            <w:pPr>
              <w:jc w:val="center"/>
              <w:rPr>
                <w:sz w:val="22"/>
              </w:rPr>
            </w:pPr>
            <w:r w:rsidRPr="004E56FD">
              <w:rPr>
                <w:sz w:val="22"/>
              </w:rPr>
              <w:t>5 502,91</w:t>
            </w:r>
          </w:p>
        </w:tc>
        <w:tc>
          <w:tcPr>
            <w:tcW w:w="1147" w:type="dxa"/>
            <w:shd w:val="clear" w:color="auto" w:fill="auto"/>
            <w:vAlign w:val="center"/>
          </w:tcPr>
          <w:p w14:paraId="5F4181D1" w14:textId="77777777" w:rsidR="004E5458" w:rsidRPr="005A177D" w:rsidRDefault="004E5458" w:rsidP="000D779C">
            <w:pPr>
              <w:jc w:val="center"/>
              <w:rPr>
                <w:sz w:val="22"/>
              </w:rPr>
            </w:pPr>
            <w:r w:rsidRPr="004E56FD">
              <w:rPr>
                <w:sz w:val="22"/>
              </w:rPr>
              <w:t>5 502,91</w:t>
            </w:r>
          </w:p>
        </w:tc>
        <w:tc>
          <w:tcPr>
            <w:tcW w:w="911" w:type="dxa"/>
            <w:shd w:val="clear" w:color="auto" w:fill="auto"/>
            <w:noWrap/>
            <w:vAlign w:val="center"/>
          </w:tcPr>
          <w:p w14:paraId="6F1E27A2" w14:textId="77777777" w:rsidR="004E5458" w:rsidRPr="005A177D" w:rsidRDefault="004E5458" w:rsidP="000D779C">
            <w:pPr>
              <w:jc w:val="center"/>
              <w:rPr>
                <w:sz w:val="22"/>
              </w:rPr>
            </w:pPr>
            <w:r w:rsidRPr="005A177D">
              <w:rPr>
                <w:sz w:val="22"/>
              </w:rPr>
              <w:t>-</w:t>
            </w:r>
          </w:p>
        </w:tc>
        <w:tc>
          <w:tcPr>
            <w:tcW w:w="721" w:type="dxa"/>
            <w:vAlign w:val="center"/>
          </w:tcPr>
          <w:p w14:paraId="72E36397" w14:textId="77777777" w:rsidR="004E5458" w:rsidRPr="005A177D" w:rsidRDefault="004E5458" w:rsidP="000D779C">
            <w:pPr>
              <w:jc w:val="center"/>
              <w:rPr>
                <w:sz w:val="22"/>
              </w:rPr>
            </w:pPr>
            <w:r w:rsidRPr="005A177D">
              <w:rPr>
                <w:sz w:val="22"/>
              </w:rPr>
              <w:t>-</w:t>
            </w:r>
          </w:p>
        </w:tc>
        <w:tc>
          <w:tcPr>
            <w:tcW w:w="919" w:type="dxa"/>
            <w:vAlign w:val="center"/>
          </w:tcPr>
          <w:p w14:paraId="18708DDF" w14:textId="77777777" w:rsidR="004E5458" w:rsidRPr="005A177D" w:rsidRDefault="004E5458" w:rsidP="000D779C">
            <w:pPr>
              <w:jc w:val="center"/>
              <w:rPr>
                <w:sz w:val="22"/>
              </w:rPr>
            </w:pPr>
            <w:r w:rsidRPr="005A177D">
              <w:rPr>
                <w:sz w:val="22"/>
              </w:rPr>
              <w:t>-</w:t>
            </w:r>
          </w:p>
        </w:tc>
        <w:tc>
          <w:tcPr>
            <w:tcW w:w="709" w:type="dxa"/>
            <w:vAlign w:val="center"/>
          </w:tcPr>
          <w:p w14:paraId="30FF5AC9" w14:textId="77777777" w:rsidR="004E5458" w:rsidRPr="005A177D" w:rsidRDefault="004E5458" w:rsidP="000D779C">
            <w:pPr>
              <w:jc w:val="center"/>
              <w:rPr>
                <w:sz w:val="22"/>
              </w:rPr>
            </w:pPr>
            <w:r w:rsidRPr="005A177D">
              <w:rPr>
                <w:sz w:val="22"/>
              </w:rPr>
              <w:t>-</w:t>
            </w:r>
          </w:p>
        </w:tc>
        <w:tc>
          <w:tcPr>
            <w:tcW w:w="1240" w:type="dxa"/>
            <w:vAlign w:val="center"/>
          </w:tcPr>
          <w:p w14:paraId="4F4AA264" w14:textId="77777777" w:rsidR="004E5458" w:rsidRPr="005A177D" w:rsidRDefault="004E5458" w:rsidP="000D779C">
            <w:pPr>
              <w:jc w:val="center"/>
              <w:rPr>
                <w:sz w:val="22"/>
              </w:rPr>
            </w:pPr>
            <w:r w:rsidRPr="005A177D">
              <w:rPr>
                <w:sz w:val="22"/>
              </w:rPr>
              <w:t>-</w:t>
            </w:r>
          </w:p>
        </w:tc>
      </w:tr>
      <w:tr w:rsidR="004E5458" w:rsidRPr="005A177D" w14:paraId="0D1B242F" w14:textId="77777777" w:rsidTr="000D779C">
        <w:trPr>
          <w:trHeight w:val="340"/>
        </w:trPr>
        <w:tc>
          <w:tcPr>
            <w:tcW w:w="467" w:type="dxa"/>
            <w:vMerge/>
            <w:shd w:val="clear" w:color="auto" w:fill="auto"/>
            <w:noWrap/>
            <w:vAlign w:val="center"/>
          </w:tcPr>
          <w:p w14:paraId="50A861F6" w14:textId="77777777" w:rsidR="004E5458" w:rsidRPr="005A177D" w:rsidRDefault="004E5458" w:rsidP="000D779C">
            <w:pPr>
              <w:jc w:val="center"/>
            </w:pPr>
          </w:p>
        </w:tc>
        <w:tc>
          <w:tcPr>
            <w:tcW w:w="1383" w:type="dxa"/>
            <w:vMerge/>
            <w:shd w:val="clear" w:color="auto" w:fill="auto"/>
            <w:vAlign w:val="center"/>
          </w:tcPr>
          <w:p w14:paraId="66C30AFB" w14:textId="77777777" w:rsidR="004E5458" w:rsidRPr="005A177D" w:rsidRDefault="004E5458" w:rsidP="000D779C">
            <w:pPr>
              <w:widowControl/>
              <w:autoSpaceDE w:val="0"/>
              <w:autoSpaceDN w:val="0"/>
              <w:adjustRightInd w:val="0"/>
            </w:pPr>
          </w:p>
        </w:tc>
        <w:tc>
          <w:tcPr>
            <w:tcW w:w="1145" w:type="dxa"/>
            <w:vMerge/>
            <w:shd w:val="clear" w:color="auto" w:fill="auto"/>
            <w:vAlign w:val="center"/>
          </w:tcPr>
          <w:p w14:paraId="63893F9C" w14:textId="77777777" w:rsidR="004E5458" w:rsidRPr="005A177D" w:rsidRDefault="004E5458" w:rsidP="000D779C">
            <w:pPr>
              <w:widowControl/>
              <w:jc w:val="center"/>
            </w:pPr>
          </w:p>
        </w:tc>
        <w:tc>
          <w:tcPr>
            <w:tcW w:w="691" w:type="dxa"/>
            <w:shd w:val="clear" w:color="auto" w:fill="auto"/>
            <w:noWrap/>
            <w:vAlign w:val="center"/>
          </w:tcPr>
          <w:p w14:paraId="235A2A40" w14:textId="77777777" w:rsidR="004E5458" w:rsidRPr="005A177D" w:rsidRDefault="004E5458" w:rsidP="000D779C">
            <w:pPr>
              <w:jc w:val="center"/>
              <w:rPr>
                <w:sz w:val="22"/>
              </w:rPr>
            </w:pPr>
            <w:r>
              <w:rPr>
                <w:sz w:val="22"/>
              </w:rPr>
              <w:t>2027</w:t>
            </w:r>
          </w:p>
        </w:tc>
        <w:tc>
          <w:tcPr>
            <w:tcW w:w="1121" w:type="dxa"/>
            <w:shd w:val="clear" w:color="auto" w:fill="auto"/>
            <w:noWrap/>
            <w:vAlign w:val="center"/>
          </w:tcPr>
          <w:p w14:paraId="5513A646" w14:textId="77777777" w:rsidR="004E5458" w:rsidRPr="005A177D" w:rsidRDefault="004E5458" w:rsidP="000D779C">
            <w:pPr>
              <w:jc w:val="center"/>
              <w:rPr>
                <w:sz w:val="22"/>
              </w:rPr>
            </w:pPr>
            <w:r w:rsidRPr="004E56FD">
              <w:rPr>
                <w:sz w:val="22"/>
              </w:rPr>
              <w:t>5 502,91</w:t>
            </w:r>
          </w:p>
        </w:tc>
        <w:tc>
          <w:tcPr>
            <w:tcW w:w="1147" w:type="dxa"/>
            <w:shd w:val="clear" w:color="auto" w:fill="auto"/>
            <w:vAlign w:val="center"/>
          </w:tcPr>
          <w:p w14:paraId="6DDEC124" w14:textId="77777777" w:rsidR="004E5458" w:rsidRPr="005A177D" w:rsidRDefault="004E5458" w:rsidP="000D779C">
            <w:pPr>
              <w:jc w:val="center"/>
              <w:rPr>
                <w:sz w:val="22"/>
              </w:rPr>
            </w:pPr>
            <w:r w:rsidRPr="004E56FD">
              <w:rPr>
                <w:sz w:val="22"/>
              </w:rPr>
              <w:t>5 776,84</w:t>
            </w:r>
          </w:p>
        </w:tc>
        <w:tc>
          <w:tcPr>
            <w:tcW w:w="911" w:type="dxa"/>
            <w:shd w:val="clear" w:color="auto" w:fill="auto"/>
            <w:noWrap/>
            <w:vAlign w:val="center"/>
          </w:tcPr>
          <w:p w14:paraId="15A469A2" w14:textId="77777777" w:rsidR="004E5458" w:rsidRPr="005A177D" w:rsidRDefault="004E5458" w:rsidP="000D779C">
            <w:pPr>
              <w:jc w:val="center"/>
              <w:rPr>
                <w:sz w:val="22"/>
              </w:rPr>
            </w:pPr>
            <w:r w:rsidRPr="005A177D">
              <w:rPr>
                <w:sz w:val="22"/>
              </w:rPr>
              <w:t>-</w:t>
            </w:r>
          </w:p>
        </w:tc>
        <w:tc>
          <w:tcPr>
            <w:tcW w:w="721" w:type="dxa"/>
            <w:vAlign w:val="center"/>
          </w:tcPr>
          <w:p w14:paraId="5F752086" w14:textId="77777777" w:rsidR="004E5458" w:rsidRPr="005A177D" w:rsidRDefault="004E5458" w:rsidP="000D779C">
            <w:pPr>
              <w:jc w:val="center"/>
              <w:rPr>
                <w:sz w:val="22"/>
              </w:rPr>
            </w:pPr>
            <w:r w:rsidRPr="005A177D">
              <w:rPr>
                <w:sz w:val="22"/>
              </w:rPr>
              <w:t>-</w:t>
            </w:r>
          </w:p>
        </w:tc>
        <w:tc>
          <w:tcPr>
            <w:tcW w:w="919" w:type="dxa"/>
            <w:vAlign w:val="center"/>
          </w:tcPr>
          <w:p w14:paraId="2B6DA91F" w14:textId="77777777" w:rsidR="004E5458" w:rsidRPr="005A177D" w:rsidRDefault="004E5458" w:rsidP="000D779C">
            <w:pPr>
              <w:jc w:val="center"/>
              <w:rPr>
                <w:sz w:val="22"/>
              </w:rPr>
            </w:pPr>
            <w:r w:rsidRPr="005A177D">
              <w:rPr>
                <w:sz w:val="22"/>
              </w:rPr>
              <w:t>-</w:t>
            </w:r>
          </w:p>
        </w:tc>
        <w:tc>
          <w:tcPr>
            <w:tcW w:w="709" w:type="dxa"/>
            <w:vAlign w:val="center"/>
          </w:tcPr>
          <w:p w14:paraId="28FDC814" w14:textId="77777777" w:rsidR="004E5458" w:rsidRPr="005A177D" w:rsidRDefault="004E5458" w:rsidP="000D779C">
            <w:pPr>
              <w:jc w:val="center"/>
              <w:rPr>
                <w:sz w:val="22"/>
              </w:rPr>
            </w:pPr>
            <w:r w:rsidRPr="005A177D">
              <w:rPr>
                <w:sz w:val="22"/>
              </w:rPr>
              <w:t>-</w:t>
            </w:r>
          </w:p>
        </w:tc>
        <w:tc>
          <w:tcPr>
            <w:tcW w:w="1240" w:type="dxa"/>
            <w:vAlign w:val="center"/>
          </w:tcPr>
          <w:p w14:paraId="2AF17B7D" w14:textId="77777777" w:rsidR="004E5458" w:rsidRPr="005A177D" w:rsidRDefault="004E5458" w:rsidP="000D779C">
            <w:pPr>
              <w:jc w:val="center"/>
              <w:rPr>
                <w:sz w:val="22"/>
              </w:rPr>
            </w:pPr>
            <w:r w:rsidRPr="005A177D">
              <w:rPr>
                <w:sz w:val="22"/>
              </w:rPr>
              <w:t>-</w:t>
            </w:r>
          </w:p>
        </w:tc>
      </w:tr>
      <w:tr w:rsidR="004E5458" w:rsidRPr="005A177D" w14:paraId="42D2CACF" w14:textId="77777777" w:rsidTr="000D779C">
        <w:trPr>
          <w:trHeight w:val="340"/>
        </w:trPr>
        <w:tc>
          <w:tcPr>
            <w:tcW w:w="467" w:type="dxa"/>
            <w:vMerge/>
            <w:shd w:val="clear" w:color="auto" w:fill="auto"/>
            <w:noWrap/>
            <w:vAlign w:val="center"/>
          </w:tcPr>
          <w:p w14:paraId="6547D445" w14:textId="77777777" w:rsidR="004E5458" w:rsidRPr="005A177D" w:rsidRDefault="004E5458" w:rsidP="000D779C">
            <w:pPr>
              <w:jc w:val="center"/>
            </w:pPr>
          </w:p>
        </w:tc>
        <w:tc>
          <w:tcPr>
            <w:tcW w:w="1383" w:type="dxa"/>
            <w:vMerge/>
            <w:shd w:val="clear" w:color="auto" w:fill="auto"/>
            <w:vAlign w:val="center"/>
          </w:tcPr>
          <w:p w14:paraId="0FA759EC" w14:textId="77777777" w:rsidR="004E5458" w:rsidRPr="005A177D" w:rsidRDefault="004E5458" w:rsidP="000D779C">
            <w:pPr>
              <w:widowControl/>
              <w:autoSpaceDE w:val="0"/>
              <w:autoSpaceDN w:val="0"/>
              <w:adjustRightInd w:val="0"/>
            </w:pPr>
          </w:p>
        </w:tc>
        <w:tc>
          <w:tcPr>
            <w:tcW w:w="1145" w:type="dxa"/>
            <w:vMerge/>
            <w:shd w:val="clear" w:color="auto" w:fill="auto"/>
            <w:vAlign w:val="center"/>
          </w:tcPr>
          <w:p w14:paraId="22317A11" w14:textId="77777777" w:rsidR="004E5458" w:rsidRPr="005A177D" w:rsidRDefault="004E5458" w:rsidP="000D779C">
            <w:pPr>
              <w:widowControl/>
              <w:jc w:val="center"/>
            </w:pPr>
          </w:p>
        </w:tc>
        <w:tc>
          <w:tcPr>
            <w:tcW w:w="691" w:type="dxa"/>
            <w:shd w:val="clear" w:color="auto" w:fill="auto"/>
            <w:noWrap/>
            <w:vAlign w:val="center"/>
          </w:tcPr>
          <w:p w14:paraId="5F24B504" w14:textId="77777777" w:rsidR="004E5458" w:rsidRPr="005A177D" w:rsidRDefault="004E5458" w:rsidP="000D779C">
            <w:pPr>
              <w:jc w:val="center"/>
              <w:rPr>
                <w:sz w:val="22"/>
              </w:rPr>
            </w:pPr>
            <w:r>
              <w:rPr>
                <w:sz w:val="22"/>
              </w:rPr>
              <w:t>2028</w:t>
            </w:r>
          </w:p>
        </w:tc>
        <w:tc>
          <w:tcPr>
            <w:tcW w:w="1121" w:type="dxa"/>
            <w:shd w:val="clear" w:color="auto" w:fill="auto"/>
            <w:noWrap/>
            <w:vAlign w:val="center"/>
          </w:tcPr>
          <w:p w14:paraId="1E41484D" w14:textId="77777777" w:rsidR="004E5458" w:rsidRPr="005A177D" w:rsidRDefault="004E5458" w:rsidP="000D779C">
            <w:pPr>
              <w:jc w:val="center"/>
              <w:rPr>
                <w:sz w:val="22"/>
              </w:rPr>
            </w:pPr>
            <w:r w:rsidRPr="004E56FD">
              <w:rPr>
                <w:sz w:val="22"/>
              </w:rPr>
              <w:t>5 776,84</w:t>
            </w:r>
          </w:p>
        </w:tc>
        <w:tc>
          <w:tcPr>
            <w:tcW w:w="1147" w:type="dxa"/>
            <w:shd w:val="clear" w:color="auto" w:fill="auto"/>
            <w:vAlign w:val="center"/>
          </w:tcPr>
          <w:p w14:paraId="497F7063" w14:textId="77777777" w:rsidR="004E5458" w:rsidRPr="005A177D" w:rsidRDefault="004E5458" w:rsidP="000D779C">
            <w:pPr>
              <w:jc w:val="center"/>
              <w:rPr>
                <w:sz w:val="22"/>
              </w:rPr>
            </w:pPr>
            <w:r w:rsidRPr="004E56FD">
              <w:rPr>
                <w:sz w:val="22"/>
              </w:rPr>
              <w:t>5 804,03</w:t>
            </w:r>
          </w:p>
        </w:tc>
        <w:tc>
          <w:tcPr>
            <w:tcW w:w="911" w:type="dxa"/>
            <w:shd w:val="clear" w:color="auto" w:fill="auto"/>
            <w:noWrap/>
            <w:vAlign w:val="center"/>
          </w:tcPr>
          <w:p w14:paraId="39076B91" w14:textId="77777777" w:rsidR="004E5458" w:rsidRPr="005A177D" w:rsidRDefault="004E5458" w:rsidP="000D779C">
            <w:pPr>
              <w:jc w:val="center"/>
              <w:rPr>
                <w:sz w:val="22"/>
              </w:rPr>
            </w:pPr>
            <w:r w:rsidRPr="005A177D">
              <w:rPr>
                <w:sz w:val="22"/>
              </w:rPr>
              <w:t>-</w:t>
            </w:r>
          </w:p>
        </w:tc>
        <w:tc>
          <w:tcPr>
            <w:tcW w:w="721" w:type="dxa"/>
            <w:vAlign w:val="center"/>
          </w:tcPr>
          <w:p w14:paraId="6CB67F34" w14:textId="77777777" w:rsidR="004E5458" w:rsidRPr="005A177D" w:rsidRDefault="004E5458" w:rsidP="000D779C">
            <w:pPr>
              <w:jc w:val="center"/>
              <w:rPr>
                <w:sz w:val="22"/>
              </w:rPr>
            </w:pPr>
            <w:r w:rsidRPr="005A177D">
              <w:rPr>
                <w:sz w:val="22"/>
              </w:rPr>
              <w:t>-</w:t>
            </w:r>
          </w:p>
        </w:tc>
        <w:tc>
          <w:tcPr>
            <w:tcW w:w="919" w:type="dxa"/>
            <w:vAlign w:val="center"/>
          </w:tcPr>
          <w:p w14:paraId="303ACC74" w14:textId="77777777" w:rsidR="004E5458" w:rsidRPr="005A177D" w:rsidRDefault="004E5458" w:rsidP="000D779C">
            <w:pPr>
              <w:jc w:val="center"/>
              <w:rPr>
                <w:sz w:val="22"/>
              </w:rPr>
            </w:pPr>
            <w:r w:rsidRPr="005A177D">
              <w:rPr>
                <w:sz w:val="22"/>
              </w:rPr>
              <w:t>-</w:t>
            </w:r>
          </w:p>
        </w:tc>
        <w:tc>
          <w:tcPr>
            <w:tcW w:w="709" w:type="dxa"/>
            <w:vAlign w:val="center"/>
          </w:tcPr>
          <w:p w14:paraId="5AC23A9B" w14:textId="77777777" w:rsidR="004E5458" w:rsidRPr="005A177D" w:rsidRDefault="004E5458" w:rsidP="000D779C">
            <w:pPr>
              <w:jc w:val="center"/>
              <w:rPr>
                <w:sz w:val="22"/>
              </w:rPr>
            </w:pPr>
            <w:r w:rsidRPr="005A177D">
              <w:rPr>
                <w:sz w:val="22"/>
              </w:rPr>
              <w:t>-</w:t>
            </w:r>
          </w:p>
        </w:tc>
        <w:tc>
          <w:tcPr>
            <w:tcW w:w="1240" w:type="dxa"/>
            <w:vAlign w:val="center"/>
          </w:tcPr>
          <w:p w14:paraId="684F3C8D" w14:textId="77777777" w:rsidR="004E5458" w:rsidRPr="005A177D" w:rsidRDefault="004E5458" w:rsidP="000D779C">
            <w:pPr>
              <w:jc w:val="center"/>
              <w:rPr>
                <w:sz w:val="22"/>
              </w:rPr>
            </w:pPr>
            <w:r w:rsidRPr="005A177D">
              <w:rPr>
                <w:sz w:val="22"/>
              </w:rPr>
              <w:t>-</w:t>
            </w:r>
          </w:p>
        </w:tc>
      </w:tr>
      <w:tr w:rsidR="004E5458" w:rsidRPr="005A177D" w14:paraId="6A454F89" w14:textId="77777777" w:rsidTr="000D779C">
        <w:trPr>
          <w:trHeight w:val="340"/>
        </w:trPr>
        <w:tc>
          <w:tcPr>
            <w:tcW w:w="467" w:type="dxa"/>
            <w:vMerge/>
            <w:shd w:val="clear" w:color="auto" w:fill="auto"/>
            <w:noWrap/>
            <w:vAlign w:val="center"/>
          </w:tcPr>
          <w:p w14:paraId="2BBB3C05" w14:textId="77777777" w:rsidR="004E5458" w:rsidRPr="005A177D" w:rsidRDefault="004E5458" w:rsidP="000D779C">
            <w:pPr>
              <w:jc w:val="center"/>
            </w:pPr>
          </w:p>
        </w:tc>
        <w:tc>
          <w:tcPr>
            <w:tcW w:w="1383" w:type="dxa"/>
            <w:vMerge/>
            <w:shd w:val="clear" w:color="auto" w:fill="auto"/>
            <w:vAlign w:val="center"/>
          </w:tcPr>
          <w:p w14:paraId="48FA56F8" w14:textId="77777777" w:rsidR="004E5458" w:rsidRPr="005A177D" w:rsidRDefault="004E5458" w:rsidP="000D779C">
            <w:pPr>
              <w:widowControl/>
              <w:autoSpaceDE w:val="0"/>
              <w:autoSpaceDN w:val="0"/>
              <w:adjustRightInd w:val="0"/>
            </w:pPr>
          </w:p>
        </w:tc>
        <w:tc>
          <w:tcPr>
            <w:tcW w:w="1145" w:type="dxa"/>
            <w:vMerge/>
            <w:shd w:val="clear" w:color="auto" w:fill="auto"/>
            <w:vAlign w:val="center"/>
          </w:tcPr>
          <w:p w14:paraId="46E7490D" w14:textId="77777777" w:rsidR="004E5458" w:rsidRPr="005A177D" w:rsidRDefault="004E5458" w:rsidP="000D779C">
            <w:pPr>
              <w:widowControl/>
              <w:jc w:val="center"/>
            </w:pPr>
          </w:p>
        </w:tc>
        <w:tc>
          <w:tcPr>
            <w:tcW w:w="691" w:type="dxa"/>
            <w:shd w:val="clear" w:color="auto" w:fill="auto"/>
            <w:noWrap/>
            <w:vAlign w:val="center"/>
          </w:tcPr>
          <w:p w14:paraId="31EA5336" w14:textId="77777777" w:rsidR="004E5458" w:rsidRPr="005A177D" w:rsidRDefault="004E5458" w:rsidP="000D779C">
            <w:pPr>
              <w:jc w:val="center"/>
              <w:rPr>
                <w:sz w:val="22"/>
              </w:rPr>
            </w:pPr>
            <w:r>
              <w:rPr>
                <w:sz w:val="22"/>
              </w:rPr>
              <w:t>2029</w:t>
            </w:r>
          </w:p>
        </w:tc>
        <w:tc>
          <w:tcPr>
            <w:tcW w:w="1121" w:type="dxa"/>
            <w:shd w:val="clear" w:color="auto" w:fill="auto"/>
            <w:noWrap/>
            <w:vAlign w:val="center"/>
          </w:tcPr>
          <w:p w14:paraId="05871025" w14:textId="77777777" w:rsidR="004E5458" w:rsidRPr="005A177D" w:rsidRDefault="004E5458" w:rsidP="000D779C">
            <w:pPr>
              <w:jc w:val="center"/>
              <w:rPr>
                <w:sz w:val="22"/>
              </w:rPr>
            </w:pPr>
            <w:r w:rsidRPr="004E56FD">
              <w:rPr>
                <w:sz w:val="22"/>
              </w:rPr>
              <w:t>5 804,03</w:t>
            </w:r>
          </w:p>
        </w:tc>
        <w:tc>
          <w:tcPr>
            <w:tcW w:w="1147" w:type="dxa"/>
            <w:shd w:val="clear" w:color="auto" w:fill="auto"/>
            <w:vAlign w:val="center"/>
          </w:tcPr>
          <w:p w14:paraId="29830088" w14:textId="77777777" w:rsidR="004E5458" w:rsidRPr="005A177D" w:rsidRDefault="004E5458" w:rsidP="000D779C">
            <w:pPr>
              <w:jc w:val="center"/>
              <w:rPr>
                <w:sz w:val="22"/>
              </w:rPr>
            </w:pPr>
            <w:r w:rsidRPr="004E56FD">
              <w:rPr>
                <w:sz w:val="22"/>
              </w:rPr>
              <w:t>5 929,34</w:t>
            </w:r>
          </w:p>
        </w:tc>
        <w:tc>
          <w:tcPr>
            <w:tcW w:w="911" w:type="dxa"/>
            <w:shd w:val="clear" w:color="auto" w:fill="auto"/>
            <w:noWrap/>
            <w:vAlign w:val="center"/>
          </w:tcPr>
          <w:p w14:paraId="21B837E0" w14:textId="77777777" w:rsidR="004E5458" w:rsidRPr="005A177D" w:rsidRDefault="004E5458" w:rsidP="000D779C">
            <w:pPr>
              <w:jc w:val="center"/>
              <w:rPr>
                <w:sz w:val="22"/>
              </w:rPr>
            </w:pPr>
            <w:r w:rsidRPr="005A177D">
              <w:rPr>
                <w:sz w:val="22"/>
              </w:rPr>
              <w:t>-</w:t>
            </w:r>
          </w:p>
        </w:tc>
        <w:tc>
          <w:tcPr>
            <w:tcW w:w="721" w:type="dxa"/>
            <w:vAlign w:val="center"/>
          </w:tcPr>
          <w:p w14:paraId="33445761" w14:textId="77777777" w:rsidR="004E5458" w:rsidRPr="005A177D" w:rsidRDefault="004E5458" w:rsidP="000D779C">
            <w:pPr>
              <w:jc w:val="center"/>
              <w:rPr>
                <w:sz w:val="22"/>
              </w:rPr>
            </w:pPr>
            <w:r w:rsidRPr="005A177D">
              <w:rPr>
                <w:sz w:val="22"/>
              </w:rPr>
              <w:t>-</w:t>
            </w:r>
          </w:p>
        </w:tc>
        <w:tc>
          <w:tcPr>
            <w:tcW w:w="919" w:type="dxa"/>
            <w:vAlign w:val="center"/>
          </w:tcPr>
          <w:p w14:paraId="5FD8F742" w14:textId="77777777" w:rsidR="004E5458" w:rsidRPr="005A177D" w:rsidRDefault="004E5458" w:rsidP="000D779C">
            <w:pPr>
              <w:jc w:val="center"/>
              <w:rPr>
                <w:sz w:val="22"/>
              </w:rPr>
            </w:pPr>
            <w:r w:rsidRPr="005A177D">
              <w:rPr>
                <w:sz w:val="22"/>
              </w:rPr>
              <w:t>-</w:t>
            </w:r>
          </w:p>
        </w:tc>
        <w:tc>
          <w:tcPr>
            <w:tcW w:w="709" w:type="dxa"/>
            <w:vAlign w:val="center"/>
          </w:tcPr>
          <w:p w14:paraId="219282B5" w14:textId="77777777" w:rsidR="004E5458" w:rsidRPr="005A177D" w:rsidRDefault="004E5458" w:rsidP="000D779C">
            <w:pPr>
              <w:jc w:val="center"/>
              <w:rPr>
                <w:sz w:val="22"/>
              </w:rPr>
            </w:pPr>
            <w:r w:rsidRPr="005A177D">
              <w:rPr>
                <w:sz w:val="22"/>
              </w:rPr>
              <w:t>-</w:t>
            </w:r>
          </w:p>
        </w:tc>
        <w:tc>
          <w:tcPr>
            <w:tcW w:w="1240" w:type="dxa"/>
            <w:vAlign w:val="center"/>
          </w:tcPr>
          <w:p w14:paraId="0CAD2A88" w14:textId="77777777" w:rsidR="004E5458" w:rsidRPr="005A177D" w:rsidRDefault="004E5458" w:rsidP="000D779C">
            <w:pPr>
              <w:jc w:val="center"/>
              <w:rPr>
                <w:sz w:val="22"/>
              </w:rPr>
            </w:pPr>
            <w:r w:rsidRPr="005A177D">
              <w:rPr>
                <w:sz w:val="22"/>
              </w:rPr>
              <w:t>-</w:t>
            </w:r>
          </w:p>
        </w:tc>
      </w:tr>
    </w:tbl>
    <w:p w14:paraId="09CF2E7B" w14:textId="77777777" w:rsidR="004E5458" w:rsidRPr="004E5458" w:rsidRDefault="004E5458" w:rsidP="004E5458">
      <w:pPr>
        <w:tabs>
          <w:tab w:val="left" w:pos="851"/>
        </w:tabs>
        <w:spacing w:line="235" w:lineRule="auto"/>
        <w:jc w:val="both"/>
        <w:rPr>
          <w:sz w:val="22"/>
          <w:szCs w:val="22"/>
        </w:rPr>
      </w:pPr>
    </w:p>
    <w:p w14:paraId="48738305" w14:textId="1218883C" w:rsidR="00301708" w:rsidRPr="004E5458" w:rsidRDefault="00301708" w:rsidP="004E5458">
      <w:pPr>
        <w:pStyle w:val="a4"/>
        <w:numPr>
          <w:ilvl w:val="0"/>
          <w:numId w:val="41"/>
        </w:numPr>
        <w:tabs>
          <w:tab w:val="left" w:pos="851"/>
        </w:tabs>
        <w:spacing w:line="235" w:lineRule="auto"/>
        <w:ind w:left="0" w:firstLine="567"/>
        <w:jc w:val="both"/>
        <w:rPr>
          <w:sz w:val="22"/>
          <w:szCs w:val="22"/>
        </w:rPr>
      </w:pPr>
      <w:r w:rsidRPr="004E5458">
        <w:rPr>
          <w:sz w:val="22"/>
          <w:szCs w:val="22"/>
        </w:rPr>
        <w:t>Установить долгосрочные льготные тарифы на тепловую энергию для потребителей ООО «ИБК» (Южский район) на 2025-2029 годы.</w:t>
      </w:r>
    </w:p>
    <w:p w14:paraId="382582D2" w14:textId="77777777" w:rsidR="004E5458" w:rsidRDefault="004E5458" w:rsidP="004E5458">
      <w:pPr>
        <w:tabs>
          <w:tab w:val="left" w:pos="851"/>
        </w:tabs>
        <w:spacing w:line="235" w:lineRule="auto"/>
        <w:jc w:val="both"/>
        <w:rPr>
          <w:sz w:val="22"/>
          <w:szCs w:val="22"/>
        </w:rPr>
      </w:pPr>
    </w:p>
    <w:p w14:paraId="6F0A0A45" w14:textId="77777777" w:rsidR="004E5458" w:rsidRPr="005A177D" w:rsidRDefault="004E5458" w:rsidP="004E5458">
      <w:pPr>
        <w:widowControl/>
        <w:autoSpaceDE w:val="0"/>
        <w:autoSpaceDN w:val="0"/>
        <w:adjustRightInd w:val="0"/>
        <w:jc w:val="center"/>
        <w:rPr>
          <w:b/>
          <w:bCs/>
          <w:sz w:val="22"/>
          <w:szCs w:val="22"/>
        </w:rPr>
      </w:pPr>
      <w:r w:rsidRPr="005A177D">
        <w:rPr>
          <w:b/>
          <w:bCs/>
          <w:sz w:val="22"/>
          <w:szCs w:val="22"/>
        </w:rPr>
        <w:t>Льготные тарифы на тепловую энергию (мощность), поставляемую потребителям</w:t>
      </w:r>
    </w:p>
    <w:p w14:paraId="6F38F4D8" w14:textId="77777777" w:rsidR="004E5458" w:rsidRPr="005A177D" w:rsidRDefault="004E5458" w:rsidP="004E5458">
      <w:pPr>
        <w:widowControl/>
        <w:autoSpaceDE w:val="0"/>
        <w:autoSpaceDN w:val="0"/>
        <w:adjustRightInd w:val="0"/>
        <w:jc w:val="center"/>
        <w:rPr>
          <w:b/>
          <w:bCs/>
          <w:sz w:val="22"/>
          <w:szCs w:val="22"/>
        </w:rPr>
      </w:pPr>
    </w:p>
    <w:tbl>
      <w:tblPr>
        <w:tblW w:w="10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169"/>
        <w:gridCol w:w="708"/>
        <w:gridCol w:w="1276"/>
        <w:gridCol w:w="1276"/>
        <w:gridCol w:w="708"/>
        <w:gridCol w:w="720"/>
        <w:gridCol w:w="840"/>
        <w:gridCol w:w="540"/>
        <w:gridCol w:w="720"/>
      </w:tblGrid>
      <w:tr w:rsidR="004E5458" w:rsidRPr="005A177D" w14:paraId="23D96E4A" w14:textId="77777777" w:rsidTr="000D779C">
        <w:trPr>
          <w:trHeight w:val="346"/>
        </w:trPr>
        <w:tc>
          <w:tcPr>
            <w:tcW w:w="474" w:type="dxa"/>
            <w:vMerge w:val="restart"/>
            <w:shd w:val="clear" w:color="auto" w:fill="auto"/>
            <w:vAlign w:val="center"/>
          </w:tcPr>
          <w:p w14:paraId="7716055E" w14:textId="77777777" w:rsidR="004E5458" w:rsidRPr="005A177D" w:rsidRDefault="004E5458" w:rsidP="000D779C">
            <w:pPr>
              <w:widowControl/>
              <w:jc w:val="center"/>
              <w:rPr>
                <w:sz w:val="22"/>
                <w:szCs w:val="22"/>
              </w:rPr>
            </w:pPr>
            <w:r w:rsidRPr="005A177D">
              <w:rPr>
                <w:sz w:val="22"/>
                <w:szCs w:val="22"/>
              </w:rPr>
              <w:t>№ п/п</w:t>
            </w:r>
          </w:p>
        </w:tc>
        <w:tc>
          <w:tcPr>
            <w:tcW w:w="1902" w:type="dxa"/>
            <w:vMerge w:val="restart"/>
            <w:shd w:val="clear" w:color="auto" w:fill="auto"/>
            <w:vAlign w:val="center"/>
          </w:tcPr>
          <w:p w14:paraId="22D8CD94" w14:textId="77777777" w:rsidR="004E5458" w:rsidRPr="005A177D" w:rsidRDefault="004E5458" w:rsidP="000D779C">
            <w:pPr>
              <w:widowControl/>
              <w:jc w:val="center"/>
              <w:rPr>
                <w:sz w:val="22"/>
                <w:szCs w:val="22"/>
              </w:rPr>
            </w:pPr>
            <w:r w:rsidRPr="005A177D">
              <w:rPr>
                <w:sz w:val="22"/>
                <w:szCs w:val="22"/>
              </w:rPr>
              <w:t>Наименование регулируемой организации</w:t>
            </w:r>
          </w:p>
        </w:tc>
        <w:tc>
          <w:tcPr>
            <w:tcW w:w="1169" w:type="dxa"/>
            <w:vMerge w:val="restart"/>
            <w:shd w:val="clear" w:color="auto" w:fill="auto"/>
            <w:noWrap/>
            <w:vAlign w:val="center"/>
          </w:tcPr>
          <w:p w14:paraId="725365ED" w14:textId="77777777" w:rsidR="004E5458" w:rsidRPr="005A177D" w:rsidRDefault="004E5458" w:rsidP="000D779C">
            <w:pPr>
              <w:widowControl/>
              <w:jc w:val="center"/>
              <w:rPr>
                <w:sz w:val="22"/>
                <w:szCs w:val="22"/>
              </w:rPr>
            </w:pPr>
            <w:r w:rsidRPr="005A177D">
              <w:rPr>
                <w:sz w:val="22"/>
                <w:szCs w:val="22"/>
              </w:rPr>
              <w:t>Вид тарифа</w:t>
            </w:r>
          </w:p>
        </w:tc>
        <w:tc>
          <w:tcPr>
            <w:tcW w:w="708" w:type="dxa"/>
            <w:vMerge w:val="restart"/>
            <w:shd w:val="clear" w:color="auto" w:fill="auto"/>
            <w:noWrap/>
            <w:vAlign w:val="center"/>
          </w:tcPr>
          <w:p w14:paraId="047A3A06" w14:textId="77777777" w:rsidR="004E5458" w:rsidRPr="005A177D" w:rsidRDefault="004E5458" w:rsidP="000D779C">
            <w:pPr>
              <w:widowControl/>
              <w:jc w:val="center"/>
              <w:rPr>
                <w:sz w:val="22"/>
                <w:szCs w:val="22"/>
              </w:rPr>
            </w:pPr>
            <w:r w:rsidRPr="005A177D">
              <w:rPr>
                <w:sz w:val="22"/>
                <w:szCs w:val="22"/>
              </w:rPr>
              <w:t>Год</w:t>
            </w:r>
          </w:p>
        </w:tc>
        <w:tc>
          <w:tcPr>
            <w:tcW w:w="2552" w:type="dxa"/>
            <w:gridSpan w:val="2"/>
            <w:shd w:val="clear" w:color="auto" w:fill="auto"/>
            <w:noWrap/>
            <w:vAlign w:val="center"/>
          </w:tcPr>
          <w:p w14:paraId="6010B4A5" w14:textId="77777777" w:rsidR="004E5458" w:rsidRPr="005A177D" w:rsidRDefault="004E5458" w:rsidP="000D779C">
            <w:pPr>
              <w:widowControl/>
              <w:jc w:val="center"/>
              <w:rPr>
                <w:sz w:val="22"/>
                <w:szCs w:val="22"/>
              </w:rPr>
            </w:pPr>
            <w:r w:rsidRPr="005A177D">
              <w:rPr>
                <w:sz w:val="22"/>
                <w:szCs w:val="22"/>
              </w:rPr>
              <w:t>Вода</w:t>
            </w:r>
          </w:p>
        </w:tc>
        <w:tc>
          <w:tcPr>
            <w:tcW w:w="2808" w:type="dxa"/>
            <w:gridSpan w:val="4"/>
            <w:shd w:val="clear" w:color="auto" w:fill="auto"/>
            <w:noWrap/>
            <w:vAlign w:val="center"/>
          </w:tcPr>
          <w:p w14:paraId="7BEF0E2E" w14:textId="77777777" w:rsidR="004E5458" w:rsidRPr="005A177D" w:rsidRDefault="004E5458" w:rsidP="000D779C">
            <w:pPr>
              <w:widowControl/>
              <w:jc w:val="center"/>
              <w:rPr>
                <w:sz w:val="22"/>
                <w:szCs w:val="22"/>
              </w:rPr>
            </w:pPr>
            <w:r w:rsidRPr="005A177D">
              <w:rPr>
                <w:sz w:val="22"/>
                <w:szCs w:val="22"/>
              </w:rPr>
              <w:t>Отборный пар давлением</w:t>
            </w:r>
          </w:p>
        </w:tc>
        <w:tc>
          <w:tcPr>
            <w:tcW w:w="720" w:type="dxa"/>
            <w:vMerge w:val="restart"/>
            <w:shd w:val="clear" w:color="auto" w:fill="auto"/>
            <w:vAlign w:val="center"/>
          </w:tcPr>
          <w:p w14:paraId="1CFFFEAA" w14:textId="77777777" w:rsidR="004E5458" w:rsidRPr="005A177D" w:rsidRDefault="004E5458" w:rsidP="000D779C">
            <w:pPr>
              <w:widowControl/>
              <w:jc w:val="center"/>
              <w:rPr>
                <w:sz w:val="22"/>
                <w:szCs w:val="22"/>
              </w:rPr>
            </w:pPr>
            <w:r w:rsidRPr="005A177D">
              <w:rPr>
                <w:sz w:val="22"/>
                <w:szCs w:val="22"/>
              </w:rPr>
              <w:t>Острый и редуцированный пар</w:t>
            </w:r>
          </w:p>
        </w:tc>
      </w:tr>
      <w:tr w:rsidR="004E5458" w:rsidRPr="005A177D" w14:paraId="6D2C666F" w14:textId="77777777" w:rsidTr="000D779C">
        <w:trPr>
          <w:trHeight w:val="1112"/>
        </w:trPr>
        <w:tc>
          <w:tcPr>
            <w:tcW w:w="474" w:type="dxa"/>
            <w:vMerge/>
            <w:shd w:val="clear" w:color="auto" w:fill="auto"/>
            <w:noWrap/>
            <w:vAlign w:val="center"/>
          </w:tcPr>
          <w:p w14:paraId="6768DF01" w14:textId="77777777" w:rsidR="004E5458" w:rsidRPr="005A177D" w:rsidRDefault="004E5458" w:rsidP="000D779C">
            <w:pPr>
              <w:widowControl/>
              <w:jc w:val="center"/>
              <w:rPr>
                <w:sz w:val="22"/>
                <w:szCs w:val="22"/>
              </w:rPr>
            </w:pPr>
          </w:p>
        </w:tc>
        <w:tc>
          <w:tcPr>
            <w:tcW w:w="1902" w:type="dxa"/>
            <w:vMerge/>
            <w:shd w:val="clear" w:color="auto" w:fill="auto"/>
            <w:vAlign w:val="center"/>
          </w:tcPr>
          <w:p w14:paraId="3D400633" w14:textId="77777777" w:rsidR="004E5458" w:rsidRPr="005A177D" w:rsidRDefault="004E5458" w:rsidP="000D779C">
            <w:pPr>
              <w:widowControl/>
              <w:rPr>
                <w:sz w:val="22"/>
                <w:szCs w:val="22"/>
              </w:rPr>
            </w:pPr>
          </w:p>
        </w:tc>
        <w:tc>
          <w:tcPr>
            <w:tcW w:w="1169" w:type="dxa"/>
            <w:vMerge/>
            <w:shd w:val="clear" w:color="auto" w:fill="auto"/>
            <w:noWrap/>
            <w:vAlign w:val="center"/>
          </w:tcPr>
          <w:p w14:paraId="5C3AAE63" w14:textId="77777777" w:rsidR="004E5458" w:rsidRPr="005A177D" w:rsidRDefault="004E5458" w:rsidP="000D779C">
            <w:pPr>
              <w:widowControl/>
              <w:jc w:val="center"/>
              <w:rPr>
                <w:sz w:val="22"/>
                <w:szCs w:val="22"/>
              </w:rPr>
            </w:pPr>
          </w:p>
        </w:tc>
        <w:tc>
          <w:tcPr>
            <w:tcW w:w="708" w:type="dxa"/>
            <w:vMerge/>
            <w:shd w:val="clear" w:color="auto" w:fill="auto"/>
            <w:noWrap/>
            <w:vAlign w:val="center"/>
          </w:tcPr>
          <w:p w14:paraId="52410054" w14:textId="77777777" w:rsidR="004E5458" w:rsidRPr="005A177D" w:rsidRDefault="004E5458" w:rsidP="000D779C">
            <w:pPr>
              <w:widowControl/>
              <w:jc w:val="center"/>
              <w:rPr>
                <w:sz w:val="22"/>
                <w:szCs w:val="22"/>
              </w:rPr>
            </w:pPr>
          </w:p>
        </w:tc>
        <w:tc>
          <w:tcPr>
            <w:tcW w:w="1276" w:type="dxa"/>
            <w:shd w:val="clear" w:color="auto" w:fill="auto"/>
            <w:noWrap/>
            <w:vAlign w:val="center"/>
          </w:tcPr>
          <w:p w14:paraId="22B673BB" w14:textId="77777777" w:rsidR="004E5458" w:rsidRPr="005A177D" w:rsidRDefault="004E5458" w:rsidP="000D779C">
            <w:pPr>
              <w:widowControl/>
              <w:jc w:val="center"/>
            </w:pPr>
            <w:r w:rsidRPr="005A177D">
              <w:t>1 полугодие</w:t>
            </w:r>
          </w:p>
        </w:tc>
        <w:tc>
          <w:tcPr>
            <w:tcW w:w="1276" w:type="dxa"/>
            <w:shd w:val="clear" w:color="auto" w:fill="auto"/>
            <w:vAlign w:val="center"/>
          </w:tcPr>
          <w:p w14:paraId="4C827EE9" w14:textId="77777777" w:rsidR="004E5458" w:rsidRPr="005A177D" w:rsidRDefault="004E5458" w:rsidP="000D779C">
            <w:pPr>
              <w:widowControl/>
              <w:jc w:val="center"/>
            </w:pPr>
            <w:r w:rsidRPr="005A177D">
              <w:t>2 полугодие</w:t>
            </w:r>
          </w:p>
        </w:tc>
        <w:tc>
          <w:tcPr>
            <w:tcW w:w="708" w:type="dxa"/>
            <w:shd w:val="clear" w:color="auto" w:fill="auto"/>
            <w:vAlign w:val="center"/>
          </w:tcPr>
          <w:p w14:paraId="454B9067" w14:textId="77777777" w:rsidR="004E5458" w:rsidRPr="005A177D" w:rsidRDefault="004E5458" w:rsidP="000D779C">
            <w:pPr>
              <w:widowControl/>
              <w:jc w:val="center"/>
              <w:rPr>
                <w:sz w:val="22"/>
                <w:szCs w:val="22"/>
              </w:rPr>
            </w:pPr>
            <w:r w:rsidRPr="005A177D">
              <w:rPr>
                <w:sz w:val="22"/>
                <w:szCs w:val="22"/>
              </w:rPr>
              <w:t>от 1,2 до 2,5 кг/</w:t>
            </w:r>
          </w:p>
          <w:p w14:paraId="7EEF9E80" w14:textId="77777777" w:rsidR="004E5458" w:rsidRPr="005A177D" w:rsidRDefault="004E5458" w:rsidP="000D779C">
            <w:pPr>
              <w:widowControl/>
              <w:jc w:val="center"/>
              <w:rPr>
                <w:sz w:val="22"/>
                <w:szCs w:val="22"/>
              </w:rPr>
            </w:pPr>
            <w:r w:rsidRPr="005A177D">
              <w:rPr>
                <w:sz w:val="22"/>
                <w:szCs w:val="22"/>
              </w:rPr>
              <w:t>см</w:t>
            </w:r>
            <w:r w:rsidRPr="005A177D">
              <w:rPr>
                <w:sz w:val="22"/>
                <w:szCs w:val="22"/>
                <w:vertAlign w:val="superscript"/>
              </w:rPr>
              <w:t>2</w:t>
            </w:r>
          </w:p>
        </w:tc>
        <w:tc>
          <w:tcPr>
            <w:tcW w:w="720" w:type="dxa"/>
            <w:vAlign w:val="center"/>
          </w:tcPr>
          <w:p w14:paraId="49A08198" w14:textId="77777777" w:rsidR="004E5458" w:rsidRPr="005A177D" w:rsidRDefault="004E5458" w:rsidP="000D779C">
            <w:pPr>
              <w:widowControl/>
              <w:jc w:val="center"/>
              <w:rPr>
                <w:sz w:val="22"/>
                <w:szCs w:val="22"/>
              </w:rPr>
            </w:pPr>
            <w:r w:rsidRPr="005A177D">
              <w:rPr>
                <w:sz w:val="22"/>
                <w:szCs w:val="22"/>
              </w:rPr>
              <w:t>от 2,5 до 7,0 кг/см</w:t>
            </w:r>
            <w:r w:rsidRPr="005A177D">
              <w:rPr>
                <w:sz w:val="22"/>
                <w:szCs w:val="22"/>
                <w:vertAlign w:val="superscript"/>
              </w:rPr>
              <w:t>2</w:t>
            </w:r>
          </w:p>
        </w:tc>
        <w:tc>
          <w:tcPr>
            <w:tcW w:w="840" w:type="dxa"/>
            <w:vAlign w:val="center"/>
          </w:tcPr>
          <w:p w14:paraId="2D98900B" w14:textId="77777777" w:rsidR="004E5458" w:rsidRPr="005A177D" w:rsidRDefault="004E5458" w:rsidP="000D779C">
            <w:pPr>
              <w:widowControl/>
              <w:jc w:val="center"/>
              <w:rPr>
                <w:sz w:val="22"/>
                <w:szCs w:val="22"/>
              </w:rPr>
            </w:pPr>
            <w:r w:rsidRPr="005A177D">
              <w:rPr>
                <w:sz w:val="22"/>
                <w:szCs w:val="22"/>
              </w:rPr>
              <w:t>от 7,0 до 13,0 кг/</w:t>
            </w:r>
          </w:p>
          <w:p w14:paraId="50DAB815" w14:textId="77777777" w:rsidR="004E5458" w:rsidRPr="005A177D" w:rsidRDefault="004E5458" w:rsidP="000D779C">
            <w:pPr>
              <w:widowControl/>
              <w:jc w:val="center"/>
              <w:rPr>
                <w:sz w:val="22"/>
                <w:szCs w:val="22"/>
              </w:rPr>
            </w:pPr>
            <w:r w:rsidRPr="005A177D">
              <w:rPr>
                <w:sz w:val="22"/>
                <w:szCs w:val="22"/>
              </w:rPr>
              <w:t>см</w:t>
            </w:r>
            <w:r w:rsidRPr="005A177D">
              <w:rPr>
                <w:sz w:val="22"/>
                <w:szCs w:val="22"/>
                <w:vertAlign w:val="superscript"/>
              </w:rPr>
              <w:t>2</w:t>
            </w:r>
          </w:p>
        </w:tc>
        <w:tc>
          <w:tcPr>
            <w:tcW w:w="540" w:type="dxa"/>
            <w:vAlign w:val="center"/>
          </w:tcPr>
          <w:p w14:paraId="71D4DF68" w14:textId="77777777" w:rsidR="004E5458" w:rsidRPr="005A177D" w:rsidRDefault="004E5458" w:rsidP="000D779C">
            <w:pPr>
              <w:widowControl/>
              <w:ind w:right="-108" w:hanging="109"/>
              <w:jc w:val="center"/>
              <w:rPr>
                <w:sz w:val="22"/>
                <w:szCs w:val="22"/>
              </w:rPr>
            </w:pPr>
            <w:r w:rsidRPr="005A177D">
              <w:rPr>
                <w:sz w:val="22"/>
                <w:szCs w:val="22"/>
              </w:rPr>
              <w:t>Свыше 13,0 кг/</w:t>
            </w:r>
          </w:p>
          <w:p w14:paraId="0E8B9A8F" w14:textId="77777777" w:rsidR="004E5458" w:rsidRPr="005A177D" w:rsidRDefault="004E5458" w:rsidP="000D779C">
            <w:pPr>
              <w:widowControl/>
              <w:jc w:val="center"/>
              <w:rPr>
                <w:sz w:val="22"/>
                <w:szCs w:val="22"/>
              </w:rPr>
            </w:pPr>
            <w:r w:rsidRPr="005A177D">
              <w:rPr>
                <w:sz w:val="22"/>
                <w:szCs w:val="22"/>
              </w:rPr>
              <w:t>см</w:t>
            </w:r>
            <w:r w:rsidRPr="005A177D">
              <w:rPr>
                <w:sz w:val="22"/>
                <w:szCs w:val="22"/>
                <w:vertAlign w:val="superscript"/>
              </w:rPr>
              <w:t>2</w:t>
            </w:r>
          </w:p>
        </w:tc>
        <w:tc>
          <w:tcPr>
            <w:tcW w:w="720" w:type="dxa"/>
            <w:vMerge/>
            <w:shd w:val="clear" w:color="auto" w:fill="auto"/>
            <w:vAlign w:val="center"/>
          </w:tcPr>
          <w:p w14:paraId="1CB52A81" w14:textId="77777777" w:rsidR="004E5458" w:rsidRPr="005A177D" w:rsidRDefault="004E5458" w:rsidP="000D779C">
            <w:pPr>
              <w:widowControl/>
              <w:jc w:val="center"/>
              <w:rPr>
                <w:sz w:val="22"/>
                <w:szCs w:val="22"/>
              </w:rPr>
            </w:pPr>
          </w:p>
        </w:tc>
      </w:tr>
      <w:tr w:rsidR="004E5458" w:rsidRPr="004E56FD" w14:paraId="738B4341" w14:textId="77777777" w:rsidTr="000D779C">
        <w:trPr>
          <w:trHeight w:val="300"/>
        </w:trPr>
        <w:tc>
          <w:tcPr>
            <w:tcW w:w="10333" w:type="dxa"/>
            <w:gridSpan w:val="11"/>
            <w:shd w:val="clear" w:color="auto" w:fill="auto"/>
            <w:noWrap/>
            <w:vAlign w:val="center"/>
          </w:tcPr>
          <w:p w14:paraId="5B62ACC7" w14:textId="77777777" w:rsidR="004E5458" w:rsidRPr="004E56FD" w:rsidRDefault="004E5458" w:rsidP="000D779C">
            <w:pPr>
              <w:widowControl/>
              <w:jc w:val="center"/>
              <w:rPr>
                <w:color w:val="000000" w:themeColor="text1"/>
                <w:sz w:val="22"/>
                <w:szCs w:val="22"/>
              </w:rPr>
            </w:pPr>
            <w:r w:rsidRPr="004E56FD">
              <w:rPr>
                <w:color w:val="000000" w:themeColor="text1"/>
                <w:sz w:val="22"/>
                <w:szCs w:val="22"/>
              </w:rPr>
              <w:t>Для потребителей, в случае отсутствия дифференциации тарифов по схеме подключения</w:t>
            </w:r>
          </w:p>
        </w:tc>
      </w:tr>
      <w:tr w:rsidR="004E5458" w:rsidRPr="004E56FD" w14:paraId="55A7E5FD" w14:textId="77777777" w:rsidTr="000D779C">
        <w:trPr>
          <w:trHeight w:val="300"/>
        </w:trPr>
        <w:tc>
          <w:tcPr>
            <w:tcW w:w="10333" w:type="dxa"/>
            <w:gridSpan w:val="11"/>
            <w:tcBorders>
              <w:bottom w:val="single" w:sz="4" w:space="0" w:color="auto"/>
            </w:tcBorders>
            <w:shd w:val="clear" w:color="auto" w:fill="auto"/>
            <w:noWrap/>
            <w:vAlign w:val="center"/>
          </w:tcPr>
          <w:p w14:paraId="40A00335" w14:textId="77777777" w:rsidR="004E5458" w:rsidRPr="004E56FD" w:rsidRDefault="004E5458" w:rsidP="000D779C">
            <w:pPr>
              <w:widowControl/>
              <w:jc w:val="center"/>
              <w:rPr>
                <w:color w:val="000000" w:themeColor="text1"/>
                <w:sz w:val="22"/>
                <w:szCs w:val="22"/>
              </w:rPr>
            </w:pPr>
            <w:r w:rsidRPr="004E56FD">
              <w:rPr>
                <w:color w:val="000000" w:themeColor="text1"/>
                <w:sz w:val="22"/>
                <w:szCs w:val="22"/>
              </w:rPr>
              <w:t xml:space="preserve">Население (тарифы указываются с учетом </w:t>
            </w:r>
            <w:proofErr w:type="gramStart"/>
            <w:r w:rsidRPr="004E56FD">
              <w:rPr>
                <w:color w:val="000000" w:themeColor="text1"/>
                <w:sz w:val="22"/>
                <w:szCs w:val="22"/>
              </w:rPr>
              <w:t>НДС)*</w:t>
            </w:r>
            <w:proofErr w:type="gramEnd"/>
          </w:p>
        </w:tc>
      </w:tr>
      <w:tr w:rsidR="004E5458" w:rsidRPr="004E56FD" w14:paraId="0589A607" w14:textId="77777777" w:rsidTr="000D779C">
        <w:trPr>
          <w:trHeight w:val="340"/>
        </w:trPr>
        <w:tc>
          <w:tcPr>
            <w:tcW w:w="474" w:type="dxa"/>
            <w:vMerge w:val="restart"/>
            <w:tcBorders>
              <w:top w:val="single" w:sz="4" w:space="0" w:color="auto"/>
              <w:left w:val="single" w:sz="4" w:space="0" w:color="auto"/>
            </w:tcBorders>
            <w:shd w:val="clear" w:color="auto" w:fill="auto"/>
            <w:noWrap/>
            <w:vAlign w:val="center"/>
          </w:tcPr>
          <w:p w14:paraId="252EFDAB" w14:textId="77777777" w:rsidR="004E5458" w:rsidRPr="004E56FD" w:rsidRDefault="004E5458" w:rsidP="000D779C">
            <w:pPr>
              <w:jc w:val="center"/>
              <w:rPr>
                <w:color w:val="000000" w:themeColor="text1"/>
                <w:sz w:val="22"/>
                <w:szCs w:val="22"/>
              </w:rPr>
            </w:pPr>
            <w:r w:rsidRPr="004E56FD">
              <w:rPr>
                <w:color w:val="000000" w:themeColor="text1"/>
                <w:sz w:val="22"/>
                <w:szCs w:val="22"/>
              </w:rPr>
              <w:t>1.</w:t>
            </w:r>
          </w:p>
        </w:tc>
        <w:tc>
          <w:tcPr>
            <w:tcW w:w="1902" w:type="dxa"/>
            <w:vMerge w:val="restart"/>
            <w:tcBorders>
              <w:top w:val="single" w:sz="4" w:space="0" w:color="auto"/>
            </w:tcBorders>
            <w:shd w:val="clear" w:color="auto" w:fill="auto"/>
            <w:vAlign w:val="center"/>
          </w:tcPr>
          <w:p w14:paraId="16C64C09" w14:textId="77777777" w:rsidR="004E5458" w:rsidRPr="004E56FD" w:rsidRDefault="004E5458" w:rsidP="000D779C">
            <w:pPr>
              <w:widowControl/>
              <w:autoSpaceDE w:val="0"/>
              <w:autoSpaceDN w:val="0"/>
              <w:adjustRightInd w:val="0"/>
              <w:rPr>
                <w:color w:val="000000" w:themeColor="text1"/>
                <w:sz w:val="22"/>
                <w:szCs w:val="22"/>
              </w:rPr>
            </w:pPr>
            <w:r w:rsidRPr="004E56FD">
              <w:rPr>
                <w:color w:val="000000" w:themeColor="text1"/>
              </w:rPr>
              <w:t>ООО «</w:t>
            </w:r>
            <w:proofErr w:type="gramStart"/>
            <w:r w:rsidRPr="004E56FD">
              <w:rPr>
                <w:color w:val="000000" w:themeColor="text1"/>
                <w:szCs w:val="28"/>
              </w:rPr>
              <w:t>ИБК</w:t>
            </w:r>
            <w:r w:rsidRPr="004E56FD">
              <w:rPr>
                <w:color w:val="000000" w:themeColor="text1"/>
              </w:rPr>
              <w:t>»  (</w:t>
            </w:r>
            <w:proofErr w:type="gramEnd"/>
            <w:r w:rsidRPr="004E56FD">
              <w:rPr>
                <w:color w:val="000000" w:themeColor="text1"/>
              </w:rPr>
              <w:t>Южский район)</w:t>
            </w:r>
          </w:p>
        </w:tc>
        <w:tc>
          <w:tcPr>
            <w:tcW w:w="1169" w:type="dxa"/>
            <w:vMerge w:val="restart"/>
            <w:tcBorders>
              <w:top w:val="single" w:sz="4" w:space="0" w:color="auto"/>
            </w:tcBorders>
            <w:shd w:val="clear" w:color="auto" w:fill="auto"/>
            <w:vAlign w:val="center"/>
          </w:tcPr>
          <w:p w14:paraId="505FB09D" w14:textId="77777777" w:rsidR="004E5458" w:rsidRPr="004E56FD" w:rsidRDefault="004E5458" w:rsidP="000D779C">
            <w:pPr>
              <w:widowControl/>
              <w:jc w:val="center"/>
              <w:rPr>
                <w:color w:val="000000" w:themeColor="text1"/>
                <w:sz w:val="22"/>
                <w:szCs w:val="22"/>
              </w:rPr>
            </w:pPr>
            <w:r w:rsidRPr="004E56FD">
              <w:rPr>
                <w:color w:val="000000" w:themeColor="text1"/>
                <w:sz w:val="22"/>
                <w:szCs w:val="22"/>
              </w:rPr>
              <w:t>Одноставочный, руб./Гкал</w:t>
            </w:r>
          </w:p>
        </w:tc>
        <w:tc>
          <w:tcPr>
            <w:tcW w:w="708" w:type="dxa"/>
            <w:tcBorders>
              <w:top w:val="single" w:sz="4" w:space="0" w:color="auto"/>
              <w:bottom w:val="single" w:sz="4" w:space="0" w:color="auto"/>
            </w:tcBorders>
            <w:shd w:val="clear" w:color="auto" w:fill="auto"/>
            <w:noWrap/>
            <w:vAlign w:val="center"/>
          </w:tcPr>
          <w:p w14:paraId="02074B7C" w14:textId="77777777" w:rsidR="004E5458" w:rsidRPr="004E56FD" w:rsidRDefault="004E5458" w:rsidP="000D779C">
            <w:pPr>
              <w:jc w:val="center"/>
              <w:rPr>
                <w:color w:val="000000" w:themeColor="text1"/>
                <w:sz w:val="22"/>
              </w:rPr>
            </w:pPr>
            <w:r w:rsidRPr="004E56FD">
              <w:rPr>
                <w:color w:val="000000" w:themeColor="text1"/>
                <w:sz w:val="22"/>
              </w:rPr>
              <w:t>2025</w:t>
            </w:r>
          </w:p>
        </w:tc>
        <w:tc>
          <w:tcPr>
            <w:tcW w:w="1276" w:type="dxa"/>
            <w:tcBorders>
              <w:top w:val="single" w:sz="4" w:space="0" w:color="auto"/>
              <w:bottom w:val="single" w:sz="4" w:space="0" w:color="auto"/>
            </w:tcBorders>
            <w:shd w:val="clear" w:color="auto" w:fill="auto"/>
            <w:noWrap/>
            <w:vAlign w:val="center"/>
          </w:tcPr>
          <w:p w14:paraId="6CE77C5B" w14:textId="77777777" w:rsidR="004E5458" w:rsidRPr="004E56FD" w:rsidRDefault="004E5458" w:rsidP="000D779C">
            <w:pPr>
              <w:jc w:val="center"/>
              <w:rPr>
                <w:color w:val="000000" w:themeColor="text1"/>
                <w:sz w:val="22"/>
                <w:lang w:val="en-US"/>
              </w:rPr>
            </w:pPr>
            <w:r w:rsidRPr="004E56FD">
              <w:rPr>
                <w:color w:val="000000" w:themeColor="text1"/>
                <w:sz w:val="22"/>
              </w:rPr>
              <w:t xml:space="preserve">3 140,71 </w:t>
            </w:r>
            <w:r w:rsidRPr="004E56FD">
              <w:rPr>
                <w:color w:val="000000" w:themeColor="text1"/>
                <w:sz w:val="22"/>
                <w:szCs w:val="22"/>
                <w:vertAlign w:val="superscript"/>
                <w:lang w:val="en-US"/>
              </w:rPr>
              <w:t>1</w:t>
            </w:r>
          </w:p>
        </w:tc>
        <w:tc>
          <w:tcPr>
            <w:tcW w:w="1276" w:type="dxa"/>
            <w:tcBorders>
              <w:top w:val="single" w:sz="4" w:space="0" w:color="auto"/>
              <w:bottom w:val="single" w:sz="4" w:space="0" w:color="auto"/>
            </w:tcBorders>
            <w:shd w:val="clear" w:color="auto" w:fill="auto"/>
            <w:vAlign w:val="center"/>
          </w:tcPr>
          <w:p w14:paraId="079AA4A1" w14:textId="77777777" w:rsidR="004E5458" w:rsidRPr="004E56FD" w:rsidRDefault="004E5458" w:rsidP="000D779C">
            <w:pPr>
              <w:jc w:val="center"/>
              <w:rPr>
                <w:color w:val="000000" w:themeColor="text1"/>
                <w:sz w:val="22"/>
                <w:lang w:val="en-US"/>
              </w:rPr>
            </w:pPr>
            <w:r w:rsidRPr="004E56FD">
              <w:rPr>
                <w:color w:val="000000" w:themeColor="text1"/>
                <w:sz w:val="22"/>
              </w:rPr>
              <w:t xml:space="preserve">3 574,13 </w:t>
            </w:r>
            <w:r w:rsidRPr="004E56FD">
              <w:rPr>
                <w:color w:val="000000" w:themeColor="text1"/>
                <w:sz w:val="22"/>
                <w:szCs w:val="22"/>
                <w:vertAlign w:val="superscript"/>
                <w:lang w:val="en-US"/>
              </w:rPr>
              <w:t>2</w:t>
            </w:r>
          </w:p>
        </w:tc>
        <w:tc>
          <w:tcPr>
            <w:tcW w:w="708" w:type="dxa"/>
            <w:tcBorders>
              <w:top w:val="single" w:sz="4" w:space="0" w:color="auto"/>
              <w:bottom w:val="single" w:sz="4" w:space="0" w:color="auto"/>
            </w:tcBorders>
            <w:shd w:val="clear" w:color="auto" w:fill="auto"/>
            <w:noWrap/>
            <w:vAlign w:val="center"/>
          </w:tcPr>
          <w:p w14:paraId="52AA5861" w14:textId="77777777" w:rsidR="004E5458" w:rsidRPr="004E56FD" w:rsidRDefault="004E5458" w:rsidP="000D779C">
            <w:pPr>
              <w:jc w:val="center"/>
              <w:rPr>
                <w:color w:val="000000" w:themeColor="text1"/>
                <w:sz w:val="22"/>
                <w:szCs w:val="22"/>
              </w:rPr>
            </w:pPr>
            <w:r w:rsidRPr="004E56FD">
              <w:rPr>
                <w:color w:val="000000" w:themeColor="text1"/>
                <w:sz w:val="22"/>
                <w:szCs w:val="22"/>
              </w:rPr>
              <w:t>-</w:t>
            </w:r>
          </w:p>
        </w:tc>
        <w:tc>
          <w:tcPr>
            <w:tcW w:w="720" w:type="dxa"/>
            <w:tcBorders>
              <w:top w:val="single" w:sz="4" w:space="0" w:color="auto"/>
              <w:bottom w:val="single" w:sz="4" w:space="0" w:color="auto"/>
            </w:tcBorders>
            <w:vAlign w:val="center"/>
          </w:tcPr>
          <w:p w14:paraId="6C0D5B4D" w14:textId="77777777" w:rsidR="004E5458" w:rsidRPr="004E56FD" w:rsidRDefault="004E5458" w:rsidP="000D779C">
            <w:pPr>
              <w:jc w:val="center"/>
              <w:rPr>
                <w:color w:val="000000" w:themeColor="text1"/>
                <w:sz w:val="22"/>
                <w:szCs w:val="22"/>
              </w:rPr>
            </w:pPr>
            <w:r w:rsidRPr="004E56FD">
              <w:rPr>
                <w:color w:val="000000" w:themeColor="text1"/>
                <w:sz w:val="22"/>
                <w:szCs w:val="22"/>
              </w:rPr>
              <w:t>-</w:t>
            </w:r>
          </w:p>
        </w:tc>
        <w:tc>
          <w:tcPr>
            <w:tcW w:w="840" w:type="dxa"/>
            <w:tcBorders>
              <w:top w:val="single" w:sz="4" w:space="0" w:color="auto"/>
              <w:bottom w:val="single" w:sz="4" w:space="0" w:color="auto"/>
            </w:tcBorders>
            <w:vAlign w:val="center"/>
          </w:tcPr>
          <w:p w14:paraId="57747F8C" w14:textId="77777777" w:rsidR="004E5458" w:rsidRPr="004E56FD" w:rsidRDefault="004E5458" w:rsidP="000D779C">
            <w:pPr>
              <w:jc w:val="center"/>
              <w:rPr>
                <w:color w:val="000000" w:themeColor="text1"/>
                <w:sz w:val="22"/>
                <w:szCs w:val="22"/>
              </w:rPr>
            </w:pPr>
            <w:r w:rsidRPr="004E56FD">
              <w:rPr>
                <w:color w:val="000000" w:themeColor="text1"/>
                <w:sz w:val="22"/>
                <w:szCs w:val="22"/>
              </w:rPr>
              <w:t>-</w:t>
            </w:r>
          </w:p>
        </w:tc>
        <w:tc>
          <w:tcPr>
            <w:tcW w:w="540" w:type="dxa"/>
            <w:tcBorders>
              <w:top w:val="single" w:sz="4" w:space="0" w:color="auto"/>
              <w:bottom w:val="single" w:sz="4" w:space="0" w:color="auto"/>
            </w:tcBorders>
            <w:vAlign w:val="center"/>
          </w:tcPr>
          <w:p w14:paraId="2B4E1153" w14:textId="77777777" w:rsidR="004E5458" w:rsidRPr="004E56FD" w:rsidRDefault="004E5458" w:rsidP="000D779C">
            <w:pPr>
              <w:jc w:val="center"/>
              <w:rPr>
                <w:color w:val="000000" w:themeColor="text1"/>
                <w:sz w:val="22"/>
                <w:szCs w:val="22"/>
              </w:rPr>
            </w:pPr>
            <w:r w:rsidRPr="004E56FD">
              <w:rPr>
                <w:color w:val="000000" w:themeColor="text1"/>
                <w:sz w:val="22"/>
                <w:szCs w:val="22"/>
              </w:rPr>
              <w:t>-</w:t>
            </w:r>
          </w:p>
        </w:tc>
        <w:tc>
          <w:tcPr>
            <w:tcW w:w="720" w:type="dxa"/>
            <w:tcBorders>
              <w:top w:val="single" w:sz="4" w:space="0" w:color="auto"/>
              <w:bottom w:val="single" w:sz="4" w:space="0" w:color="auto"/>
              <w:right w:val="single" w:sz="4" w:space="0" w:color="auto"/>
            </w:tcBorders>
            <w:shd w:val="clear" w:color="auto" w:fill="auto"/>
            <w:noWrap/>
            <w:vAlign w:val="center"/>
          </w:tcPr>
          <w:p w14:paraId="6CFB7378" w14:textId="77777777" w:rsidR="004E5458" w:rsidRPr="004E56FD" w:rsidRDefault="004E5458" w:rsidP="000D779C">
            <w:pPr>
              <w:jc w:val="center"/>
              <w:rPr>
                <w:color w:val="000000" w:themeColor="text1"/>
                <w:sz w:val="22"/>
                <w:szCs w:val="22"/>
              </w:rPr>
            </w:pPr>
            <w:r w:rsidRPr="004E56FD">
              <w:rPr>
                <w:color w:val="000000" w:themeColor="text1"/>
                <w:sz w:val="22"/>
                <w:szCs w:val="22"/>
              </w:rPr>
              <w:t>-</w:t>
            </w:r>
          </w:p>
        </w:tc>
      </w:tr>
      <w:tr w:rsidR="004E5458" w:rsidRPr="004E56FD" w14:paraId="6D4F436B" w14:textId="77777777" w:rsidTr="000D779C">
        <w:trPr>
          <w:trHeight w:val="340"/>
        </w:trPr>
        <w:tc>
          <w:tcPr>
            <w:tcW w:w="474" w:type="dxa"/>
            <w:vMerge/>
            <w:tcBorders>
              <w:left w:val="single" w:sz="4" w:space="0" w:color="auto"/>
            </w:tcBorders>
            <w:shd w:val="clear" w:color="auto" w:fill="auto"/>
            <w:noWrap/>
            <w:vAlign w:val="center"/>
          </w:tcPr>
          <w:p w14:paraId="0CB30F85" w14:textId="77777777" w:rsidR="004E5458" w:rsidRPr="004E56FD" w:rsidRDefault="004E5458" w:rsidP="000D779C">
            <w:pPr>
              <w:jc w:val="center"/>
              <w:rPr>
                <w:color w:val="000000" w:themeColor="text1"/>
                <w:sz w:val="22"/>
                <w:szCs w:val="22"/>
              </w:rPr>
            </w:pPr>
          </w:p>
        </w:tc>
        <w:tc>
          <w:tcPr>
            <w:tcW w:w="1902" w:type="dxa"/>
            <w:vMerge/>
            <w:shd w:val="clear" w:color="auto" w:fill="auto"/>
            <w:vAlign w:val="center"/>
          </w:tcPr>
          <w:p w14:paraId="4C6724E7" w14:textId="77777777" w:rsidR="004E5458" w:rsidRPr="004E56FD" w:rsidRDefault="004E5458" w:rsidP="000D779C">
            <w:pPr>
              <w:widowControl/>
              <w:autoSpaceDE w:val="0"/>
              <w:autoSpaceDN w:val="0"/>
              <w:adjustRightInd w:val="0"/>
              <w:rPr>
                <w:color w:val="000000" w:themeColor="text1"/>
              </w:rPr>
            </w:pPr>
          </w:p>
        </w:tc>
        <w:tc>
          <w:tcPr>
            <w:tcW w:w="1169" w:type="dxa"/>
            <w:vMerge/>
            <w:shd w:val="clear" w:color="auto" w:fill="auto"/>
            <w:vAlign w:val="center"/>
          </w:tcPr>
          <w:p w14:paraId="2BFF859D" w14:textId="77777777" w:rsidR="004E5458" w:rsidRPr="004E56FD" w:rsidRDefault="004E5458" w:rsidP="000D779C">
            <w:pPr>
              <w:widowControl/>
              <w:jc w:val="center"/>
              <w:rPr>
                <w:color w:val="000000" w:themeColor="text1"/>
                <w:sz w:val="22"/>
                <w:szCs w:val="22"/>
              </w:rPr>
            </w:pPr>
          </w:p>
        </w:tc>
        <w:tc>
          <w:tcPr>
            <w:tcW w:w="708" w:type="dxa"/>
            <w:tcBorders>
              <w:top w:val="single" w:sz="4" w:space="0" w:color="auto"/>
              <w:bottom w:val="single" w:sz="4" w:space="0" w:color="auto"/>
            </w:tcBorders>
            <w:shd w:val="clear" w:color="auto" w:fill="auto"/>
            <w:noWrap/>
            <w:vAlign w:val="center"/>
          </w:tcPr>
          <w:p w14:paraId="04B5ADC2" w14:textId="77777777" w:rsidR="004E5458" w:rsidRPr="004E56FD" w:rsidRDefault="004E5458" w:rsidP="000D779C">
            <w:pPr>
              <w:jc w:val="center"/>
              <w:rPr>
                <w:color w:val="000000" w:themeColor="text1"/>
                <w:sz w:val="22"/>
              </w:rPr>
            </w:pPr>
            <w:r w:rsidRPr="004E56FD">
              <w:rPr>
                <w:color w:val="000000" w:themeColor="text1"/>
                <w:sz w:val="22"/>
              </w:rPr>
              <w:t>2026</w:t>
            </w:r>
          </w:p>
        </w:tc>
        <w:tc>
          <w:tcPr>
            <w:tcW w:w="1276" w:type="dxa"/>
            <w:tcBorders>
              <w:top w:val="single" w:sz="4" w:space="0" w:color="auto"/>
              <w:bottom w:val="single" w:sz="4" w:space="0" w:color="auto"/>
            </w:tcBorders>
            <w:shd w:val="clear" w:color="auto" w:fill="auto"/>
            <w:noWrap/>
            <w:vAlign w:val="center"/>
          </w:tcPr>
          <w:p w14:paraId="48D79729" w14:textId="77777777" w:rsidR="004E5458" w:rsidRPr="004E56FD" w:rsidRDefault="004E5458" w:rsidP="000D779C">
            <w:pPr>
              <w:jc w:val="center"/>
              <w:rPr>
                <w:color w:val="000000" w:themeColor="text1"/>
                <w:sz w:val="22"/>
              </w:rPr>
            </w:pPr>
            <w:r w:rsidRPr="004E56FD">
              <w:rPr>
                <w:color w:val="000000" w:themeColor="text1"/>
                <w:sz w:val="22"/>
              </w:rPr>
              <w:t xml:space="preserve">3 574,13 </w:t>
            </w:r>
            <w:r w:rsidRPr="004E56FD">
              <w:rPr>
                <w:color w:val="000000" w:themeColor="text1"/>
                <w:sz w:val="22"/>
                <w:szCs w:val="22"/>
                <w:vertAlign w:val="superscript"/>
              </w:rPr>
              <w:t>2</w:t>
            </w:r>
          </w:p>
        </w:tc>
        <w:tc>
          <w:tcPr>
            <w:tcW w:w="1276" w:type="dxa"/>
            <w:tcBorders>
              <w:top w:val="single" w:sz="4" w:space="0" w:color="auto"/>
              <w:bottom w:val="single" w:sz="4" w:space="0" w:color="auto"/>
            </w:tcBorders>
            <w:shd w:val="clear" w:color="auto" w:fill="auto"/>
            <w:vAlign w:val="center"/>
          </w:tcPr>
          <w:p w14:paraId="11CED5C4" w14:textId="77777777" w:rsidR="004E5458" w:rsidRPr="004E56FD" w:rsidRDefault="004E5458" w:rsidP="000D779C">
            <w:pPr>
              <w:jc w:val="center"/>
              <w:rPr>
                <w:color w:val="000000" w:themeColor="text1"/>
                <w:sz w:val="22"/>
              </w:rPr>
            </w:pPr>
            <w:r w:rsidRPr="004E56FD">
              <w:rPr>
                <w:color w:val="000000" w:themeColor="text1"/>
                <w:sz w:val="22"/>
              </w:rPr>
              <w:t xml:space="preserve">3 767,13 </w:t>
            </w:r>
            <w:r w:rsidRPr="004E56FD">
              <w:rPr>
                <w:color w:val="000000" w:themeColor="text1"/>
                <w:sz w:val="22"/>
                <w:szCs w:val="22"/>
                <w:vertAlign w:val="superscript"/>
              </w:rPr>
              <w:t>3</w:t>
            </w:r>
          </w:p>
        </w:tc>
        <w:tc>
          <w:tcPr>
            <w:tcW w:w="708" w:type="dxa"/>
            <w:tcBorders>
              <w:top w:val="single" w:sz="4" w:space="0" w:color="auto"/>
              <w:bottom w:val="single" w:sz="4" w:space="0" w:color="auto"/>
            </w:tcBorders>
            <w:shd w:val="clear" w:color="auto" w:fill="auto"/>
            <w:noWrap/>
            <w:vAlign w:val="center"/>
          </w:tcPr>
          <w:p w14:paraId="46EB79D3" w14:textId="77777777" w:rsidR="004E5458" w:rsidRPr="004E56FD" w:rsidRDefault="004E5458" w:rsidP="000D779C">
            <w:pPr>
              <w:jc w:val="center"/>
              <w:rPr>
                <w:color w:val="000000" w:themeColor="text1"/>
                <w:sz w:val="22"/>
                <w:szCs w:val="22"/>
              </w:rPr>
            </w:pPr>
          </w:p>
        </w:tc>
        <w:tc>
          <w:tcPr>
            <w:tcW w:w="720" w:type="dxa"/>
            <w:tcBorders>
              <w:top w:val="single" w:sz="4" w:space="0" w:color="auto"/>
              <w:bottom w:val="single" w:sz="4" w:space="0" w:color="auto"/>
            </w:tcBorders>
            <w:vAlign w:val="center"/>
          </w:tcPr>
          <w:p w14:paraId="52AD6147" w14:textId="77777777" w:rsidR="004E5458" w:rsidRPr="004E56FD" w:rsidRDefault="004E5458" w:rsidP="000D779C">
            <w:pPr>
              <w:jc w:val="center"/>
              <w:rPr>
                <w:color w:val="000000" w:themeColor="text1"/>
                <w:sz w:val="22"/>
                <w:szCs w:val="22"/>
              </w:rPr>
            </w:pPr>
          </w:p>
        </w:tc>
        <w:tc>
          <w:tcPr>
            <w:tcW w:w="840" w:type="dxa"/>
            <w:tcBorders>
              <w:top w:val="single" w:sz="4" w:space="0" w:color="auto"/>
              <w:bottom w:val="single" w:sz="4" w:space="0" w:color="auto"/>
            </w:tcBorders>
            <w:vAlign w:val="center"/>
          </w:tcPr>
          <w:p w14:paraId="6079C186" w14:textId="77777777" w:rsidR="004E5458" w:rsidRPr="004E56FD" w:rsidRDefault="004E5458" w:rsidP="000D779C">
            <w:pPr>
              <w:jc w:val="center"/>
              <w:rPr>
                <w:color w:val="000000" w:themeColor="text1"/>
                <w:sz w:val="22"/>
                <w:szCs w:val="22"/>
              </w:rPr>
            </w:pPr>
          </w:p>
        </w:tc>
        <w:tc>
          <w:tcPr>
            <w:tcW w:w="540" w:type="dxa"/>
            <w:tcBorders>
              <w:top w:val="single" w:sz="4" w:space="0" w:color="auto"/>
              <w:bottom w:val="single" w:sz="4" w:space="0" w:color="auto"/>
            </w:tcBorders>
            <w:vAlign w:val="center"/>
          </w:tcPr>
          <w:p w14:paraId="3A021EA0" w14:textId="77777777" w:rsidR="004E5458" w:rsidRPr="004E56FD" w:rsidRDefault="004E5458" w:rsidP="000D779C">
            <w:pPr>
              <w:jc w:val="center"/>
              <w:rPr>
                <w:color w:val="000000" w:themeColor="text1"/>
                <w:sz w:val="22"/>
                <w:szCs w:val="22"/>
              </w:rPr>
            </w:pPr>
          </w:p>
        </w:tc>
        <w:tc>
          <w:tcPr>
            <w:tcW w:w="720" w:type="dxa"/>
            <w:tcBorders>
              <w:top w:val="single" w:sz="4" w:space="0" w:color="auto"/>
              <w:bottom w:val="single" w:sz="4" w:space="0" w:color="auto"/>
              <w:right w:val="single" w:sz="4" w:space="0" w:color="auto"/>
            </w:tcBorders>
            <w:shd w:val="clear" w:color="auto" w:fill="auto"/>
            <w:noWrap/>
            <w:vAlign w:val="center"/>
          </w:tcPr>
          <w:p w14:paraId="7E5DBE02" w14:textId="77777777" w:rsidR="004E5458" w:rsidRPr="004E56FD" w:rsidRDefault="004E5458" w:rsidP="000D779C">
            <w:pPr>
              <w:jc w:val="center"/>
              <w:rPr>
                <w:color w:val="000000" w:themeColor="text1"/>
                <w:sz w:val="22"/>
                <w:szCs w:val="22"/>
              </w:rPr>
            </w:pPr>
          </w:p>
        </w:tc>
      </w:tr>
      <w:tr w:rsidR="004E5458" w:rsidRPr="004E56FD" w14:paraId="33D47453" w14:textId="77777777" w:rsidTr="000D779C">
        <w:trPr>
          <w:trHeight w:val="340"/>
        </w:trPr>
        <w:tc>
          <w:tcPr>
            <w:tcW w:w="474" w:type="dxa"/>
            <w:vMerge/>
            <w:tcBorders>
              <w:left w:val="single" w:sz="4" w:space="0" w:color="auto"/>
            </w:tcBorders>
            <w:shd w:val="clear" w:color="auto" w:fill="auto"/>
            <w:noWrap/>
            <w:vAlign w:val="center"/>
          </w:tcPr>
          <w:p w14:paraId="14DA40E8" w14:textId="77777777" w:rsidR="004E5458" w:rsidRPr="004E56FD" w:rsidRDefault="004E5458" w:rsidP="000D779C">
            <w:pPr>
              <w:jc w:val="center"/>
              <w:rPr>
                <w:color w:val="000000" w:themeColor="text1"/>
                <w:sz w:val="22"/>
                <w:szCs w:val="22"/>
              </w:rPr>
            </w:pPr>
          </w:p>
        </w:tc>
        <w:tc>
          <w:tcPr>
            <w:tcW w:w="1902" w:type="dxa"/>
            <w:vMerge/>
            <w:shd w:val="clear" w:color="auto" w:fill="auto"/>
            <w:vAlign w:val="center"/>
          </w:tcPr>
          <w:p w14:paraId="13F8C074" w14:textId="77777777" w:rsidR="004E5458" w:rsidRPr="004E56FD" w:rsidRDefault="004E5458" w:rsidP="000D779C">
            <w:pPr>
              <w:widowControl/>
              <w:autoSpaceDE w:val="0"/>
              <w:autoSpaceDN w:val="0"/>
              <w:adjustRightInd w:val="0"/>
              <w:rPr>
                <w:color w:val="000000" w:themeColor="text1"/>
              </w:rPr>
            </w:pPr>
          </w:p>
        </w:tc>
        <w:tc>
          <w:tcPr>
            <w:tcW w:w="1169" w:type="dxa"/>
            <w:vMerge/>
            <w:shd w:val="clear" w:color="auto" w:fill="auto"/>
            <w:vAlign w:val="center"/>
          </w:tcPr>
          <w:p w14:paraId="48FBD025" w14:textId="77777777" w:rsidR="004E5458" w:rsidRPr="004E56FD" w:rsidRDefault="004E5458" w:rsidP="000D779C">
            <w:pPr>
              <w:widowControl/>
              <w:jc w:val="center"/>
              <w:rPr>
                <w:color w:val="000000" w:themeColor="text1"/>
                <w:sz w:val="22"/>
                <w:szCs w:val="22"/>
              </w:rPr>
            </w:pPr>
          </w:p>
        </w:tc>
        <w:tc>
          <w:tcPr>
            <w:tcW w:w="708" w:type="dxa"/>
            <w:tcBorders>
              <w:top w:val="single" w:sz="4" w:space="0" w:color="auto"/>
              <w:bottom w:val="single" w:sz="4" w:space="0" w:color="auto"/>
            </w:tcBorders>
            <w:shd w:val="clear" w:color="auto" w:fill="auto"/>
            <w:noWrap/>
            <w:vAlign w:val="center"/>
          </w:tcPr>
          <w:p w14:paraId="7F6D0982" w14:textId="77777777" w:rsidR="004E5458" w:rsidRPr="004E56FD" w:rsidRDefault="004E5458" w:rsidP="000D779C">
            <w:pPr>
              <w:jc w:val="center"/>
              <w:rPr>
                <w:color w:val="000000" w:themeColor="text1"/>
                <w:sz w:val="22"/>
              </w:rPr>
            </w:pPr>
            <w:r w:rsidRPr="004E56FD">
              <w:rPr>
                <w:color w:val="000000" w:themeColor="text1"/>
                <w:sz w:val="22"/>
              </w:rPr>
              <w:t>2027</w:t>
            </w:r>
          </w:p>
        </w:tc>
        <w:tc>
          <w:tcPr>
            <w:tcW w:w="1276" w:type="dxa"/>
            <w:tcBorders>
              <w:top w:val="single" w:sz="4" w:space="0" w:color="auto"/>
              <w:bottom w:val="single" w:sz="4" w:space="0" w:color="auto"/>
            </w:tcBorders>
            <w:shd w:val="clear" w:color="auto" w:fill="auto"/>
            <w:noWrap/>
            <w:vAlign w:val="center"/>
          </w:tcPr>
          <w:p w14:paraId="1512B9EA" w14:textId="77777777" w:rsidR="004E5458" w:rsidRPr="004E56FD" w:rsidRDefault="004E5458" w:rsidP="000D779C">
            <w:pPr>
              <w:jc w:val="center"/>
              <w:rPr>
                <w:color w:val="000000" w:themeColor="text1"/>
                <w:sz w:val="22"/>
              </w:rPr>
            </w:pPr>
            <w:r w:rsidRPr="004E56FD">
              <w:rPr>
                <w:color w:val="000000" w:themeColor="text1"/>
                <w:sz w:val="22"/>
              </w:rPr>
              <w:t xml:space="preserve">3 767,13 </w:t>
            </w:r>
            <w:r w:rsidRPr="004E56FD">
              <w:rPr>
                <w:color w:val="000000" w:themeColor="text1"/>
                <w:sz w:val="22"/>
                <w:szCs w:val="22"/>
                <w:vertAlign w:val="superscript"/>
              </w:rPr>
              <w:t>3</w:t>
            </w:r>
          </w:p>
        </w:tc>
        <w:tc>
          <w:tcPr>
            <w:tcW w:w="1276" w:type="dxa"/>
            <w:tcBorders>
              <w:top w:val="single" w:sz="4" w:space="0" w:color="auto"/>
              <w:bottom w:val="single" w:sz="4" w:space="0" w:color="auto"/>
            </w:tcBorders>
            <w:shd w:val="clear" w:color="auto" w:fill="auto"/>
            <w:vAlign w:val="center"/>
          </w:tcPr>
          <w:p w14:paraId="0A72F8E3" w14:textId="77777777" w:rsidR="004E5458" w:rsidRPr="004E56FD" w:rsidRDefault="004E5458" w:rsidP="000D779C">
            <w:pPr>
              <w:jc w:val="center"/>
              <w:rPr>
                <w:color w:val="000000" w:themeColor="text1"/>
                <w:sz w:val="22"/>
              </w:rPr>
            </w:pPr>
            <w:r w:rsidRPr="004E56FD">
              <w:rPr>
                <w:color w:val="000000" w:themeColor="text1"/>
                <w:sz w:val="22"/>
              </w:rPr>
              <w:t xml:space="preserve">3 947,95 </w:t>
            </w:r>
            <w:r w:rsidRPr="004E56FD">
              <w:rPr>
                <w:color w:val="000000" w:themeColor="text1"/>
                <w:sz w:val="22"/>
                <w:szCs w:val="22"/>
                <w:vertAlign w:val="superscript"/>
              </w:rPr>
              <w:t>4</w:t>
            </w:r>
          </w:p>
        </w:tc>
        <w:tc>
          <w:tcPr>
            <w:tcW w:w="708" w:type="dxa"/>
            <w:tcBorders>
              <w:top w:val="single" w:sz="4" w:space="0" w:color="auto"/>
              <w:bottom w:val="single" w:sz="4" w:space="0" w:color="auto"/>
            </w:tcBorders>
            <w:shd w:val="clear" w:color="auto" w:fill="auto"/>
            <w:noWrap/>
            <w:vAlign w:val="center"/>
          </w:tcPr>
          <w:p w14:paraId="77C2DCC0" w14:textId="77777777" w:rsidR="004E5458" w:rsidRPr="004E56FD" w:rsidRDefault="004E5458" w:rsidP="000D779C">
            <w:pPr>
              <w:jc w:val="center"/>
              <w:rPr>
                <w:color w:val="000000" w:themeColor="text1"/>
                <w:sz w:val="22"/>
                <w:szCs w:val="22"/>
              </w:rPr>
            </w:pPr>
          </w:p>
        </w:tc>
        <w:tc>
          <w:tcPr>
            <w:tcW w:w="720" w:type="dxa"/>
            <w:tcBorders>
              <w:top w:val="single" w:sz="4" w:space="0" w:color="auto"/>
              <w:bottom w:val="single" w:sz="4" w:space="0" w:color="auto"/>
            </w:tcBorders>
            <w:vAlign w:val="center"/>
          </w:tcPr>
          <w:p w14:paraId="099BAC1D" w14:textId="77777777" w:rsidR="004E5458" w:rsidRPr="004E56FD" w:rsidRDefault="004E5458" w:rsidP="000D779C">
            <w:pPr>
              <w:jc w:val="center"/>
              <w:rPr>
                <w:color w:val="000000" w:themeColor="text1"/>
                <w:sz w:val="22"/>
                <w:szCs w:val="22"/>
              </w:rPr>
            </w:pPr>
          </w:p>
        </w:tc>
        <w:tc>
          <w:tcPr>
            <w:tcW w:w="840" w:type="dxa"/>
            <w:tcBorders>
              <w:top w:val="single" w:sz="4" w:space="0" w:color="auto"/>
              <w:bottom w:val="single" w:sz="4" w:space="0" w:color="auto"/>
            </w:tcBorders>
            <w:vAlign w:val="center"/>
          </w:tcPr>
          <w:p w14:paraId="3426797A" w14:textId="77777777" w:rsidR="004E5458" w:rsidRPr="004E56FD" w:rsidRDefault="004E5458" w:rsidP="000D779C">
            <w:pPr>
              <w:jc w:val="center"/>
              <w:rPr>
                <w:color w:val="000000" w:themeColor="text1"/>
                <w:sz w:val="22"/>
                <w:szCs w:val="22"/>
              </w:rPr>
            </w:pPr>
          </w:p>
        </w:tc>
        <w:tc>
          <w:tcPr>
            <w:tcW w:w="540" w:type="dxa"/>
            <w:tcBorders>
              <w:top w:val="single" w:sz="4" w:space="0" w:color="auto"/>
              <w:bottom w:val="single" w:sz="4" w:space="0" w:color="auto"/>
            </w:tcBorders>
            <w:vAlign w:val="center"/>
          </w:tcPr>
          <w:p w14:paraId="430F05DA" w14:textId="77777777" w:rsidR="004E5458" w:rsidRPr="004E56FD" w:rsidRDefault="004E5458" w:rsidP="000D779C">
            <w:pPr>
              <w:jc w:val="center"/>
              <w:rPr>
                <w:color w:val="000000" w:themeColor="text1"/>
                <w:sz w:val="22"/>
                <w:szCs w:val="22"/>
              </w:rPr>
            </w:pPr>
          </w:p>
        </w:tc>
        <w:tc>
          <w:tcPr>
            <w:tcW w:w="720" w:type="dxa"/>
            <w:tcBorders>
              <w:top w:val="single" w:sz="4" w:space="0" w:color="auto"/>
              <w:bottom w:val="single" w:sz="4" w:space="0" w:color="auto"/>
              <w:right w:val="single" w:sz="4" w:space="0" w:color="auto"/>
            </w:tcBorders>
            <w:shd w:val="clear" w:color="auto" w:fill="auto"/>
            <w:noWrap/>
            <w:vAlign w:val="center"/>
          </w:tcPr>
          <w:p w14:paraId="32604F71" w14:textId="77777777" w:rsidR="004E5458" w:rsidRPr="004E56FD" w:rsidRDefault="004E5458" w:rsidP="000D779C">
            <w:pPr>
              <w:jc w:val="center"/>
              <w:rPr>
                <w:color w:val="000000" w:themeColor="text1"/>
                <w:sz w:val="22"/>
                <w:szCs w:val="22"/>
              </w:rPr>
            </w:pPr>
          </w:p>
        </w:tc>
      </w:tr>
      <w:tr w:rsidR="004E5458" w:rsidRPr="004E56FD" w14:paraId="57437153" w14:textId="77777777" w:rsidTr="000D779C">
        <w:trPr>
          <w:trHeight w:val="340"/>
        </w:trPr>
        <w:tc>
          <w:tcPr>
            <w:tcW w:w="474" w:type="dxa"/>
            <w:vMerge/>
            <w:tcBorders>
              <w:left w:val="single" w:sz="4" w:space="0" w:color="auto"/>
            </w:tcBorders>
            <w:shd w:val="clear" w:color="auto" w:fill="auto"/>
            <w:noWrap/>
            <w:vAlign w:val="center"/>
          </w:tcPr>
          <w:p w14:paraId="787F588F" w14:textId="77777777" w:rsidR="004E5458" w:rsidRPr="004E56FD" w:rsidRDefault="004E5458" w:rsidP="000D779C">
            <w:pPr>
              <w:jc w:val="center"/>
              <w:rPr>
                <w:color w:val="000000" w:themeColor="text1"/>
                <w:sz w:val="22"/>
                <w:szCs w:val="22"/>
              </w:rPr>
            </w:pPr>
          </w:p>
        </w:tc>
        <w:tc>
          <w:tcPr>
            <w:tcW w:w="1902" w:type="dxa"/>
            <w:vMerge/>
            <w:shd w:val="clear" w:color="auto" w:fill="auto"/>
            <w:vAlign w:val="center"/>
          </w:tcPr>
          <w:p w14:paraId="48755FEF" w14:textId="77777777" w:rsidR="004E5458" w:rsidRPr="004E56FD" w:rsidRDefault="004E5458" w:rsidP="000D779C">
            <w:pPr>
              <w:widowControl/>
              <w:autoSpaceDE w:val="0"/>
              <w:autoSpaceDN w:val="0"/>
              <w:adjustRightInd w:val="0"/>
              <w:rPr>
                <w:color w:val="000000" w:themeColor="text1"/>
              </w:rPr>
            </w:pPr>
          </w:p>
        </w:tc>
        <w:tc>
          <w:tcPr>
            <w:tcW w:w="1169" w:type="dxa"/>
            <w:vMerge/>
            <w:shd w:val="clear" w:color="auto" w:fill="auto"/>
            <w:vAlign w:val="center"/>
          </w:tcPr>
          <w:p w14:paraId="59EE2293" w14:textId="77777777" w:rsidR="004E5458" w:rsidRPr="004E56FD" w:rsidRDefault="004E5458" w:rsidP="000D779C">
            <w:pPr>
              <w:widowControl/>
              <w:jc w:val="center"/>
              <w:rPr>
                <w:color w:val="000000" w:themeColor="text1"/>
                <w:sz w:val="22"/>
                <w:szCs w:val="22"/>
              </w:rPr>
            </w:pPr>
          </w:p>
        </w:tc>
        <w:tc>
          <w:tcPr>
            <w:tcW w:w="708" w:type="dxa"/>
            <w:tcBorders>
              <w:top w:val="single" w:sz="4" w:space="0" w:color="auto"/>
              <w:bottom w:val="single" w:sz="4" w:space="0" w:color="auto"/>
            </w:tcBorders>
            <w:shd w:val="clear" w:color="auto" w:fill="auto"/>
            <w:noWrap/>
            <w:vAlign w:val="center"/>
          </w:tcPr>
          <w:p w14:paraId="1FB13792" w14:textId="77777777" w:rsidR="004E5458" w:rsidRPr="004E56FD" w:rsidRDefault="004E5458" w:rsidP="000D779C">
            <w:pPr>
              <w:jc w:val="center"/>
              <w:rPr>
                <w:color w:val="000000" w:themeColor="text1"/>
                <w:sz w:val="22"/>
              </w:rPr>
            </w:pPr>
            <w:r w:rsidRPr="004E56FD">
              <w:rPr>
                <w:color w:val="000000" w:themeColor="text1"/>
                <w:sz w:val="22"/>
              </w:rPr>
              <w:t>2028</w:t>
            </w:r>
          </w:p>
        </w:tc>
        <w:tc>
          <w:tcPr>
            <w:tcW w:w="1276" w:type="dxa"/>
            <w:tcBorders>
              <w:top w:val="single" w:sz="4" w:space="0" w:color="auto"/>
              <w:bottom w:val="single" w:sz="4" w:space="0" w:color="auto"/>
            </w:tcBorders>
            <w:shd w:val="clear" w:color="auto" w:fill="auto"/>
            <w:noWrap/>
            <w:vAlign w:val="center"/>
          </w:tcPr>
          <w:p w14:paraId="6CADB188" w14:textId="77777777" w:rsidR="004E5458" w:rsidRPr="004E56FD" w:rsidRDefault="004E5458" w:rsidP="000D779C">
            <w:pPr>
              <w:jc w:val="center"/>
              <w:rPr>
                <w:color w:val="000000" w:themeColor="text1"/>
                <w:sz w:val="22"/>
              </w:rPr>
            </w:pPr>
            <w:r w:rsidRPr="004E56FD">
              <w:rPr>
                <w:color w:val="000000" w:themeColor="text1"/>
                <w:sz w:val="22"/>
              </w:rPr>
              <w:t xml:space="preserve">3 947,95 </w:t>
            </w:r>
            <w:r w:rsidRPr="004E56FD">
              <w:rPr>
                <w:color w:val="000000" w:themeColor="text1"/>
                <w:sz w:val="22"/>
                <w:szCs w:val="22"/>
                <w:vertAlign w:val="superscript"/>
              </w:rPr>
              <w:t>4</w:t>
            </w:r>
          </w:p>
        </w:tc>
        <w:tc>
          <w:tcPr>
            <w:tcW w:w="1276" w:type="dxa"/>
            <w:tcBorders>
              <w:top w:val="single" w:sz="4" w:space="0" w:color="auto"/>
              <w:bottom w:val="single" w:sz="4" w:space="0" w:color="auto"/>
            </w:tcBorders>
            <w:shd w:val="clear" w:color="auto" w:fill="auto"/>
            <w:vAlign w:val="center"/>
          </w:tcPr>
          <w:p w14:paraId="5E8091E9" w14:textId="77777777" w:rsidR="004E5458" w:rsidRPr="004E56FD" w:rsidRDefault="004E5458" w:rsidP="000D779C">
            <w:pPr>
              <w:jc w:val="center"/>
              <w:rPr>
                <w:color w:val="000000" w:themeColor="text1"/>
                <w:sz w:val="22"/>
              </w:rPr>
            </w:pPr>
            <w:r w:rsidRPr="004E56FD">
              <w:rPr>
                <w:color w:val="000000" w:themeColor="text1"/>
                <w:sz w:val="22"/>
              </w:rPr>
              <w:t xml:space="preserve">4 137,45 </w:t>
            </w:r>
            <w:r w:rsidRPr="004E56FD">
              <w:rPr>
                <w:color w:val="000000" w:themeColor="text1"/>
                <w:sz w:val="22"/>
                <w:szCs w:val="22"/>
                <w:vertAlign w:val="superscript"/>
              </w:rPr>
              <w:t>5</w:t>
            </w:r>
          </w:p>
        </w:tc>
        <w:tc>
          <w:tcPr>
            <w:tcW w:w="708" w:type="dxa"/>
            <w:tcBorders>
              <w:top w:val="single" w:sz="4" w:space="0" w:color="auto"/>
              <w:bottom w:val="single" w:sz="4" w:space="0" w:color="auto"/>
            </w:tcBorders>
            <w:shd w:val="clear" w:color="auto" w:fill="auto"/>
            <w:noWrap/>
            <w:vAlign w:val="center"/>
          </w:tcPr>
          <w:p w14:paraId="056A79E1" w14:textId="77777777" w:rsidR="004E5458" w:rsidRPr="004E56FD" w:rsidRDefault="004E5458" w:rsidP="000D779C">
            <w:pPr>
              <w:jc w:val="center"/>
              <w:rPr>
                <w:color w:val="000000" w:themeColor="text1"/>
                <w:sz w:val="22"/>
                <w:szCs w:val="22"/>
              </w:rPr>
            </w:pPr>
          </w:p>
        </w:tc>
        <w:tc>
          <w:tcPr>
            <w:tcW w:w="720" w:type="dxa"/>
            <w:tcBorders>
              <w:top w:val="single" w:sz="4" w:space="0" w:color="auto"/>
              <w:bottom w:val="single" w:sz="4" w:space="0" w:color="auto"/>
            </w:tcBorders>
            <w:vAlign w:val="center"/>
          </w:tcPr>
          <w:p w14:paraId="60D2653C" w14:textId="77777777" w:rsidR="004E5458" w:rsidRPr="004E56FD" w:rsidRDefault="004E5458" w:rsidP="000D779C">
            <w:pPr>
              <w:jc w:val="center"/>
              <w:rPr>
                <w:color w:val="000000" w:themeColor="text1"/>
                <w:sz w:val="22"/>
                <w:szCs w:val="22"/>
              </w:rPr>
            </w:pPr>
          </w:p>
        </w:tc>
        <w:tc>
          <w:tcPr>
            <w:tcW w:w="840" w:type="dxa"/>
            <w:tcBorders>
              <w:top w:val="single" w:sz="4" w:space="0" w:color="auto"/>
              <w:bottom w:val="single" w:sz="4" w:space="0" w:color="auto"/>
            </w:tcBorders>
            <w:vAlign w:val="center"/>
          </w:tcPr>
          <w:p w14:paraId="028286FE" w14:textId="77777777" w:rsidR="004E5458" w:rsidRPr="004E56FD" w:rsidRDefault="004E5458" w:rsidP="000D779C">
            <w:pPr>
              <w:jc w:val="center"/>
              <w:rPr>
                <w:color w:val="000000" w:themeColor="text1"/>
                <w:sz w:val="22"/>
                <w:szCs w:val="22"/>
              </w:rPr>
            </w:pPr>
          </w:p>
        </w:tc>
        <w:tc>
          <w:tcPr>
            <w:tcW w:w="540" w:type="dxa"/>
            <w:tcBorders>
              <w:top w:val="single" w:sz="4" w:space="0" w:color="auto"/>
              <w:bottom w:val="single" w:sz="4" w:space="0" w:color="auto"/>
            </w:tcBorders>
            <w:vAlign w:val="center"/>
          </w:tcPr>
          <w:p w14:paraId="648169BB" w14:textId="77777777" w:rsidR="004E5458" w:rsidRPr="004E56FD" w:rsidRDefault="004E5458" w:rsidP="000D779C">
            <w:pPr>
              <w:jc w:val="center"/>
              <w:rPr>
                <w:color w:val="000000" w:themeColor="text1"/>
                <w:sz w:val="22"/>
                <w:szCs w:val="22"/>
              </w:rPr>
            </w:pPr>
          </w:p>
        </w:tc>
        <w:tc>
          <w:tcPr>
            <w:tcW w:w="720" w:type="dxa"/>
            <w:tcBorders>
              <w:top w:val="single" w:sz="4" w:space="0" w:color="auto"/>
              <w:bottom w:val="single" w:sz="4" w:space="0" w:color="auto"/>
              <w:right w:val="single" w:sz="4" w:space="0" w:color="auto"/>
            </w:tcBorders>
            <w:shd w:val="clear" w:color="auto" w:fill="auto"/>
            <w:noWrap/>
            <w:vAlign w:val="center"/>
          </w:tcPr>
          <w:p w14:paraId="53C21243" w14:textId="77777777" w:rsidR="004E5458" w:rsidRPr="004E56FD" w:rsidRDefault="004E5458" w:rsidP="000D779C">
            <w:pPr>
              <w:jc w:val="center"/>
              <w:rPr>
                <w:color w:val="000000" w:themeColor="text1"/>
                <w:sz w:val="22"/>
                <w:szCs w:val="22"/>
              </w:rPr>
            </w:pPr>
          </w:p>
        </w:tc>
      </w:tr>
      <w:tr w:rsidR="004E5458" w:rsidRPr="004E56FD" w14:paraId="553D48A4" w14:textId="77777777" w:rsidTr="000D779C">
        <w:trPr>
          <w:trHeight w:val="340"/>
        </w:trPr>
        <w:tc>
          <w:tcPr>
            <w:tcW w:w="474" w:type="dxa"/>
            <w:vMerge/>
            <w:tcBorders>
              <w:left w:val="single" w:sz="4" w:space="0" w:color="auto"/>
            </w:tcBorders>
            <w:shd w:val="clear" w:color="auto" w:fill="auto"/>
            <w:noWrap/>
            <w:vAlign w:val="center"/>
          </w:tcPr>
          <w:p w14:paraId="515F66F3" w14:textId="77777777" w:rsidR="004E5458" w:rsidRPr="004E56FD" w:rsidRDefault="004E5458" w:rsidP="000D779C">
            <w:pPr>
              <w:jc w:val="center"/>
              <w:rPr>
                <w:color w:val="000000" w:themeColor="text1"/>
                <w:sz w:val="22"/>
                <w:szCs w:val="22"/>
              </w:rPr>
            </w:pPr>
          </w:p>
        </w:tc>
        <w:tc>
          <w:tcPr>
            <w:tcW w:w="1902" w:type="dxa"/>
            <w:vMerge/>
            <w:shd w:val="clear" w:color="auto" w:fill="auto"/>
            <w:vAlign w:val="center"/>
          </w:tcPr>
          <w:p w14:paraId="53FD6466" w14:textId="77777777" w:rsidR="004E5458" w:rsidRPr="004E56FD" w:rsidRDefault="004E5458" w:rsidP="000D779C">
            <w:pPr>
              <w:widowControl/>
              <w:autoSpaceDE w:val="0"/>
              <w:autoSpaceDN w:val="0"/>
              <w:adjustRightInd w:val="0"/>
              <w:rPr>
                <w:color w:val="000000" w:themeColor="text1"/>
              </w:rPr>
            </w:pPr>
          </w:p>
        </w:tc>
        <w:tc>
          <w:tcPr>
            <w:tcW w:w="1169" w:type="dxa"/>
            <w:vMerge/>
            <w:shd w:val="clear" w:color="auto" w:fill="auto"/>
            <w:vAlign w:val="center"/>
          </w:tcPr>
          <w:p w14:paraId="3B017B04" w14:textId="77777777" w:rsidR="004E5458" w:rsidRPr="004E56FD" w:rsidRDefault="004E5458" w:rsidP="000D779C">
            <w:pPr>
              <w:widowControl/>
              <w:jc w:val="center"/>
              <w:rPr>
                <w:color w:val="000000" w:themeColor="text1"/>
                <w:sz w:val="22"/>
                <w:szCs w:val="22"/>
              </w:rPr>
            </w:pPr>
          </w:p>
        </w:tc>
        <w:tc>
          <w:tcPr>
            <w:tcW w:w="708" w:type="dxa"/>
            <w:tcBorders>
              <w:top w:val="single" w:sz="4" w:space="0" w:color="auto"/>
            </w:tcBorders>
            <w:shd w:val="clear" w:color="auto" w:fill="auto"/>
            <w:noWrap/>
            <w:vAlign w:val="center"/>
          </w:tcPr>
          <w:p w14:paraId="42D919C0" w14:textId="77777777" w:rsidR="004E5458" w:rsidRPr="004E56FD" w:rsidRDefault="004E5458" w:rsidP="000D779C">
            <w:pPr>
              <w:jc w:val="center"/>
              <w:rPr>
                <w:color w:val="000000" w:themeColor="text1"/>
                <w:sz w:val="22"/>
              </w:rPr>
            </w:pPr>
            <w:r w:rsidRPr="004E56FD">
              <w:rPr>
                <w:color w:val="000000" w:themeColor="text1"/>
                <w:sz w:val="22"/>
              </w:rPr>
              <w:t>2029</w:t>
            </w:r>
          </w:p>
        </w:tc>
        <w:tc>
          <w:tcPr>
            <w:tcW w:w="1276" w:type="dxa"/>
            <w:tcBorders>
              <w:top w:val="single" w:sz="4" w:space="0" w:color="auto"/>
            </w:tcBorders>
            <w:shd w:val="clear" w:color="auto" w:fill="auto"/>
            <w:noWrap/>
            <w:vAlign w:val="center"/>
          </w:tcPr>
          <w:p w14:paraId="1DBDB7AA" w14:textId="77777777" w:rsidR="004E5458" w:rsidRPr="004E56FD" w:rsidRDefault="004E5458" w:rsidP="000D779C">
            <w:pPr>
              <w:jc w:val="center"/>
              <w:rPr>
                <w:color w:val="000000" w:themeColor="text1"/>
                <w:sz w:val="22"/>
              </w:rPr>
            </w:pPr>
            <w:r w:rsidRPr="004E56FD">
              <w:rPr>
                <w:color w:val="000000" w:themeColor="text1"/>
                <w:sz w:val="22"/>
              </w:rPr>
              <w:t>4 137,45</w:t>
            </w:r>
            <w:r w:rsidRPr="004E56FD">
              <w:rPr>
                <w:color w:val="000000" w:themeColor="text1"/>
                <w:sz w:val="22"/>
                <w:szCs w:val="22"/>
                <w:vertAlign w:val="superscript"/>
              </w:rPr>
              <w:t>5</w:t>
            </w:r>
          </w:p>
        </w:tc>
        <w:tc>
          <w:tcPr>
            <w:tcW w:w="1276" w:type="dxa"/>
            <w:tcBorders>
              <w:top w:val="single" w:sz="4" w:space="0" w:color="auto"/>
            </w:tcBorders>
            <w:shd w:val="clear" w:color="auto" w:fill="auto"/>
            <w:vAlign w:val="center"/>
          </w:tcPr>
          <w:p w14:paraId="123BB13A" w14:textId="77777777" w:rsidR="004E5458" w:rsidRPr="004E56FD" w:rsidRDefault="004E5458" w:rsidP="000D779C">
            <w:pPr>
              <w:jc w:val="center"/>
              <w:rPr>
                <w:color w:val="000000" w:themeColor="text1"/>
                <w:sz w:val="22"/>
              </w:rPr>
            </w:pPr>
            <w:r w:rsidRPr="004E56FD">
              <w:rPr>
                <w:color w:val="000000" w:themeColor="text1"/>
                <w:sz w:val="22"/>
              </w:rPr>
              <w:t xml:space="preserve">4 336,05 </w:t>
            </w:r>
            <w:r w:rsidRPr="004E56FD">
              <w:rPr>
                <w:color w:val="000000" w:themeColor="text1"/>
                <w:sz w:val="22"/>
                <w:szCs w:val="22"/>
                <w:vertAlign w:val="superscript"/>
              </w:rPr>
              <w:t>6</w:t>
            </w:r>
          </w:p>
        </w:tc>
        <w:tc>
          <w:tcPr>
            <w:tcW w:w="708" w:type="dxa"/>
            <w:tcBorders>
              <w:top w:val="single" w:sz="4" w:space="0" w:color="auto"/>
            </w:tcBorders>
            <w:shd w:val="clear" w:color="auto" w:fill="auto"/>
            <w:noWrap/>
            <w:vAlign w:val="center"/>
          </w:tcPr>
          <w:p w14:paraId="170AC7F4" w14:textId="77777777" w:rsidR="004E5458" w:rsidRPr="004E56FD" w:rsidRDefault="004E5458" w:rsidP="000D779C">
            <w:pPr>
              <w:jc w:val="center"/>
              <w:rPr>
                <w:color w:val="000000" w:themeColor="text1"/>
                <w:sz w:val="22"/>
                <w:szCs w:val="22"/>
              </w:rPr>
            </w:pPr>
          </w:p>
        </w:tc>
        <w:tc>
          <w:tcPr>
            <w:tcW w:w="720" w:type="dxa"/>
            <w:tcBorders>
              <w:top w:val="single" w:sz="4" w:space="0" w:color="auto"/>
            </w:tcBorders>
            <w:vAlign w:val="center"/>
          </w:tcPr>
          <w:p w14:paraId="13A592DE" w14:textId="77777777" w:rsidR="004E5458" w:rsidRPr="004E56FD" w:rsidRDefault="004E5458" w:rsidP="000D779C">
            <w:pPr>
              <w:jc w:val="center"/>
              <w:rPr>
                <w:color w:val="000000" w:themeColor="text1"/>
                <w:sz w:val="22"/>
                <w:szCs w:val="22"/>
              </w:rPr>
            </w:pPr>
          </w:p>
        </w:tc>
        <w:tc>
          <w:tcPr>
            <w:tcW w:w="840" w:type="dxa"/>
            <w:tcBorders>
              <w:top w:val="single" w:sz="4" w:space="0" w:color="auto"/>
            </w:tcBorders>
            <w:vAlign w:val="center"/>
          </w:tcPr>
          <w:p w14:paraId="51FFFD1A" w14:textId="77777777" w:rsidR="004E5458" w:rsidRPr="004E56FD" w:rsidRDefault="004E5458" w:rsidP="000D779C">
            <w:pPr>
              <w:jc w:val="center"/>
              <w:rPr>
                <w:color w:val="000000" w:themeColor="text1"/>
                <w:sz w:val="22"/>
                <w:szCs w:val="22"/>
              </w:rPr>
            </w:pPr>
          </w:p>
        </w:tc>
        <w:tc>
          <w:tcPr>
            <w:tcW w:w="540" w:type="dxa"/>
            <w:tcBorders>
              <w:top w:val="single" w:sz="4" w:space="0" w:color="auto"/>
            </w:tcBorders>
            <w:vAlign w:val="center"/>
          </w:tcPr>
          <w:p w14:paraId="649DBFF6" w14:textId="77777777" w:rsidR="004E5458" w:rsidRPr="004E56FD" w:rsidRDefault="004E5458" w:rsidP="000D779C">
            <w:pPr>
              <w:jc w:val="center"/>
              <w:rPr>
                <w:color w:val="000000" w:themeColor="text1"/>
                <w:sz w:val="22"/>
                <w:szCs w:val="22"/>
              </w:rPr>
            </w:pPr>
          </w:p>
        </w:tc>
        <w:tc>
          <w:tcPr>
            <w:tcW w:w="720" w:type="dxa"/>
            <w:tcBorders>
              <w:top w:val="single" w:sz="4" w:space="0" w:color="auto"/>
              <w:right w:val="single" w:sz="4" w:space="0" w:color="auto"/>
            </w:tcBorders>
            <w:shd w:val="clear" w:color="auto" w:fill="auto"/>
            <w:noWrap/>
            <w:vAlign w:val="center"/>
          </w:tcPr>
          <w:p w14:paraId="12DA2154" w14:textId="77777777" w:rsidR="004E5458" w:rsidRPr="004E56FD" w:rsidRDefault="004E5458" w:rsidP="000D779C">
            <w:pPr>
              <w:jc w:val="center"/>
              <w:rPr>
                <w:color w:val="000000" w:themeColor="text1"/>
                <w:sz w:val="22"/>
                <w:szCs w:val="22"/>
              </w:rPr>
            </w:pPr>
          </w:p>
        </w:tc>
      </w:tr>
    </w:tbl>
    <w:p w14:paraId="2B188D1A" w14:textId="77777777" w:rsidR="004E5458" w:rsidRPr="004E56FD" w:rsidRDefault="004E5458" w:rsidP="004E5458">
      <w:pPr>
        <w:widowControl/>
        <w:autoSpaceDE w:val="0"/>
        <w:autoSpaceDN w:val="0"/>
        <w:adjustRightInd w:val="0"/>
        <w:ind w:firstLine="540"/>
        <w:jc w:val="both"/>
        <w:outlineLvl w:val="3"/>
        <w:rPr>
          <w:color w:val="000000" w:themeColor="text1"/>
          <w:sz w:val="22"/>
          <w:szCs w:val="22"/>
        </w:rPr>
      </w:pPr>
    </w:p>
    <w:p w14:paraId="67E9E9E5" w14:textId="77777777" w:rsidR="004E5458" w:rsidRPr="004E56FD" w:rsidRDefault="004E5458" w:rsidP="004E5458">
      <w:pPr>
        <w:widowControl/>
        <w:autoSpaceDE w:val="0"/>
        <w:autoSpaceDN w:val="0"/>
        <w:adjustRightInd w:val="0"/>
        <w:ind w:firstLine="540"/>
        <w:jc w:val="both"/>
        <w:outlineLvl w:val="3"/>
        <w:rPr>
          <w:color w:val="000000" w:themeColor="text1"/>
          <w:sz w:val="22"/>
          <w:szCs w:val="22"/>
        </w:rPr>
      </w:pPr>
      <w:r w:rsidRPr="004E56FD">
        <w:rPr>
          <w:color w:val="000000" w:themeColor="text1"/>
          <w:sz w:val="22"/>
          <w:szCs w:val="22"/>
        </w:rPr>
        <w:t xml:space="preserve">* Выделяется в целях реализации </w:t>
      </w:r>
      <w:hyperlink r:id="rId8" w:history="1">
        <w:r w:rsidRPr="004E56FD">
          <w:rPr>
            <w:color w:val="000000" w:themeColor="text1"/>
            <w:sz w:val="22"/>
            <w:szCs w:val="22"/>
          </w:rPr>
          <w:t>пункта 6 статьи 168</w:t>
        </w:r>
      </w:hyperlink>
      <w:r w:rsidRPr="004E56FD">
        <w:rPr>
          <w:color w:val="000000" w:themeColor="text1"/>
          <w:sz w:val="22"/>
          <w:szCs w:val="22"/>
        </w:rPr>
        <w:t xml:space="preserve"> Налогового кодекса Российской Федерации (часть вторая).</w:t>
      </w:r>
    </w:p>
    <w:p w14:paraId="13BEF306" w14:textId="77777777" w:rsidR="004E5458" w:rsidRPr="004E56FD" w:rsidRDefault="004E5458" w:rsidP="004E5458">
      <w:pPr>
        <w:widowControl/>
        <w:autoSpaceDE w:val="0"/>
        <w:autoSpaceDN w:val="0"/>
        <w:adjustRightInd w:val="0"/>
        <w:ind w:firstLine="540"/>
        <w:jc w:val="both"/>
        <w:outlineLvl w:val="3"/>
        <w:rPr>
          <w:strike/>
          <w:color w:val="000000" w:themeColor="text1"/>
          <w:spacing w:val="2"/>
          <w:sz w:val="22"/>
          <w:szCs w:val="22"/>
          <w:shd w:val="clear" w:color="auto" w:fill="FFFFFF"/>
        </w:rPr>
      </w:pPr>
    </w:p>
    <w:p w14:paraId="1F7DF82F" w14:textId="77777777" w:rsidR="004E5458" w:rsidRPr="004E56FD" w:rsidRDefault="004E5458" w:rsidP="004E5458">
      <w:pPr>
        <w:widowControl/>
        <w:ind w:left="567"/>
        <w:jc w:val="both"/>
        <w:rPr>
          <w:color w:val="000000" w:themeColor="text1"/>
          <w:sz w:val="24"/>
          <w:szCs w:val="24"/>
        </w:rPr>
      </w:pPr>
      <w:r w:rsidRPr="004E56FD">
        <w:rPr>
          <w:color w:val="000000" w:themeColor="text1"/>
          <w:sz w:val="22"/>
          <w:szCs w:val="22"/>
          <w:vertAlign w:val="superscript"/>
        </w:rPr>
        <w:t xml:space="preserve">1 </w:t>
      </w:r>
      <w:r w:rsidRPr="004E56FD">
        <w:rPr>
          <w:color w:val="000000" w:themeColor="text1"/>
          <w:sz w:val="22"/>
          <w:szCs w:val="22"/>
        </w:rPr>
        <w:t xml:space="preserve">Тариф без учета НДС – </w:t>
      </w:r>
      <w:r w:rsidRPr="004E56FD">
        <w:rPr>
          <w:color w:val="000000" w:themeColor="text1"/>
          <w:sz w:val="24"/>
          <w:szCs w:val="24"/>
        </w:rPr>
        <w:t xml:space="preserve">2 617,26 </w:t>
      </w:r>
      <w:r w:rsidRPr="004E56FD">
        <w:rPr>
          <w:color w:val="000000" w:themeColor="text1"/>
          <w:sz w:val="22"/>
          <w:szCs w:val="22"/>
        </w:rPr>
        <w:t>руб./Гкал</w:t>
      </w:r>
    </w:p>
    <w:p w14:paraId="3EA6F618" w14:textId="77777777" w:rsidR="004E5458" w:rsidRPr="004E56FD" w:rsidRDefault="004E5458" w:rsidP="004E5458">
      <w:pPr>
        <w:widowControl/>
        <w:ind w:left="567"/>
        <w:jc w:val="both"/>
        <w:rPr>
          <w:color w:val="000000" w:themeColor="text1"/>
          <w:sz w:val="22"/>
          <w:szCs w:val="22"/>
        </w:rPr>
      </w:pPr>
      <w:r w:rsidRPr="004E56FD">
        <w:rPr>
          <w:color w:val="000000" w:themeColor="text1"/>
          <w:sz w:val="22"/>
          <w:szCs w:val="22"/>
          <w:vertAlign w:val="superscript"/>
        </w:rPr>
        <w:t xml:space="preserve">2 </w:t>
      </w:r>
      <w:r w:rsidRPr="004E56FD">
        <w:rPr>
          <w:color w:val="000000" w:themeColor="text1"/>
          <w:sz w:val="22"/>
          <w:szCs w:val="22"/>
        </w:rPr>
        <w:t xml:space="preserve">Тариф без учета НДС – </w:t>
      </w:r>
      <w:r w:rsidRPr="004E56FD">
        <w:rPr>
          <w:color w:val="000000" w:themeColor="text1"/>
          <w:sz w:val="24"/>
          <w:szCs w:val="24"/>
        </w:rPr>
        <w:t xml:space="preserve">2 978,44 </w:t>
      </w:r>
      <w:r w:rsidRPr="004E56FD">
        <w:rPr>
          <w:color w:val="000000" w:themeColor="text1"/>
          <w:sz w:val="22"/>
          <w:szCs w:val="22"/>
        </w:rPr>
        <w:t>руб./Гкал</w:t>
      </w:r>
    </w:p>
    <w:p w14:paraId="263BDA73" w14:textId="77777777" w:rsidR="004E5458" w:rsidRPr="004E56FD" w:rsidRDefault="004E5458" w:rsidP="004E5458">
      <w:pPr>
        <w:widowControl/>
        <w:ind w:left="567"/>
        <w:jc w:val="both"/>
        <w:rPr>
          <w:color w:val="000000" w:themeColor="text1"/>
          <w:sz w:val="24"/>
          <w:szCs w:val="24"/>
        </w:rPr>
      </w:pPr>
      <w:r w:rsidRPr="004E56FD">
        <w:rPr>
          <w:color w:val="000000" w:themeColor="text1"/>
          <w:sz w:val="22"/>
          <w:szCs w:val="22"/>
          <w:vertAlign w:val="superscript"/>
        </w:rPr>
        <w:t xml:space="preserve">3 </w:t>
      </w:r>
      <w:r w:rsidRPr="004E56FD">
        <w:rPr>
          <w:color w:val="000000" w:themeColor="text1"/>
          <w:sz w:val="22"/>
          <w:szCs w:val="22"/>
        </w:rPr>
        <w:t xml:space="preserve">Тариф без учета НДС – </w:t>
      </w:r>
      <w:r w:rsidRPr="004E56FD">
        <w:rPr>
          <w:color w:val="000000" w:themeColor="text1"/>
          <w:sz w:val="24"/>
          <w:szCs w:val="24"/>
        </w:rPr>
        <w:t xml:space="preserve">3 139,28 </w:t>
      </w:r>
      <w:r w:rsidRPr="004E56FD">
        <w:rPr>
          <w:color w:val="000000" w:themeColor="text1"/>
          <w:sz w:val="22"/>
          <w:szCs w:val="22"/>
        </w:rPr>
        <w:t>руб./Гкал</w:t>
      </w:r>
    </w:p>
    <w:p w14:paraId="61383E8C" w14:textId="77777777" w:rsidR="004E5458" w:rsidRPr="004E56FD" w:rsidRDefault="004E5458" w:rsidP="004E5458">
      <w:pPr>
        <w:widowControl/>
        <w:ind w:left="567"/>
        <w:jc w:val="both"/>
        <w:rPr>
          <w:color w:val="000000" w:themeColor="text1"/>
          <w:sz w:val="22"/>
          <w:szCs w:val="22"/>
        </w:rPr>
      </w:pPr>
      <w:r w:rsidRPr="004E56FD">
        <w:rPr>
          <w:color w:val="000000" w:themeColor="text1"/>
          <w:sz w:val="22"/>
          <w:szCs w:val="22"/>
          <w:vertAlign w:val="superscript"/>
        </w:rPr>
        <w:t xml:space="preserve">4 </w:t>
      </w:r>
      <w:r w:rsidRPr="004E56FD">
        <w:rPr>
          <w:color w:val="000000" w:themeColor="text1"/>
          <w:sz w:val="22"/>
          <w:szCs w:val="22"/>
        </w:rPr>
        <w:t xml:space="preserve">Тариф без учета НДС – </w:t>
      </w:r>
      <w:r w:rsidRPr="004E56FD">
        <w:rPr>
          <w:color w:val="000000" w:themeColor="text1"/>
          <w:sz w:val="24"/>
          <w:szCs w:val="24"/>
        </w:rPr>
        <w:t xml:space="preserve">3 289,96 </w:t>
      </w:r>
      <w:r w:rsidRPr="004E56FD">
        <w:rPr>
          <w:color w:val="000000" w:themeColor="text1"/>
          <w:sz w:val="22"/>
          <w:szCs w:val="22"/>
        </w:rPr>
        <w:t>руб./Гкал</w:t>
      </w:r>
    </w:p>
    <w:p w14:paraId="45C479B8" w14:textId="77777777" w:rsidR="004E5458" w:rsidRPr="004E56FD" w:rsidRDefault="004E5458" w:rsidP="004E5458">
      <w:pPr>
        <w:widowControl/>
        <w:ind w:left="567"/>
        <w:jc w:val="both"/>
        <w:rPr>
          <w:color w:val="000000" w:themeColor="text1"/>
          <w:sz w:val="24"/>
          <w:szCs w:val="24"/>
        </w:rPr>
      </w:pPr>
      <w:r w:rsidRPr="004E56FD">
        <w:rPr>
          <w:color w:val="000000" w:themeColor="text1"/>
          <w:sz w:val="22"/>
          <w:szCs w:val="22"/>
          <w:vertAlign w:val="superscript"/>
        </w:rPr>
        <w:t xml:space="preserve">5 </w:t>
      </w:r>
      <w:r w:rsidRPr="004E56FD">
        <w:rPr>
          <w:color w:val="000000" w:themeColor="text1"/>
          <w:sz w:val="22"/>
          <w:szCs w:val="22"/>
        </w:rPr>
        <w:t xml:space="preserve">Тариф без учета НДС – </w:t>
      </w:r>
      <w:r w:rsidRPr="004E56FD">
        <w:rPr>
          <w:color w:val="000000" w:themeColor="text1"/>
          <w:sz w:val="24"/>
          <w:szCs w:val="24"/>
        </w:rPr>
        <w:t xml:space="preserve">3 447,88 </w:t>
      </w:r>
      <w:r w:rsidRPr="004E56FD">
        <w:rPr>
          <w:color w:val="000000" w:themeColor="text1"/>
          <w:sz w:val="22"/>
          <w:szCs w:val="22"/>
        </w:rPr>
        <w:t>руб./Гкал</w:t>
      </w:r>
    </w:p>
    <w:p w14:paraId="1D7E6129" w14:textId="77777777" w:rsidR="004E5458" w:rsidRPr="004E56FD" w:rsidRDefault="004E5458" w:rsidP="004E5458">
      <w:pPr>
        <w:widowControl/>
        <w:ind w:left="567"/>
        <w:jc w:val="both"/>
        <w:rPr>
          <w:color w:val="000000" w:themeColor="text1"/>
          <w:sz w:val="22"/>
          <w:szCs w:val="22"/>
        </w:rPr>
      </w:pPr>
      <w:r w:rsidRPr="004E56FD">
        <w:rPr>
          <w:color w:val="000000" w:themeColor="text1"/>
          <w:sz w:val="22"/>
          <w:szCs w:val="22"/>
          <w:vertAlign w:val="superscript"/>
        </w:rPr>
        <w:t xml:space="preserve">6 </w:t>
      </w:r>
      <w:r w:rsidRPr="004E56FD">
        <w:rPr>
          <w:color w:val="000000" w:themeColor="text1"/>
          <w:sz w:val="22"/>
          <w:szCs w:val="22"/>
        </w:rPr>
        <w:t xml:space="preserve">Тариф без учета НДС – </w:t>
      </w:r>
      <w:r w:rsidRPr="004E56FD">
        <w:rPr>
          <w:color w:val="000000" w:themeColor="text1"/>
          <w:sz w:val="24"/>
          <w:szCs w:val="24"/>
        </w:rPr>
        <w:t xml:space="preserve">3 613,38 </w:t>
      </w:r>
      <w:r w:rsidRPr="004E56FD">
        <w:rPr>
          <w:color w:val="000000" w:themeColor="text1"/>
          <w:sz w:val="22"/>
          <w:szCs w:val="22"/>
        </w:rPr>
        <w:t>руб./Гкал</w:t>
      </w:r>
    </w:p>
    <w:p w14:paraId="1F96B8B2" w14:textId="77777777" w:rsidR="004E5458" w:rsidRDefault="004E5458" w:rsidP="004E5458">
      <w:pPr>
        <w:tabs>
          <w:tab w:val="left" w:pos="851"/>
        </w:tabs>
        <w:spacing w:line="235" w:lineRule="auto"/>
        <w:jc w:val="both"/>
        <w:rPr>
          <w:sz w:val="22"/>
          <w:szCs w:val="22"/>
        </w:rPr>
      </w:pPr>
    </w:p>
    <w:p w14:paraId="12763827" w14:textId="502EFA72" w:rsidR="00301708" w:rsidRPr="004E5458" w:rsidRDefault="00301708" w:rsidP="004E5458">
      <w:pPr>
        <w:pStyle w:val="a4"/>
        <w:numPr>
          <w:ilvl w:val="0"/>
          <w:numId w:val="41"/>
        </w:numPr>
        <w:tabs>
          <w:tab w:val="left" w:pos="851"/>
        </w:tabs>
        <w:spacing w:line="235" w:lineRule="auto"/>
        <w:ind w:left="0" w:firstLine="567"/>
        <w:jc w:val="both"/>
        <w:rPr>
          <w:sz w:val="22"/>
          <w:szCs w:val="22"/>
        </w:rPr>
      </w:pPr>
      <w:r w:rsidRPr="004E5458">
        <w:rPr>
          <w:sz w:val="22"/>
          <w:szCs w:val="22"/>
        </w:rPr>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ООО «ИБК» (Южский район) на 2025 – 2029 годы.</w:t>
      </w:r>
    </w:p>
    <w:p w14:paraId="63410378" w14:textId="77777777" w:rsidR="004E5458" w:rsidRDefault="004E5458" w:rsidP="004E5458">
      <w:pPr>
        <w:tabs>
          <w:tab w:val="left" w:pos="851"/>
        </w:tabs>
        <w:spacing w:line="235" w:lineRule="auto"/>
        <w:jc w:val="both"/>
        <w:rPr>
          <w:sz w:val="22"/>
          <w:szCs w:val="22"/>
        </w:rPr>
      </w:pPr>
    </w:p>
    <w:p w14:paraId="72717451" w14:textId="77777777" w:rsidR="004E5458" w:rsidRDefault="004E5458" w:rsidP="004E5458">
      <w:pPr>
        <w:widowControl/>
        <w:autoSpaceDE w:val="0"/>
        <w:autoSpaceDN w:val="0"/>
        <w:adjustRightInd w:val="0"/>
        <w:jc w:val="center"/>
        <w:rPr>
          <w:b/>
          <w:bCs/>
          <w:sz w:val="24"/>
          <w:szCs w:val="24"/>
        </w:rPr>
      </w:pPr>
      <w:r w:rsidRPr="003B002D">
        <w:rPr>
          <w:b/>
          <w:bCs/>
          <w:sz w:val="24"/>
          <w:szCs w:val="24"/>
        </w:rPr>
        <w:t>Долго</w:t>
      </w:r>
      <w:r w:rsidRPr="00A124A4">
        <w:rPr>
          <w:b/>
          <w:bCs/>
          <w:sz w:val="24"/>
          <w:szCs w:val="24"/>
        </w:rPr>
        <w:t xml:space="preserve">срочные параметры регулирования для формирования тарифов на тепловую </w:t>
      </w:r>
      <w:r w:rsidRPr="009D292C">
        <w:rPr>
          <w:b/>
          <w:bCs/>
          <w:sz w:val="24"/>
          <w:szCs w:val="24"/>
        </w:rPr>
        <w:t>энергию</w:t>
      </w:r>
      <w:r>
        <w:rPr>
          <w:b/>
          <w:bCs/>
          <w:sz w:val="24"/>
          <w:szCs w:val="24"/>
        </w:rPr>
        <w:t xml:space="preserve"> </w:t>
      </w:r>
      <w:r w:rsidRPr="009D292C">
        <w:rPr>
          <w:b/>
          <w:bCs/>
          <w:sz w:val="24"/>
          <w:szCs w:val="24"/>
        </w:rPr>
        <w:t>с использованием</w:t>
      </w:r>
      <w:r w:rsidRPr="00A124A4">
        <w:rPr>
          <w:b/>
          <w:bCs/>
          <w:sz w:val="24"/>
          <w:szCs w:val="24"/>
        </w:rPr>
        <w:t xml:space="preserve"> метода индексации </w:t>
      </w:r>
      <w:r w:rsidRPr="00D91498">
        <w:rPr>
          <w:b/>
          <w:bCs/>
          <w:sz w:val="24"/>
          <w:szCs w:val="24"/>
        </w:rPr>
        <w:t xml:space="preserve">установленных тарифов </w:t>
      </w:r>
    </w:p>
    <w:p w14:paraId="05884A2E" w14:textId="77777777" w:rsidR="004E5458" w:rsidRPr="007A0269" w:rsidRDefault="004E5458" w:rsidP="004E5458">
      <w:pPr>
        <w:widowControl/>
        <w:autoSpaceDE w:val="0"/>
        <w:autoSpaceDN w:val="0"/>
        <w:adjustRightInd w:val="0"/>
        <w:jc w:val="center"/>
        <w:rPr>
          <w:sz w:val="22"/>
          <w:szCs w:val="22"/>
        </w:rPr>
      </w:pPr>
    </w:p>
    <w:tbl>
      <w:tblPr>
        <w:tblW w:w="105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559"/>
        <w:gridCol w:w="567"/>
        <w:gridCol w:w="1134"/>
        <w:gridCol w:w="1134"/>
        <w:gridCol w:w="993"/>
        <w:gridCol w:w="992"/>
        <w:gridCol w:w="1559"/>
        <w:gridCol w:w="1275"/>
        <w:gridCol w:w="978"/>
      </w:tblGrid>
      <w:tr w:rsidR="004E5458" w:rsidRPr="00C51ABA" w14:paraId="5596B66A" w14:textId="77777777" w:rsidTr="000D779C">
        <w:trPr>
          <w:trHeight w:val="990"/>
        </w:trPr>
        <w:tc>
          <w:tcPr>
            <w:tcW w:w="323" w:type="dxa"/>
            <w:vMerge w:val="restart"/>
            <w:shd w:val="clear" w:color="auto" w:fill="auto"/>
            <w:vAlign w:val="center"/>
            <w:hideMark/>
          </w:tcPr>
          <w:p w14:paraId="589278D6" w14:textId="77777777" w:rsidR="004E5458" w:rsidRPr="00030DD4" w:rsidRDefault="004E5458" w:rsidP="000D779C">
            <w:pPr>
              <w:widowControl/>
              <w:jc w:val="center"/>
              <w:rPr>
                <w:sz w:val="19"/>
                <w:szCs w:val="19"/>
              </w:rPr>
            </w:pPr>
            <w:r w:rsidRPr="00030DD4">
              <w:rPr>
                <w:sz w:val="19"/>
                <w:szCs w:val="19"/>
              </w:rPr>
              <w:t>№ п/п</w:t>
            </w:r>
          </w:p>
        </w:tc>
        <w:tc>
          <w:tcPr>
            <w:tcW w:w="1559" w:type="dxa"/>
            <w:vMerge w:val="restart"/>
            <w:shd w:val="clear" w:color="auto" w:fill="auto"/>
            <w:vAlign w:val="center"/>
            <w:hideMark/>
          </w:tcPr>
          <w:p w14:paraId="06329771" w14:textId="77777777" w:rsidR="004E5458" w:rsidRPr="00030DD4" w:rsidRDefault="004E5458" w:rsidP="000D779C">
            <w:pPr>
              <w:widowControl/>
              <w:jc w:val="center"/>
              <w:rPr>
                <w:sz w:val="19"/>
                <w:szCs w:val="19"/>
              </w:rPr>
            </w:pPr>
            <w:r w:rsidRPr="00030DD4">
              <w:rPr>
                <w:sz w:val="19"/>
                <w:szCs w:val="19"/>
              </w:rPr>
              <w:t>Наименование регулируемой организации</w:t>
            </w:r>
          </w:p>
        </w:tc>
        <w:tc>
          <w:tcPr>
            <w:tcW w:w="567" w:type="dxa"/>
            <w:vMerge w:val="restart"/>
            <w:shd w:val="clear" w:color="auto" w:fill="auto"/>
            <w:noWrap/>
            <w:vAlign w:val="center"/>
            <w:hideMark/>
          </w:tcPr>
          <w:p w14:paraId="5DE87A87" w14:textId="77777777" w:rsidR="004E5458" w:rsidRPr="00030DD4" w:rsidRDefault="004E5458" w:rsidP="000D779C">
            <w:pPr>
              <w:widowControl/>
              <w:jc w:val="center"/>
              <w:rPr>
                <w:sz w:val="19"/>
                <w:szCs w:val="19"/>
              </w:rPr>
            </w:pPr>
            <w:r w:rsidRPr="00030DD4">
              <w:rPr>
                <w:sz w:val="19"/>
                <w:szCs w:val="19"/>
              </w:rPr>
              <w:t>Год</w:t>
            </w:r>
          </w:p>
        </w:tc>
        <w:tc>
          <w:tcPr>
            <w:tcW w:w="1134" w:type="dxa"/>
            <w:shd w:val="clear" w:color="auto" w:fill="auto"/>
            <w:vAlign w:val="center"/>
            <w:hideMark/>
          </w:tcPr>
          <w:p w14:paraId="3AB17AE3" w14:textId="77777777" w:rsidR="004E5458" w:rsidRPr="00030DD4" w:rsidRDefault="004E5458" w:rsidP="000D779C">
            <w:pPr>
              <w:widowControl/>
              <w:jc w:val="center"/>
              <w:rPr>
                <w:sz w:val="19"/>
                <w:szCs w:val="19"/>
              </w:rPr>
            </w:pPr>
            <w:r w:rsidRPr="00030DD4">
              <w:rPr>
                <w:sz w:val="19"/>
                <w:szCs w:val="19"/>
              </w:rPr>
              <w:t>Базовый уровень операционных расходов</w:t>
            </w:r>
          </w:p>
        </w:tc>
        <w:tc>
          <w:tcPr>
            <w:tcW w:w="1134" w:type="dxa"/>
            <w:shd w:val="clear" w:color="auto" w:fill="auto"/>
            <w:vAlign w:val="center"/>
            <w:hideMark/>
          </w:tcPr>
          <w:p w14:paraId="45C43B3E" w14:textId="77777777" w:rsidR="004E5458" w:rsidRPr="00030DD4" w:rsidRDefault="004E5458" w:rsidP="000D779C">
            <w:pPr>
              <w:widowControl/>
              <w:jc w:val="center"/>
              <w:rPr>
                <w:sz w:val="19"/>
                <w:szCs w:val="19"/>
              </w:rPr>
            </w:pPr>
            <w:r w:rsidRPr="00030DD4">
              <w:rPr>
                <w:sz w:val="19"/>
                <w:szCs w:val="19"/>
              </w:rPr>
              <w:t>Индекс эффективности операционных расходов</w:t>
            </w:r>
          </w:p>
        </w:tc>
        <w:tc>
          <w:tcPr>
            <w:tcW w:w="993" w:type="dxa"/>
            <w:shd w:val="clear" w:color="auto" w:fill="auto"/>
            <w:vAlign w:val="center"/>
            <w:hideMark/>
          </w:tcPr>
          <w:p w14:paraId="14219F21" w14:textId="77777777" w:rsidR="004E5458" w:rsidRPr="00030DD4" w:rsidRDefault="004E5458" w:rsidP="000D779C">
            <w:pPr>
              <w:widowControl/>
              <w:jc w:val="center"/>
              <w:rPr>
                <w:sz w:val="19"/>
                <w:szCs w:val="19"/>
              </w:rPr>
            </w:pPr>
            <w:r w:rsidRPr="00030DD4">
              <w:rPr>
                <w:sz w:val="19"/>
                <w:szCs w:val="19"/>
              </w:rPr>
              <w:t>Нормативный уровень прибыли</w:t>
            </w:r>
          </w:p>
        </w:tc>
        <w:tc>
          <w:tcPr>
            <w:tcW w:w="992" w:type="dxa"/>
            <w:shd w:val="clear" w:color="auto" w:fill="auto"/>
            <w:vAlign w:val="center"/>
            <w:hideMark/>
          </w:tcPr>
          <w:p w14:paraId="68E27427" w14:textId="77777777" w:rsidR="004E5458" w:rsidRPr="00030DD4" w:rsidRDefault="004E5458" w:rsidP="000D779C">
            <w:pPr>
              <w:widowControl/>
              <w:jc w:val="center"/>
              <w:rPr>
                <w:sz w:val="19"/>
                <w:szCs w:val="19"/>
              </w:rPr>
            </w:pPr>
            <w:r w:rsidRPr="00030DD4">
              <w:rPr>
                <w:sz w:val="19"/>
                <w:szCs w:val="19"/>
              </w:rPr>
              <w:t>Уровень надежности теплоснабжения</w:t>
            </w:r>
          </w:p>
        </w:tc>
        <w:tc>
          <w:tcPr>
            <w:tcW w:w="1559" w:type="dxa"/>
            <w:shd w:val="clear" w:color="auto" w:fill="auto"/>
            <w:vAlign w:val="center"/>
            <w:hideMark/>
          </w:tcPr>
          <w:p w14:paraId="528EDABA" w14:textId="77777777" w:rsidR="004E5458" w:rsidRPr="00030DD4" w:rsidRDefault="004E5458" w:rsidP="000D779C">
            <w:pPr>
              <w:widowControl/>
              <w:jc w:val="center"/>
              <w:rPr>
                <w:sz w:val="19"/>
                <w:szCs w:val="19"/>
              </w:rPr>
            </w:pPr>
            <w:r w:rsidRPr="00030DD4">
              <w:rPr>
                <w:sz w:val="19"/>
                <w:szCs w:val="19"/>
              </w:rPr>
              <w:t xml:space="preserve">Показатели энергосбережения и энергетической эффективности (технологические потери при передаче тепловой энергии, теплоносителя) </w:t>
            </w:r>
          </w:p>
        </w:tc>
        <w:tc>
          <w:tcPr>
            <w:tcW w:w="1275" w:type="dxa"/>
            <w:shd w:val="clear" w:color="auto" w:fill="auto"/>
            <w:vAlign w:val="center"/>
            <w:hideMark/>
          </w:tcPr>
          <w:p w14:paraId="4D69F440" w14:textId="77777777" w:rsidR="004E5458" w:rsidRPr="00030DD4" w:rsidRDefault="004E5458" w:rsidP="000D779C">
            <w:pPr>
              <w:widowControl/>
              <w:jc w:val="center"/>
              <w:rPr>
                <w:sz w:val="19"/>
                <w:szCs w:val="19"/>
              </w:rPr>
            </w:pPr>
            <w:r w:rsidRPr="00030DD4">
              <w:rPr>
                <w:sz w:val="19"/>
                <w:szCs w:val="19"/>
              </w:rPr>
              <w:t>Реализация программ в области энергосбережения и повышения энергетической эффективности</w:t>
            </w:r>
          </w:p>
        </w:tc>
        <w:tc>
          <w:tcPr>
            <w:tcW w:w="978" w:type="dxa"/>
            <w:vAlign w:val="center"/>
          </w:tcPr>
          <w:p w14:paraId="74CC1D8E" w14:textId="77777777" w:rsidR="004E5458" w:rsidRPr="00030DD4" w:rsidRDefault="004E5458" w:rsidP="000D779C">
            <w:pPr>
              <w:widowControl/>
              <w:jc w:val="center"/>
              <w:rPr>
                <w:sz w:val="19"/>
                <w:szCs w:val="19"/>
              </w:rPr>
            </w:pPr>
            <w:r w:rsidRPr="00030DD4">
              <w:rPr>
                <w:sz w:val="19"/>
                <w:szCs w:val="19"/>
              </w:rPr>
              <w:t>Динамика изменения расходов на топливо</w:t>
            </w:r>
          </w:p>
        </w:tc>
      </w:tr>
      <w:tr w:rsidR="004E5458" w:rsidRPr="00C51ABA" w14:paraId="1F2CDC2D" w14:textId="77777777" w:rsidTr="000D779C">
        <w:trPr>
          <w:trHeight w:val="225"/>
        </w:trPr>
        <w:tc>
          <w:tcPr>
            <w:tcW w:w="323" w:type="dxa"/>
            <w:vMerge/>
            <w:vAlign w:val="center"/>
            <w:hideMark/>
          </w:tcPr>
          <w:p w14:paraId="11E0D4A8" w14:textId="77777777" w:rsidR="004E5458" w:rsidRPr="00030DD4" w:rsidRDefault="004E5458" w:rsidP="000D779C">
            <w:pPr>
              <w:widowControl/>
              <w:rPr>
                <w:sz w:val="19"/>
                <w:szCs w:val="19"/>
              </w:rPr>
            </w:pPr>
          </w:p>
        </w:tc>
        <w:tc>
          <w:tcPr>
            <w:tcW w:w="1559" w:type="dxa"/>
            <w:vMerge/>
            <w:vAlign w:val="center"/>
            <w:hideMark/>
          </w:tcPr>
          <w:p w14:paraId="794AE3D4" w14:textId="77777777" w:rsidR="004E5458" w:rsidRPr="00030DD4" w:rsidRDefault="004E5458" w:rsidP="000D779C">
            <w:pPr>
              <w:widowControl/>
              <w:rPr>
                <w:sz w:val="19"/>
                <w:szCs w:val="19"/>
              </w:rPr>
            </w:pPr>
          </w:p>
        </w:tc>
        <w:tc>
          <w:tcPr>
            <w:tcW w:w="567" w:type="dxa"/>
            <w:vMerge/>
            <w:vAlign w:val="center"/>
            <w:hideMark/>
          </w:tcPr>
          <w:p w14:paraId="49134210" w14:textId="77777777" w:rsidR="004E5458" w:rsidRPr="00030DD4" w:rsidRDefault="004E5458" w:rsidP="000D779C">
            <w:pPr>
              <w:widowControl/>
              <w:rPr>
                <w:sz w:val="19"/>
                <w:szCs w:val="19"/>
              </w:rPr>
            </w:pPr>
          </w:p>
        </w:tc>
        <w:tc>
          <w:tcPr>
            <w:tcW w:w="1134" w:type="dxa"/>
            <w:shd w:val="clear" w:color="auto" w:fill="auto"/>
            <w:noWrap/>
            <w:vAlign w:val="center"/>
            <w:hideMark/>
          </w:tcPr>
          <w:p w14:paraId="02DA3802" w14:textId="77777777" w:rsidR="004E5458" w:rsidRPr="00030DD4" w:rsidRDefault="004E5458" w:rsidP="000D779C">
            <w:pPr>
              <w:widowControl/>
              <w:jc w:val="center"/>
              <w:rPr>
                <w:sz w:val="19"/>
                <w:szCs w:val="19"/>
              </w:rPr>
            </w:pPr>
            <w:r w:rsidRPr="00030DD4">
              <w:rPr>
                <w:sz w:val="19"/>
                <w:szCs w:val="19"/>
              </w:rPr>
              <w:t>тыс. руб.</w:t>
            </w:r>
          </w:p>
        </w:tc>
        <w:tc>
          <w:tcPr>
            <w:tcW w:w="1134" w:type="dxa"/>
            <w:shd w:val="clear" w:color="auto" w:fill="auto"/>
            <w:noWrap/>
            <w:vAlign w:val="center"/>
            <w:hideMark/>
          </w:tcPr>
          <w:p w14:paraId="08A35030" w14:textId="77777777" w:rsidR="004E5458" w:rsidRPr="00030DD4" w:rsidRDefault="004E5458" w:rsidP="000D779C">
            <w:pPr>
              <w:widowControl/>
              <w:jc w:val="center"/>
              <w:rPr>
                <w:sz w:val="19"/>
                <w:szCs w:val="19"/>
              </w:rPr>
            </w:pPr>
            <w:r w:rsidRPr="00030DD4">
              <w:rPr>
                <w:sz w:val="19"/>
                <w:szCs w:val="19"/>
              </w:rPr>
              <w:t>%</w:t>
            </w:r>
          </w:p>
        </w:tc>
        <w:tc>
          <w:tcPr>
            <w:tcW w:w="993" w:type="dxa"/>
            <w:shd w:val="clear" w:color="auto" w:fill="auto"/>
            <w:noWrap/>
            <w:vAlign w:val="center"/>
            <w:hideMark/>
          </w:tcPr>
          <w:p w14:paraId="7C480266" w14:textId="77777777" w:rsidR="004E5458" w:rsidRPr="00030DD4" w:rsidRDefault="004E5458" w:rsidP="000D779C">
            <w:pPr>
              <w:widowControl/>
              <w:jc w:val="center"/>
              <w:rPr>
                <w:sz w:val="19"/>
                <w:szCs w:val="19"/>
              </w:rPr>
            </w:pPr>
            <w:r w:rsidRPr="00030DD4">
              <w:rPr>
                <w:sz w:val="19"/>
                <w:szCs w:val="19"/>
              </w:rPr>
              <w:t>%</w:t>
            </w:r>
          </w:p>
        </w:tc>
        <w:tc>
          <w:tcPr>
            <w:tcW w:w="992" w:type="dxa"/>
            <w:shd w:val="clear" w:color="auto" w:fill="auto"/>
            <w:noWrap/>
            <w:vAlign w:val="center"/>
            <w:hideMark/>
          </w:tcPr>
          <w:p w14:paraId="71910664" w14:textId="77777777" w:rsidR="004E5458" w:rsidRPr="00030DD4" w:rsidRDefault="004E5458" w:rsidP="000D779C">
            <w:pPr>
              <w:widowControl/>
              <w:jc w:val="center"/>
              <w:rPr>
                <w:sz w:val="19"/>
                <w:szCs w:val="19"/>
              </w:rPr>
            </w:pPr>
            <w:r w:rsidRPr="00030DD4">
              <w:rPr>
                <w:sz w:val="19"/>
                <w:szCs w:val="19"/>
              </w:rPr>
              <w:t> </w:t>
            </w:r>
          </w:p>
        </w:tc>
        <w:tc>
          <w:tcPr>
            <w:tcW w:w="1559" w:type="dxa"/>
            <w:shd w:val="clear" w:color="auto" w:fill="auto"/>
            <w:noWrap/>
            <w:vAlign w:val="center"/>
            <w:hideMark/>
          </w:tcPr>
          <w:p w14:paraId="63AF2B47" w14:textId="77777777" w:rsidR="004E5458" w:rsidRPr="00030DD4" w:rsidRDefault="004E5458" w:rsidP="000D779C">
            <w:pPr>
              <w:widowControl/>
              <w:jc w:val="center"/>
              <w:rPr>
                <w:sz w:val="19"/>
                <w:szCs w:val="19"/>
              </w:rPr>
            </w:pPr>
            <w:r w:rsidRPr="00030DD4">
              <w:rPr>
                <w:sz w:val="19"/>
                <w:szCs w:val="19"/>
              </w:rPr>
              <w:t> </w:t>
            </w:r>
          </w:p>
        </w:tc>
        <w:tc>
          <w:tcPr>
            <w:tcW w:w="1275" w:type="dxa"/>
            <w:shd w:val="clear" w:color="auto" w:fill="auto"/>
            <w:noWrap/>
            <w:vAlign w:val="center"/>
            <w:hideMark/>
          </w:tcPr>
          <w:p w14:paraId="521C33DC" w14:textId="77777777" w:rsidR="004E5458" w:rsidRPr="00030DD4" w:rsidRDefault="004E5458" w:rsidP="000D779C">
            <w:pPr>
              <w:widowControl/>
              <w:jc w:val="center"/>
              <w:rPr>
                <w:sz w:val="19"/>
                <w:szCs w:val="19"/>
              </w:rPr>
            </w:pPr>
            <w:r w:rsidRPr="00030DD4">
              <w:rPr>
                <w:sz w:val="19"/>
                <w:szCs w:val="19"/>
              </w:rPr>
              <w:t> </w:t>
            </w:r>
          </w:p>
        </w:tc>
        <w:tc>
          <w:tcPr>
            <w:tcW w:w="978" w:type="dxa"/>
          </w:tcPr>
          <w:p w14:paraId="1EFE5C6F" w14:textId="77777777" w:rsidR="004E5458" w:rsidRPr="00030DD4" w:rsidRDefault="004E5458" w:rsidP="000D779C">
            <w:pPr>
              <w:widowControl/>
              <w:jc w:val="center"/>
              <w:rPr>
                <w:sz w:val="19"/>
                <w:szCs w:val="19"/>
              </w:rPr>
            </w:pPr>
          </w:p>
        </w:tc>
      </w:tr>
      <w:tr w:rsidR="004E5458" w:rsidRPr="00C51ABA" w14:paraId="2D0DC3E6" w14:textId="77777777" w:rsidTr="000D779C">
        <w:trPr>
          <w:trHeight w:val="340"/>
        </w:trPr>
        <w:tc>
          <w:tcPr>
            <w:tcW w:w="323" w:type="dxa"/>
            <w:vMerge w:val="restart"/>
            <w:shd w:val="clear" w:color="auto" w:fill="auto"/>
            <w:noWrap/>
            <w:vAlign w:val="center"/>
            <w:hideMark/>
          </w:tcPr>
          <w:p w14:paraId="170779A0" w14:textId="77777777" w:rsidR="004E5458" w:rsidRPr="00030DD4" w:rsidRDefault="004E5458" w:rsidP="000D779C">
            <w:pPr>
              <w:widowControl/>
              <w:jc w:val="center"/>
              <w:rPr>
                <w:sz w:val="19"/>
                <w:szCs w:val="19"/>
              </w:rPr>
            </w:pPr>
            <w:r w:rsidRPr="00030DD4">
              <w:rPr>
                <w:sz w:val="19"/>
                <w:szCs w:val="19"/>
              </w:rPr>
              <w:t>1.</w:t>
            </w:r>
          </w:p>
        </w:tc>
        <w:tc>
          <w:tcPr>
            <w:tcW w:w="1559" w:type="dxa"/>
            <w:vMerge w:val="restart"/>
            <w:shd w:val="clear" w:color="auto" w:fill="auto"/>
            <w:vAlign w:val="center"/>
            <w:hideMark/>
          </w:tcPr>
          <w:p w14:paraId="14D1A959" w14:textId="77777777" w:rsidR="004E5458" w:rsidRPr="00961A35" w:rsidRDefault="004E5458" w:rsidP="000D779C">
            <w:pPr>
              <w:widowControl/>
              <w:jc w:val="both"/>
            </w:pPr>
            <w:proofErr w:type="gramStart"/>
            <w:r w:rsidRPr="005A177D">
              <w:t>ООО«</w:t>
            </w:r>
            <w:proofErr w:type="gramEnd"/>
            <w:r w:rsidRPr="005A177D">
              <w:rPr>
                <w:szCs w:val="28"/>
              </w:rPr>
              <w:t>ИБК</w:t>
            </w:r>
            <w:r w:rsidRPr="005A177D">
              <w:t>»  (Южский район)</w:t>
            </w:r>
          </w:p>
        </w:tc>
        <w:tc>
          <w:tcPr>
            <w:tcW w:w="567" w:type="dxa"/>
            <w:shd w:val="clear" w:color="auto" w:fill="auto"/>
            <w:noWrap/>
            <w:vAlign w:val="center"/>
            <w:hideMark/>
          </w:tcPr>
          <w:p w14:paraId="4A5A73FA" w14:textId="77777777" w:rsidR="004E5458" w:rsidRPr="00DC7E3D" w:rsidRDefault="004E5458" w:rsidP="000D779C">
            <w:pPr>
              <w:jc w:val="center"/>
              <w:rPr>
                <w:sz w:val="22"/>
              </w:rPr>
            </w:pPr>
            <w:r w:rsidRPr="00DC7E3D">
              <w:rPr>
                <w:sz w:val="22"/>
              </w:rPr>
              <w:t>202</w:t>
            </w:r>
            <w:r>
              <w:rPr>
                <w:sz w:val="22"/>
              </w:rPr>
              <w:t>5</w:t>
            </w:r>
          </w:p>
        </w:tc>
        <w:tc>
          <w:tcPr>
            <w:tcW w:w="1134" w:type="dxa"/>
            <w:shd w:val="clear" w:color="auto" w:fill="auto"/>
            <w:noWrap/>
            <w:vAlign w:val="center"/>
            <w:hideMark/>
          </w:tcPr>
          <w:p w14:paraId="0B2023F3" w14:textId="77777777" w:rsidR="004E5458" w:rsidRPr="009A1B06" w:rsidRDefault="004E5458" w:rsidP="000D779C">
            <w:pPr>
              <w:widowControl/>
              <w:jc w:val="center"/>
              <w:rPr>
                <w:sz w:val="22"/>
                <w:szCs w:val="22"/>
              </w:rPr>
            </w:pPr>
            <w:r w:rsidRPr="004E56FD">
              <w:rPr>
                <w:sz w:val="22"/>
                <w:szCs w:val="22"/>
              </w:rPr>
              <w:t xml:space="preserve">3 557,503   </w:t>
            </w:r>
          </w:p>
        </w:tc>
        <w:tc>
          <w:tcPr>
            <w:tcW w:w="1134" w:type="dxa"/>
            <w:shd w:val="clear" w:color="auto" w:fill="auto"/>
            <w:noWrap/>
            <w:vAlign w:val="center"/>
            <w:hideMark/>
          </w:tcPr>
          <w:p w14:paraId="6B0FEADB" w14:textId="77777777" w:rsidR="004E5458" w:rsidRPr="00030DD4" w:rsidRDefault="004E5458" w:rsidP="000D779C">
            <w:pPr>
              <w:widowControl/>
              <w:jc w:val="center"/>
              <w:rPr>
                <w:sz w:val="19"/>
                <w:szCs w:val="19"/>
              </w:rPr>
            </w:pPr>
            <w:r>
              <w:rPr>
                <w:sz w:val="19"/>
                <w:szCs w:val="19"/>
              </w:rPr>
              <w:t>-</w:t>
            </w:r>
          </w:p>
        </w:tc>
        <w:tc>
          <w:tcPr>
            <w:tcW w:w="993" w:type="dxa"/>
            <w:shd w:val="clear" w:color="auto" w:fill="auto"/>
            <w:noWrap/>
            <w:vAlign w:val="center"/>
            <w:hideMark/>
          </w:tcPr>
          <w:p w14:paraId="5CB1BBA2" w14:textId="77777777" w:rsidR="004E5458" w:rsidRPr="00030DD4" w:rsidRDefault="004E5458" w:rsidP="000D779C">
            <w:pPr>
              <w:widowControl/>
              <w:jc w:val="center"/>
              <w:rPr>
                <w:sz w:val="19"/>
                <w:szCs w:val="19"/>
              </w:rPr>
            </w:pPr>
            <w:r>
              <w:rPr>
                <w:sz w:val="19"/>
                <w:szCs w:val="19"/>
              </w:rPr>
              <w:t>-</w:t>
            </w:r>
          </w:p>
        </w:tc>
        <w:tc>
          <w:tcPr>
            <w:tcW w:w="992" w:type="dxa"/>
            <w:shd w:val="clear" w:color="auto" w:fill="auto"/>
            <w:noWrap/>
            <w:vAlign w:val="center"/>
            <w:hideMark/>
          </w:tcPr>
          <w:p w14:paraId="29781B3B" w14:textId="77777777" w:rsidR="004E5458" w:rsidRPr="00030DD4" w:rsidRDefault="004E5458" w:rsidP="000D779C">
            <w:pPr>
              <w:widowControl/>
              <w:jc w:val="center"/>
              <w:rPr>
                <w:sz w:val="19"/>
                <w:szCs w:val="19"/>
              </w:rPr>
            </w:pPr>
            <w:r>
              <w:rPr>
                <w:sz w:val="19"/>
                <w:szCs w:val="19"/>
              </w:rPr>
              <w:t>-</w:t>
            </w:r>
          </w:p>
        </w:tc>
        <w:tc>
          <w:tcPr>
            <w:tcW w:w="1559" w:type="dxa"/>
            <w:shd w:val="clear" w:color="auto" w:fill="auto"/>
            <w:noWrap/>
            <w:vAlign w:val="center"/>
            <w:hideMark/>
          </w:tcPr>
          <w:p w14:paraId="7FB9770E" w14:textId="77777777" w:rsidR="004E5458" w:rsidRPr="00D91498" w:rsidRDefault="004E5458" w:rsidP="000D779C">
            <w:pPr>
              <w:widowControl/>
              <w:jc w:val="center"/>
              <w:rPr>
                <w:sz w:val="19"/>
                <w:szCs w:val="19"/>
              </w:rPr>
            </w:pPr>
            <w:r>
              <w:rPr>
                <w:sz w:val="19"/>
                <w:szCs w:val="19"/>
              </w:rPr>
              <w:t>-</w:t>
            </w:r>
          </w:p>
        </w:tc>
        <w:tc>
          <w:tcPr>
            <w:tcW w:w="1275" w:type="dxa"/>
            <w:shd w:val="clear" w:color="auto" w:fill="auto"/>
            <w:noWrap/>
            <w:vAlign w:val="center"/>
            <w:hideMark/>
          </w:tcPr>
          <w:p w14:paraId="09193F03" w14:textId="77777777" w:rsidR="004E5458" w:rsidRPr="00030DD4" w:rsidRDefault="004E5458" w:rsidP="000D779C">
            <w:pPr>
              <w:widowControl/>
              <w:jc w:val="center"/>
              <w:rPr>
                <w:sz w:val="19"/>
                <w:szCs w:val="19"/>
              </w:rPr>
            </w:pPr>
            <w:r>
              <w:rPr>
                <w:sz w:val="19"/>
                <w:szCs w:val="19"/>
              </w:rPr>
              <w:t>-</w:t>
            </w:r>
          </w:p>
        </w:tc>
        <w:tc>
          <w:tcPr>
            <w:tcW w:w="978" w:type="dxa"/>
            <w:vAlign w:val="center"/>
          </w:tcPr>
          <w:p w14:paraId="2893115C" w14:textId="77777777" w:rsidR="004E5458" w:rsidRPr="00030DD4" w:rsidRDefault="004E5458" w:rsidP="000D779C">
            <w:pPr>
              <w:widowControl/>
              <w:jc w:val="center"/>
              <w:rPr>
                <w:sz w:val="19"/>
                <w:szCs w:val="19"/>
              </w:rPr>
            </w:pPr>
            <w:r>
              <w:rPr>
                <w:sz w:val="19"/>
                <w:szCs w:val="19"/>
              </w:rPr>
              <w:t>-</w:t>
            </w:r>
          </w:p>
        </w:tc>
      </w:tr>
      <w:tr w:rsidR="004E5458" w:rsidRPr="00C51ABA" w14:paraId="51B20CAF" w14:textId="77777777" w:rsidTr="000D779C">
        <w:trPr>
          <w:trHeight w:val="340"/>
        </w:trPr>
        <w:tc>
          <w:tcPr>
            <w:tcW w:w="323" w:type="dxa"/>
            <w:vMerge/>
            <w:vAlign w:val="center"/>
            <w:hideMark/>
          </w:tcPr>
          <w:p w14:paraId="0421215B" w14:textId="77777777" w:rsidR="004E5458" w:rsidRPr="00030DD4" w:rsidRDefault="004E5458" w:rsidP="000D779C">
            <w:pPr>
              <w:widowControl/>
              <w:jc w:val="center"/>
              <w:rPr>
                <w:sz w:val="19"/>
                <w:szCs w:val="19"/>
              </w:rPr>
            </w:pPr>
          </w:p>
        </w:tc>
        <w:tc>
          <w:tcPr>
            <w:tcW w:w="1559" w:type="dxa"/>
            <w:vMerge/>
            <w:vAlign w:val="center"/>
            <w:hideMark/>
          </w:tcPr>
          <w:p w14:paraId="06094886" w14:textId="77777777" w:rsidR="004E5458" w:rsidRPr="00030DD4" w:rsidRDefault="004E5458" w:rsidP="000D779C">
            <w:pPr>
              <w:widowControl/>
              <w:rPr>
                <w:sz w:val="19"/>
                <w:szCs w:val="19"/>
              </w:rPr>
            </w:pPr>
          </w:p>
        </w:tc>
        <w:tc>
          <w:tcPr>
            <w:tcW w:w="567" w:type="dxa"/>
            <w:shd w:val="clear" w:color="auto" w:fill="auto"/>
            <w:noWrap/>
            <w:vAlign w:val="center"/>
            <w:hideMark/>
          </w:tcPr>
          <w:p w14:paraId="2D2FF374" w14:textId="77777777" w:rsidR="004E5458" w:rsidRPr="00DC7E3D" w:rsidRDefault="004E5458" w:rsidP="000D779C">
            <w:pPr>
              <w:jc w:val="center"/>
              <w:rPr>
                <w:sz w:val="22"/>
              </w:rPr>
            </w:pPr>
            <w:r>
              <w:rPr>
                <w:sz w:val="22"/>
              </w:rPr>
              <w:t>2026</w:t>
            </w:r>
          </w:p>
        </w:tc>
        <w:tc>
          <w:tcPr>
            <w:tcW w:w="1134" w:type="dxa"/>
            <w:shd w:val="clear" w:color="auto" w:fill="auto"/>
            <w:noWrap/>
            <w:vAlign w:val="center"/>
            <w:hideMark/>
          </w:tcPr>
          <w:p w14:paraId="239B7A84" w14:textId="77777777" w:rsidR="004E5458" w:rsidRPr="00030DD4" w:rsidRDefault="004E5458" w:rsidP="000D779C">
            <w:pPr>
              <w:widowControl/>
              <w:jc w:val="center"/>
              <w:rPr>
                <w:sz w:val="19"/>
                <w:szCs w:val="19"/>
              </w:rPr>
            </w:pPr>
            <w:r>
              <w:rPr>
                <w:sz w:val="19"/>
                <w:szCs w:val="19"/>
              </w:rPr>
              <w:t>-</w:t>
            </w:r>
          </w:p>
        </w:tc>
        <w:tc>
          <w:tcPr>
            <w:tcW w:w="1134" w:type="dxa"/>
            <w:shd w:val="clear" w:color="auto" w:fill="auto"/>
            <w:noWrap/>
            <w:vAlign w:val="center"/>
            <w:hideMark/>
          </w:tcPr>
          <w:p w14:paraId="1EB7D779" w14:textId="77777777" w:rsidR="004E5458" w:rsidRPr="00030DD4" w:rsidRDefault="004E5458" w:rsidP="000D779C">
            <w:pPr>
              <w:widowControl/>
              <w:jc w:val="center"/>
              <w:rPr>
                <w:sz w:val="19"/>
                <w:szCs w:val="19"/>
              </w:rPr>
            </w:pPr>
            <w:r w:rsidRPr="00030DD4">
              <w:rPr>
                <w:sz w:val="19"/>
                <w:szCs w:val="19"/>
              </w:rPr>
              <w:t>1,0</w:t>
            </w:r>
          </w:p>
        </w:tc>
        <w:tc>
          <w:tcPr>
            <w:tcW w:w="993" w:type="dxa"/>
            <w:shd w:val="clear" w:color="auto" w:fill="auto"/>
            <w:noWrap/>
            <w:vAlign w:val="center"/>
            <w:hideMark/>
          </w:tcPr>
          <w:p w14:paraId="0DD1F54E" w14:textId="77777777" w:rsidR="004E5458" w:rsidRPr="00030DD4" w:rsidRDefault="004E5458" w:rsidP="000D779C">
            <w:pPr>
              <w:widowControl/>
              <w:jc w:val="center"/>
              <w:rPr>
                <w:sz w:val="19"/>
                <w:szCs w:val="19"/>
              </w:rPr>
            </w:pPr>
            <w:r>
              <w:rPr>
                <w:sz w:val="19"/>
                <w:szCs w:val="19"/>
              </w:rPr>
              <w:t>-</w:t>
            </w:r>
          </w:p>
        </w:tc>
        <w:tc>
          <w:tcPr>
            <w:tcW w:w="992" w:type="dxa"/>
            <w:shd w:val="clear" w:color="auto" w:fill="auto"/>
            <w:noWrap/>
            <w:vAlign w:val="center"/>
            <w:hideMark/>
          </w:tcPr>
          <w:p w14:paraId="4ABC7B97" w14:textId="77777777" w:rsidR="004E5458" w:rsidRPr="00030DD4" w:rsidRDefault="004E5458" w:rsidP="000D779C">
            <w:pPr>
              <w:widowControl/>
              <w:jc w:val="center"/>
              <w:rPr>
                <w:sz w:val="19"/>
                <w:szCs w:val="19"/>
              </w:rPr>
            </w:pPr>
            <w:r>
              <w:rPr>
                <w:sz w:val="19"/>
                <w:szCs w:val="19"/>
              </w:rPr>
              <w:t>-</w:t>
            </w:r>
          </w:p>
        </w:tc>
        <w:tc>
          <w:tcPr>
            <w:tcW w:w="1559" w:type="dxa"/>
            <w:shd w:val="clear" w:color="auto" w:fill="auto"/>
            <w:noWrap/>
            <w:vAlign w:val="center"/>
            <w:hideMark/>
          </w:tcPr>
          <w:p w14:paraId="3BDE29EB" w14:textId="77777777" w:rsidR="004E5458" w:rsidRPr="00B245F1" w:rsidRDefault="004E5458" w:rsidP="000D779C">
            <w:pPr>
              <w:widowControl/>
              <w:jc w:val="center"/>
              <w:rPr>
                <w:sz w:val="19"/>
                <w:szCs w:val="19"/>
              </w:rPr>
            </w:pPr>
            <w:r>
              <w:rPr>
                <w:sz w:val="19"/>
                <w:szCs w:val="19"/>
              </w:rPr>
              <w:t>-</w:t>
            </w:r>
          </w:p>
        </w:tc>
        <w:tc>
          <w:tcPr>
            <w:tcW w:w="1275" w:type="dxa"/>
            <w:shd w:val="clear" w:color="auto" w:fill="auto"/>
            <w:noWrap/>
            <w:vAlign w:val="center"/>
            <w:hideMark/>
          </w:tcPr>
          <w:p w14:paraId="54FB02F2" w14:textId="77777777" w:rsidR="004E5458" w:rsidRPr="00030DD4" w:rsidRDefault="004E5458" w:rsidP="000D779C">
            <w:pPr>
              <w:widowControl/>
              <w:jc w:val="center"/>
              <w:rPr>
                <w:sz w:val="19"/>
                <w:szCs w:val="19"/>
              </w:rPr>
            </w:pPr>
            <w:r>
              <w:rPr>
                <w:sz w:val="19"/>
                <w:szCs w:val="19"/>
              </w:rPr>
              <w:t>-</w:t>
            </w:r>
          </w:p>
        </w:tc>
        <w:tc>
          <w:tcPr>
            <w:tcW w:w="978" w:type="dxa"/>
            <w:vAlign w:val="center"/>
          </w:tcPr>
          <w:p w14:paraId="3CACF14E" w14:textId="77777777" w:rsidR="004E5458" w:rsidRPr="00030DD4" w:rsidRDefault="004E5458" w:rsidP="000D779C">
            <w:pPr>
              <w:widowControl/>
              <w:jc w:val="center"/>
              <w:rPr>
                <w:sz w:val="19"/>
                <w:szCs w:val="19"/>
              </w:rPr>
            </w:pPr>
            <w:r>
              <w:rPr>
                <w:sz w:val="19"/>
                <w:szCs w:val="19"/>
              </w:rPr>
              <w:t>-</w:t>
            </w:r>
          </w:p>
        </w:tc>
      </w:tr>
      <w:tr w:rsidR="004E5458" w:rsidRPr="00C51ABA" w14:paraId="24FD4BCC" w14:textId="77777777" w:rsidTr="000D779C">
        <w:trPr>
          <w:trHeight w:val="340"/>
        </w:trPr>
        <w:tc>
          <w:tcPr>
            <w:tcW w:w="323" w:type="dxa"/>
            <w:vMerge/>
            <w:vAlign w:val="center"/>
            <w:hideMark/>
          </w:tcPr>
          <w:p w14:paraId="369D7D20" w14:textId="77777777" w:rsidR="004E5458" w:rsidRPr="00030DD4" w:rsidRDefault="004E5458" w:rsidP="000D779C">
            <w:pPr>
              <w:widowControl/>
              <w:jc w:val="center"/>
              <w:rPr>
                <w:sz w:val="19"/>
                <w:szCs w:val="19"/>
              </w:rPr>
            </w:pPr>
          </w:p>
        </w:tc>
        <w:tc>
          <w:tcPr>
            <w:tcW w:w="1559" w:type="dxa"/>
            <w:vMerge/>
            <w:vAlign w:val="center"/>
            <w:hideMark/>
          </w:tcPr>
          <w:p w14:paraId="52D60F83" w14:textId="77777777" w:rsidR="004E5458" w:rsidRPr="00030DD4" w:rsidRDefault="004E5458" w:rsidP="000D779C">
            <w:pPr>
              <w:widowControl/>
              <w:rPr>
                <w:sz w:val="19"/>
                <w:szCs w:val="19"/>
              </w:rPr>
            </w:pPr>
          </w:p>
        </w:tc>
        <w:tc>
          <w:tcPr>
            <w:tcW w:w="567" w:type="dxa"/>
            <w:shd w:val="clear" w:color="auto" w:fill="auto"/>
            <w:noWrap/>
            <w:vAlign w:val="center"/>
            <w:hideMark/>
          </w:tcPr>
          <w:p w14:paraId="791DFB17" w14:textId="77777777" w:rsidR="004E5458" w:rsidRPr="00DC7E3D" w:rsidRDefault="004E5458" w:rsidP="000D779C">
            <w:pPr>
              <w:jc w:val="center"/>
              <w:rPr>
                <w:sz w:val="22"/>
              </w:rPr>
            </w:pPr>
            <w:r>
              <w:rPr>
                <w:sz w:val="22"/>
              </w:rPr>
              <w:t>2027</w:t>
            </w:r>
          </w:p>
        </w:tc>
        <w:tc>
          <w:tcPr>
            <w:tcW w:w="1134" w:type="dxa"/>
            <w:shd w:val="clear" w:color="auto" w:fill="auto"/>
            <w:noWrap/>
            <w:vAlign w:val="center"/>
            <w:hideMark/>
          </w:tcPr>
          <w:p w14:paraId="0E368DC8" w14:textId="77777777" w:rsidR="004E5458" w:rsidRPr="00030DD4" w:rsidRDefault="004E5458" w:rsidP="000D779C">
            <w:pPr>
              <w:widowControl/>
              <w:jc w:val="center"/>
              <w:rPr>
                <w:sz w:val="19"/>
                <w:szCs w:val="19"/>
              </w:rPr>
            </w:pPr>
            <w:r w:rsidRPr="00931447">
              <w:rPr>
                <w:sz w:val="19"/>
                <w:szCs w:val="19"/>
              </w:rPr>
              <w:t>-</w:t>
            </w:r>
          </w:p>
        </w:tc>
        <w:tc>
          <w:tcPr>
            <w:tcW w:w="1134" w:type="dxa"/>
            <w:shd w:val="clear" w:color="auto" w:fill="auto"/>
            <w:noWrap/>
            <w:vAlign w:val="center"/>
            <w:hideMark/>
          </w:tcPr>
          <w:p w14:paraId="5DE9DED6" w14:textId="77777777" w:rsidR="004E5458" w:rsidRPr="00030DD4" w:rsidRDefault="004E5458" w:rsidP="000D779C">
            <w:pPr>
              <w:widowControl/>
              <w:jc w:val="center"/>
              <w:rPr>
                <w:sz w:val="19"/>
                <w:szCs w:val="19"/>
              </w:rPr>
            </w:pPr>
            <w:r w:rsidRPr="00030DD4">
              <w:rPr>
                <w:sz w:val="19"/>
                <w:szCs w:val="19"/>
              </w:rPr>
              <w:t>1,0</w:t>
            </w:r>
          </w:p>
        </w:tc>
        <w:tc>
          <w:tcPr>
            <w:tcW w:w="993" w:type="dxa"/>
            <w:shd w:val="clear" w:color="auto" w:fill="auto"/>
            <w:noWrap/>
            <w:vAlign w:val="center"/>
            <w:hideMark/>
          </w:tcPr>
          <w:p w14:paraId="7016A5E2" w14:textId="77777777" w:rsidR="004E5458" w:rsidRPr="00030DD4" w:rsidRDefault="004E5458" w:rsidP="000D779C">
            <w:pPr>
              <w:widowControl/>
              <w:jc w:val="center"/>
              <w:rPr>
                <w:sz w:val="19"/>
                <w:szCs w:val="19"/>
              </w:rPr>
            </w:pPr>
            <w:r w:rsidRPr="00931447">
              <w:rPr>
                <w:sz w:val="19"/>
                <w:szCs w:val="19"/>
              </w:rPr>
              <w:t>-</w:t>
            </w:r>
          </w:p>
        </w:tc>
        <w:tc>
          <w:tcPr>
            <w:tcW w:w="992" w:type="dxa"/>
            <w:shd w:val="clear" w:color="auto" w:fill="auto"/>
            <w:noWrap/>
            <w:vAlign w:val="center"/>
            <w:hideMark/>
          </w:tcPr>
          <w:p w14:paraId="2FE6CFC1" w14:textId="77777777" w:rsidR="004E5458" w:rsidRPr="00030DD4" w:rsidRDefault="004E5458" w:rsidP="000D779C">
            <w:pPr>
              <w:widowControl/>
              <w:jc w:val="center"/>
              <w:rPr>
                <w:sz w:val="19"/>
                <w:szCs w:val="19"/>
              </w:rPr>
            </w:pPr>
            <w:r w:rsidRPr="00931447">
              <w:rPr>
                <w:sz w:val="19"/>
                <w:szCs w:val="19"/>
              </w:rPr>
              <w:t>-</w:t>
            </w:r>
          </w:p>
        </w:tc>
        <w:tc>
          <w:tcPr>
            <w:tcW w:w="1559" w:type="dxa"/>
            <w:shd w:val="clear" w:color="auto" w:fill="auto"/>
            <w:noWrap/>
            <w:vAlign w:val="center"/>
            <w:hideMark/>
          </w:tcPr>
          <w:p w14:paraId="44BCF44F" w14:textId="77777777" w:rsidR="004E5458" w:rsidRPr="00B245F1" w:rsidRDefault="004E5458" w:rsidP="000D779C">
            <w:pPr>
              <w:widowControl/>
              <w:jc w:val="center"/>
              <w:rPr>
                <w:sz w:val="19"/>
                <w:szCs w:val="19"/>
              </w:rPr>
            </w:pPr>
            <w:r w:rsidRPr="00931447">
              <w:rPr>
                <w:sz w:val="19"/>
                <w:szCs w:val="19"/>
              </w:rPr>
              <w:t>-</w:t>
            </w:r>
          </w:p>
        </w:tc>
        <w:tc>
          <w:tcPr>
            <w:tcW w:w="1275" w:type="dxa"/>
            <w:shd w:val="clear" w:color="auto" w:fill="auto"/>
            <w:noWrap/>
            <w:vAlign w:val="center"/>
            <w:hideMark/>
          </w:tcPr>
          <w:p w14:paraId="1FF54255" w14:textId="77777777" w:rsidR="004E5458" w:rsidRPr="00030DD4" w:rsidRDefault="004E5458" w:rsidP="000D779C">
            <w:pPr>
              <w:widowControl/>
              <w:jc w:val="center"/>
              <w:rPr>
                <w:sz w:val="19"/>
                <w:szCs w:val="19"/>
              </w:rPr>
            </w:pPr>
            <w:r w:rsidRPr="00931447">
              <w:rPr>
                <w:sz w:val="19"/>
                <w:szCs w:val="19"/>
              </w:rPr>
              <w:t>-</w:t>
            </w:r>
          </w:p>
        </w:tc>
        <w:tc>
          <w:tcPr>
            <w:tcW w:w="978" w:type="dxa"/>
            <w:vAlign w:val="center"/>
          </w:tcPr>
          <w:p w14:paraId="1EFE833C" w14:textId="77777777" w:rsidR="004E5458" w:rsidRPr="00030DD4" w:rsidRDefault="004E5458" w:rsidP="000D779C">
            <w:pPr>
              <w:widowControl/>
              <w:jc w:val="center"/>
              <w:rPr>
                <w:sz w:val="19"/>
                <w:szCs w:val="19"/>
              </w:rPr>
            </w:pPr>
            <w:r w:rsidRPr="00931447">
              <w:rPr>
                <w:sz w:val="19"/>
                <w:szCs w:val="19"/>
              </w:rPr>
              <w:t>-</w:t>
            </w:r>
          </w:p>
        </w:tc>
      </w:tr>
      <w:tr w:rsidR="004E5458" w:rsidRPr="00C51ABA" w14:paraId="20859368" w14:textId="77777777" w:rsidTr="000D779C">
        <w:trPr>
          <w:trHeight w:val="340"/>
        </w:trPr>
        <w:tc>
          <w:tcPr>
            <w:tcW w:w="323" w:type="dxa"/>
            <w:vMerge/>
            <w:vAlign w:val="center"/>
            <w:hideMark/>
          </w:tcPr>
          <w:p w14:paraId="24519106" w14:textId="77777777" w:rsidR="004E5458" w:rsidRPr="00030DD4" w:rsidRDefault="004E5458" w:rsidP="000D779C">
            <w:pPr>
              <w:widowControl/>
              <w:jc w:val="center"/>
              <w:rPr>
                <w:sz w:val="19"/>
                <w:szCs w:val="19"/>
              </w:rPr>
            </w:pPr>
          </w:p>
        </w:tc>
        <w:tc>
          <w:tcPr>
            <w:tcW w:w="1559" w:type="dxa"/>
            <w:vMerge/>
            <w:vAlign w:val="center"/>
            <w:hideMark/>
          </w:tcPr>
          <w:p w14:paraId="68356AB2" w14:textId="77777777" w:rsidR="004E5458" w:rsidRPr="00030DD4" w:rsidRDefault="004E5458" w:rsidP="000D779C">
            <w:pPr>
              <w:widowControl/>
              <w:rPr>
                <w:sz w:val="19"/>
                <w:szCs w:val="19"/>
              </w:rPr>
            </w:pPr>
          </w:p>
        </w:tc>
        <w:tc>
          <w:tcPr>
            <w:tcW w:w="567" w:type="dxa"/>
            <w:shd w:val="clear" w:color="auto" w:fill="auto"/>
            <w:noWrap/>
            <w:vAlign w:val="center"/>
            <w:hideMark/>
          </w:tcPr>
          <w:p w14:paraId="644B0E7F" w14:textId="77777777" w:rsidR="004E5458" w:rsidRPr="00DC7E3D" w:rsidRDefault="004E5458" w:rsidP="000D779C">
            <w:pPr>
              <w:jc w:val="center"/>
              <w:rPr>
                <w:sz w:val="22"/>
              </w:rPr>
            </w:pPr>
            <w:r>
              <w:rPr>
                <w:sz w:val="22"/>
              </w:rPr>
              <w:t>2028</w:t>
            </w:r>
          </w:p>
        </w:tc>
        <w:tc>
          <w:tcPr>
            <w:tcW w:w="1134" w:type="dxa"/>
            <w:shd w:val="clear" w:color="auto" w:fill="auto"/>
            <w:noWrap/>
            <w:vAlign w:val="center"/>
            <w:hideMark/>
          </w:tcPr>
          <w:p w14:paraId="2E780431" w14:textId="77777777" w:rsidR="004E5458" w:rsidRPr="00030DD4" w:rsidRDefault="004E5458" w:rsidP="000D779C">
            <w:pPr>
              <w:widowControl/>
              <w:jc w:val="center"/>
              <w:rPr>
                <w:sz w:val="19"/>
                <w:szCs w:val="19"/>
              </w:rPr>
            </w:pPr>
            <w:r w:rsidRPr="00931447">
              <w:rPr>
                <w:sz w:val="19"/>
                <w:szCs w:val="19"/>
              </w:rPr>
              <w:t>-</w:t>
            </w:r>
          </w:p>
        </w:tc>
        <w:tc>
          <w:tcPr>
            <w:tcW w:w="1134" w:type="dxa"/>
            <w:shd w:val="clear" w:color="auto" w:fill="auto"/>
            <w:noWrap/>
            <w:vAlign w:val="center"/>
            <w:hideMark/>
          </w:tcPr>
          <w:p w14:paraId="4D458E69" w14:textId="77777777" w:rsidR="004E5458" w:rsidRPr="00030DD4" w:rsidRDefault="004E5458" w:rsidP="000D779C">
            <w:pPr>
              <w:widowControl/>
              <w:jc w:val="center"/>
              <w:rPr>
                <w:sz w:val="19"/>
                <w:szCs w:val="19"/>
              </w:rPr>
            </w:pPr>
            <w:r w:rsidRPr="00030DD4">
              <w:rPr>
                <w:sz w:val="19"/>
                <w:szCs w:val="19"/>
              </w:rPr>
              <w:t>1,0</w:t>
            </w:r>
          </w:p>
        </w:tc>
        <w:tc>
          <w:tcPr>
            <w:tcW w:w="993" w:type="dxa"/>
            <w:shd w:val="clear" w:color="auto" w:fill="auto"/>
            <w:noWrap/>
            <w:vAlign w:val="center"/>
            <w:hideMark/>
          </w:tcPr>
          <w:p w14:paraId="00753E58" w14:textId="77777777" w:rsidR="004E5458" w:rsidRPr="00030DD4" w:rsidRDefault="004E5458" w:rsidP="000D779C">
            <w:pPr>
              <w:widowControl/>
              <w:jc w:val="center"/>
              <w:rPr>
                <w:sz w:val="19"/>
                <w:szCs w:val="19"/>
              </w:rPr>
            </w:pPr>
            <w:r w:rsidRPr="00931447">
              <w:rPr>
                <w:sz w:val="19"/>
                <w:szCs w:val="19"/>
              </w:rPr>
              <w:t>-</w:t>
            </w:r>
          </w:p>
        </w:tc>
        <w:tc>
          <w:tcPr>
            <w:tcW w:w="992" w:type="dxa"/>
            <w:shd w:val="clear" w:color="auto" w:fill="auto"/>
            <w:noWrap/>
            <w:vAlign w:val="center"/>
            <w:hideMark/>
          </w:tcPr>
          <w:p w14:paraId="2CE57489" w14:textId="77777777" w:rsidR="004E5458" w:rsidRPr="00030DD4" w:rsidRDefault="004E5458" w:rsidP="000D779C">
            <w:pPr>
              <w:widowControl/>
              <w:jc w:val="center"/>
              <w:rPr>
                <w:sz w:val="19"/>
                <w:szCs w:val="19"/>
              </w:rPr>
            </w:pPr>
            <w:r w:rsidRPr="00931447">
              <w:rPr>
                <w:sz w:val="19"/>
                <w:szCs w:val="19"/>
              </w:rPr>
              <w:t>-</w:t>
            </w:r>
          </w:p>
        </w:tc>
        <w:tc>
          <w:tcPr>
            <w:tcW w:w="1559" w:type="dxa"/>
            <w:shd w:val="clear" w:color="auto" w:fill="auto"/>
            <w:noWrap/>
            <w:vAlign w:val="center"/>
            <w:hideMark/>
          </w:tcPr>
          <w:p w14:paraId="79B478F2" w14:textId="77777777" w:rsidR="004E5458" w:rsidRPr="00B245F1" w:rsidRDefault="004E5458" w:rsidP="000D779C">
            <w:pPr>
              <w:widowControl/>
              <w:jc w:val="center"/>
              <w:rPr>
                <w:sz w:val="19"/>
                <w:szCs w:val="19"/>
              </w:rPr>
            </w:pPr>
            <w:r w:rsidRPr="00931447">
              <w:rPr>
                <w:sz w:val="19"/>
                <w:szCs w:val="19"/>
              </w:rPr>
              <w:t>-</w:t>
            </w:r>
          </w:p>
        </w:tc>
        <w:tc>
          <w:tcPr>
            <w:tcW w:w="1275" w:type="dxa"/>
            <w:shd w:val="clear" w:color="auto" w:fill="auto"/>
            <w:noWrap/>
            <w:vAlign w:val="center"/>
            <w:hideMark/>
          </w:tcPr>
          <w:p w14:paraId="1B90C4B4" w14:textId="77777777" w:rsidR="004E5458" w:rsidRPr="00030DD4" w:rsidRDefault="004E5458" w:rsidP="000D779C">
            <w:pPr>
              <w:widowControl/>
              <w:jc w:val="center"/>
              <w:rPr>
                <w:sz w:val="19"/>
                <w:szCs w:val="19"/>
              </w:rPr>
            </w:pPr>
            <w:r w:rsidRPr="00931447">
              <w:rPr>
                <w:sz w:val="19"/>
                <w:szCs w:val="19"/>
              </w:rPr>
              <w:t>-</w:t>
            </w:r>
          </w:p>
        </w:tc>
        <w:tc>
          <w:tcPr>
            <w:tcW w:w="978" w:type="dxa"/>
            <w:vAlign w:val="center"/>
          </w:tcPr>
          <w:p w14:paraId="1BD6F519" w14:textId="77777777" w:rsidR="004E5458" w:rsidRPr="00030DD4" w:rsidRDefault="004E5458" w:rsidP="000D779C">
            <w:pPr>
              <w:widowControl/>
              <w:jc w:val="center"/>
              <w:rPr>
                <w:sz w:val="19"/>
                <w:szCs w:val="19"/>
              </w:rPr>
            </w:pPr>
            <w:r w:rsidRPr="00931447">
              <w:rPr>
                <w:sz w:val="19"/>
                <w:szCs w:val="19"/>
              </w:rPr>
              <w:t>-</w:t>
            </w:r>
          </w:p>
        </w:tc>
      </w:tr>
      <w:tr w:rsidR="004E5458" w:rsidRPr="00C51ABA" w14:paraId="42250B9C" w14:textId="77777777" w:rsidTr="000D779C">
        <w:trPr>
          <w:trHeight w:val="340"/>
        </w:trPr>
        <w:tc>
          <w:tcPr>
            <w:tcW w:w="323" w:type="dxa"/>
            <w:vMerge/>
            <w:vAlign w:val="center"/>
            <w:hideMark/>
          </w:tcPr>
          <w:p w14:paraId="3F74AFA8" w14:textId="77777777" w:rsidR="004E5458" w:rsidRPr="00030DD4" w:rsidRDefault="004E5458" w:rsidP="000D779C">
            <w:pPr>
              <w:widowControl/>
              <w:jc w:val="center"/>
              <w:rPr>
                <w:sz w:val="19"/>
                <w:szCs w:val="19"/>
              </w:rPr>
            </w:pPr>
          </w:p>
        </w:tc>
        <w:tc>
          <w:tcPr>
            <w:tcW w:w="1559" w:type="dxa"/>
            <w:vMerge/>
            <w:vAlign w:val="center"/>
            <w:hideMark/>
          </w:tcPr>
          <w:p w14:paraId="7A83A6AE" w14:textId="77777777" w:rsidR="004E5458" w:rsidRPr="00030DD4" w:rsidRDefault="004E5458" w:rsidP="000D779C">
            <w:pPr>
              <w:widowControl/>
              <w:rPr>
                <w:sz w:val="19"/>
                <w:szCs w:val="19"/>
              </w:rPr>
            </w:pPr>
          </w:p>
        </w:tc>
        <w:tc>
          <w:tcPr>
            <w:tcW w:w="567" w:type="dxa"/>
            <w:shd w:val="clear" w:color="auto" w:fill="auto"/>
            <w:noWrap/>
            <w:vAlign w:val="center"/>
            <w:hideMark/>
          </w:tcPr>
          <w:p w14:paraId="279E5B92" w14:textId="77777777" w:rsidR="004E5458" w:rsidRPr="00DC7E3D" w:rsidRDefault="004E5458" w:rsidP="000D779C">
            <w:pPr>
              <w:jc w:val="center"/>
              <w:rPr>
                <w:sz w:val="22"/>
              </w:rPr>
            </w:pPr>
            <w:r>
              <w:rPr>
                <w:sz w:val="22"/>
              </w:rPr>
              <w:t>2029</w:t>
            </w:r>
          </w:p>
        </w:tc>
        <w:tc>
          <w:tcPr>
            <w:tcW w:w="1134" w:type="dxa"/>
            <w:shd w:val="clear" w:color="auto" w:fill="auto"/>
            <w:noWrap/>
            <w:vAlign w:val="center"/>
            <w:hideMark/>
          </w:tcPr>
          <w:p w14:paraId="012BBB59" w14:textId="77777777" w:rsidR="004E5458" w:rsidRPr="00030DD4" w:rsidRDefault="004E5458" w:rsidP="000D779C">
            <w:pPr>
              <w:widowControl/>
              <w:jc w:val="center"/>
              <w:rPr>
                <w:sz w:val="19"/>
                <w:szCs w:val="19"/>
              </w:rPr>
            </w:pPr>
            <w:r w:rsidRPr="00931447">
              <w:rPr>
                <w:sz w:val="19"/>
                <w:szCs w:val="19"/>
              </w:rPr>
              <w:t>-</w:t>
            </w:r>
          </w:p>
        </w:tc>
        <w:tc>
          <w:tcPr>
            <w:tcW w:w="1134" w:type="dxa"/>
            <w:shd w:val="clear" w:color="auto" w:fill="auto"/>
            <w:noWrap/>
            <w:vAlign w:val="center"/>
            <w:hideMark/>
          </w:tcPr>
          <w:p w14:paraId="05BEE781" w14:textId="77777777" w:rsidR="004E5458" w:rsidRPr="00030DD4" w:rsidRDefault="004E5458" w:rsidP="000D779C">
            <w:pPr>
              <w:widowControl/>
              <w:jc w:val="center"/>
              <w:rPr>
                <w:sz w:val="19"/>
                <w:szCs w:val="19"/>
              </w:rPr>
            </w:pPr>
            <w:r w:rsidRPr="00030DD4">
              <w:rPr>
                <w:sz w:val="19"/>
                <w:szCs w:val="19"/>
              </w:rPr>
              <w:t>1,0</w:t>
            </w:r>
          </w:p>
        </w:tc>
        <w:tc>
          <w:tcPr>
            <w:tcW w:w="993" w:type="dxa"/>
            <w:shd w:val="clear" w:color="auto" w:fill="auto"/>
            <w:noWrap/>
            <w:vAlign w:val="center"/>
            <w:hideMark/>
          </w:tcPr>
          <w:p w14:paraId="07C3ECC0" w14:textId="77777777" w:rsidR="004E5458" w:rsidRPr="00030DD4" w:rsidRDefault="004E5458" w:rsidP="000D779C">
            <w:pPr>
              <w:widowControl/>
              <w:jc w:val="center"/>
              <w:rPr>
                <w:sz w:val="19"/>
                <w:szCs w:val="19"/>
              </w:rPr>
            </w:pPr>
            <w:r w:rsidRPr="00931447">
              <w:rPr>
                <w:sz w:val="19"/>
                <w:szCs w:val="19"/>
              </w:rPr>
              <w:t>-</w:t>
            </w:r>
          </w:p>
        </w:tc>
        <w:tc>
          <w:tcPr>
            <w:tcW w:w="992" w:type="dxa"/>
            <w:shd w:val="clear" w:color="auto" w:fill="auto"/>
            <w:noWrap/>
            <w:vAlign w:val="center"/>
            <w:hideMark/>
          </w:tcPr>
          <w:p w14:paraId="025E3929" w14:textId="77777777" w:rsidR="004E5458" w:rsidRPr="00030DD4" w:rsidRDefault="004E5458" w:rsidP="000D779C">
            <w:pPr>
              <w:widowControl/>
              <w:jc w:val="center"/>
              <w:rPr>
                <w:sz w:val="19"/>
                <w:szCs w:val="19"/>
              </w:rPr>
            </w:pPr>
            <w:r w:rsidRPr="00931447">
              <w:rPr>
                <w:sz w:val="19"/>
                <w:szCs w:val="19"/>
              </w:rPr>
              <w:t>-</w:t>
            </w:r>
          </w:p>
        </w:tc>
        <w:tc>
          <w:tcPr>
            <w:tcW w:w="1559" w:type="dxa"/>
            <w:shd w:val="clear" w:color="auto" w:fill="auto"/>
            <w:noWrap/>
            <w:vAlign w:val="center"/>
            <w:hideMark/>
          </w:tcPr>
          <w:p w14:paraId="73C37EF6" w14:textId="77777777" w:rsidR="004E5458" w:rsidRPr="00B245F1" w:rsidRDefault="004E5458" w:rsidP="000D779C">
            <w:pPr>
              <w:widowControl/>
              <w:jc w:val="center"/>
              <w:rPr>
                <w:sz w:val="19"/>
                <w:szCs w:val="19"/>
              </w:rPr>
            </w:pPr>
            <w:r w:rsidRPr="00931447">
              <w:rPr>
                <w:sz w:val="19"/>
                <w:szCs w:val="19"/>
              </w:rPr>
              <w:t>-</w:t>
            </w:r>
          </w:p>
        </w:tc>
        <w:tc>
          <w:tcPr>
            <w:tcW w:w="1275" w:type="dxa"/>
            <w:shd w:val="clear" w:color="auto" w:fill="auto"/>
            <w:noWrap/>
            <w:vAlign w:val="center"/>
            <w:hideMark/>
          </w:tcPr>
          <w:p w14:paraId="2DEAA80D" w14:textId="77777777" w:rsidR="004E5458" w:rsidRPr="00030DD4" w:rsidRDefault="004E5458" w:rsidP="000D779C">
            <w:pPr>
              <w:widowControl/>
              <w:jc w:val="center"/>
              <w:rPr>
                <w:sz w:val="19"/>
                <w:szCs w:val="19"/>
              </w:rPr>
            </w:pPr>
            <w:r w:rsidRPr="00931447">
              <w:rPr>
                <w:sz w:val="19"/>
                <w:szCs w:val="19"/>
              </w:rPr>
              <w:t>-</w:t>
            </w:r>
          </w:p>
        </w:tc>
        <w:tc>
          <w:tcPr>
            <w:tcW w:w="978" w:type="dxa"/>
            <w:vAlign w:val="center"/>
          </w:tcPr>
          <w:p w14:paraId="1E3DC115" w14:textId="77777777" w:rsidR="004E5458" w:rsidRPr="00030DD4" w:rsidRDefault="004E5458" w:rsidP="000D779C">
            <w:pPr>
              <w:widowControl/>
              <w:jc w:val="center"/>
              <w:rPr>
                <w:sz w:val="19"/>
                <w:szCs w:val="19"/>
              </w:rPr>
            </w:pPr>
            <w:r w:rsidRPr="00931447">
              <w:rPr>
                <w:sz w:val="19"/>
                <w:szCs w:val="19"/>
              </w:rPr>
              <w:t>-</w:t>
            </w:r>
          </w:p>
        </w:tc>
      </w:tr>
    </w:tbl>
    <w:p w14:paraId="7E976DE5" w14:textId="77777777" w:rsidR="004E5458" w:rsidRDefault="004E5458" w:rsidP="004E5458">
      <w:pPr>
        <w:tabs>
          <w:tab w:val="left" w:pos="851"/>
        </w:tabs>
        <w:spacing w:line="235" w:lineRule="auto"/>
        <w:jc w:val="both"/>
        <w:rPr>
          <w:sz w:val="22"/>
          <w:szCs w:val="22"/>
        </w:rPr>
      </w:pPr>
    </w:p>
    <w:p w14:paraId="5C54E1C5" w14:textId="77777777" w:rsidR="00301708" w:rsidRPr="00301708" w:rsidRDefault="00301708" w:rsidP="00301708">
      <w:pPr>
        <w:tabs>
          <w:tab w:val="left" w:pos="851"/>
        </w:tabs>
        <w:spacing w:line="235" w:lineRule="auto"/>
        <w:ind w:firstLine="567"/>
        <w:jc w:val="both"/>
        <w:rPr>
          <w:sz w:val="22"/>
          <w:szCs w:val="22"/>
        </w:rPr>
      </w:pPr>
      <w:r w:rsidRPr="00301708">
        <w:rPr>
          <w:sz w:val="22"/>
          <w:szCs w:val="22"/>
        </w:rPr>
        <w:t>4.</w:t>
      </w:r>
      <w:r w:rsidRPr="00301708">
        <w:rPr>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F6625D9" w14:textId="243858EC" w:rsidR="00301708" w:rsidRPr="00301708" w:rsidRDefault="00301708" w:rsidP="00301708">
      <w:pPr>
        <w:tabs>
          <w:tab w:val="left" w:pos="851"/>
        </w:tabs>
        <w:spacing w:line="235" w:lineRule="auto"/>
        <w:ind w:firstLine="567"/>
        <w:jc w:val="both"/>
        <w:rPr>
          <w:sz w:val="22"/>
          <w:szCs w:val="22"/>
        </w:rPr>
      </w:pPr>
      <w:r w:rsidRPr="00301708">
        <w:rPr>
          <w:sz w:val="22"/>
          <w:szCs w:val="22"/>
        </w:rPr>
        <w:t>5.</w:t>
      </w:r>
      <w:r w:rsidRPr="00301708">
        <w:rPr>
          <w:sz w:val="22"/>
          <w:szCs w:val="22"/>
        </w:rPr>
        <w:tab/>
        <w:t>Тарифы, установленные в п. 1, 2, долгосрочные параметры регулирования, установленные в п. 3, действуют с 01.01.2025 по 31.12.2029.</w:t>
      </w:r>
    </w:p>
    <w:p w14:paraId="4CC6C328" w14:textId="77777777" w:rsidR="00301708" w:rsidRPr="00301708" w:rsidRDefault="00301708" w:rsidP="00301708">
      <w:pPr>
        <w:tabs>
          <w:tab w:val="left" w:pos="851"/>
        </w:tabs>
        <w:spacing w:line="235" w:lineRule="auto"/>
        <w:ind w:firstLine="567"/>
        <w:jc w:val="both"/>
        <w:rPr>
          <w:sz w:val="22"/>
          <w:szCs w:val="22"/>
        </w:rPr>
      </w:pPr>
      <w:r w:rsidRPr="00301708">
        <w:rPr>
          <w:sz w:val="22"/>
          <w:szCs w:val="22"/>
        </w:rPr>
        <w:t>6.</w:t>
      </w:r>
      <w:r w:rsidRPr="00301708">
        <w:rPr>
          <w:sz w:val="22"/>
          <w:szCs w:val="22"/>
        </w:rPr>
        <w:tab/>
        <w:t>С 01.01.2025 года признать утратившими силу приложения 1, 2 к постановлению Департамента энергетики и тарифов Ивановской области от 20.10.2023 № 40-т/4, приложение 3 к постановлению Департамента энергетики и тарифов Ивановской области от 20.12.2019 № 59-т/13.</w:t>
      </w:r>
    </w:p>
    <w:p w14:paraId="073A147A" w14:textId="0B115623" w:rsidR="00301708" w:rsidRPr="00301708" w:rsidRDefault="00301708" w:rsidP="00301708">
      <w:pPr>
        <w:tabs>
          <w:tab w:val="left" w:pos="851"/>
        </w:tabs>
        <w:spacing w:line="235" w:lineRule="auto"/>
        <w:ind w:firstLine="567"/>
        <w:jc w:val="both"/>
        <w:rPr>
          <w:sz w:val="22"/>
          <w:szCs w:val="22"/>
        </w:rPr>
      </w:pPr>
      <w:r w:rsidRPr="00301708">
        <w:rPr>
          <w:sz w:val="22"/>
          <w:szCs w:val="22"/>
        </w:rPr>
        <w:t>7.</w:t>
      </w:r>
      <w:r w:rsidRPr="00301708">
        <w:rPr>
          <w:sz w:val="22"/>
          <w:szCs w:val="22"/>
        </w:rPr>
        <w:tab/>
        <w:t>Постановление вступает в силу после дня его официального опубликования.</w:t>
      </w:r>
    </w:p>
    <w:p w14:paraId="3C495819" w14:textId="77777777" w:rsidR="00301708" w:rsidRDefault="00301708" w:rsidP="00301708">
      <w:pPr>
        <w:tabs>
          <w:tab w:val="left" w:pos="993"/>
        </w:tabs>
        <w:spacing w:line="235" w:lineRule="auto"/>
        <w:ind w:firstLine="567"/>
        <w:jc w:val="both"/>
        <w:rPr>
          <w:color w:val="FF0000"/>
          <w:sz w:val="22"/>
          <w:szCs w:val="22"/>
        </w:rPr>
      </w:pPr>
    </w:p>
    <w:p w14:paraId="71DD3F4D" w14:textId="77777777" w:rsidR="00C77E2C" w:rsidRPr="00B00D5D" w:rsidRDefault="00C77E2C" w:rsidP="00C77E2C">
      <w:pPr>
        <w:tabs>
          <w:tab w:val="left" w:pos="993"/>
        </w:tabs>
        <w:ind w:left="660"/>
        <w:jc w:val="both"/>
        <w:rPr>
          <w:b/>
          <w:bCs/>
          <w:sz w:val="22"/>
          <w:szCs w:val="22"/>
        </w:rPr>
      </w:pPr>
      <w:r w:rsidRPr="00B00D5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00D5D" w:rsidRPr="00B00D5D" w14:paraId="2E86BA25" w14:textId="77777777" w:rsidTr="00AB0579">
        <w:tc>
          <w:tcPr>
            <w:tcW w:w="959" w:type="dxa"/>
          </w:tcPr>
          <w:p w14:paraId="4FD26EE6" w14:textId="77777777" w:rsidR="00C77E2C" w:rsidRPr="00B00D5D" w:rsidRDefault="00C77E2C" w:rsidP="00AB0579">
            <w:pPr>
              <w:tabs>
                <w:tab w:val="left" w:pos="4020"/>
              </w:tabs>
              <w:jc w:val="center"/>
              <w:rPr>
                <w:sz w:val="22"/>
                <w:szCs w:val="22"/>
              </w:rPr>
            </w:pPr>
            <w:r w:rsidRPr="00B00D5D">
              <w:rPr>
                <w:sz w:val="22"/>
                <w:szCs w:val="22"/>
              </w:rPr>
              <w:t>№ п/п</w:t>
            </w:r>
          </w:p>
        </w:tc>
        <w:tc>
          <w:tcPr>
            <w:tcW w:w="2391" w:type="dxa"/>
          </w:tcPr>
          <w:p w14:paraId="56F5460B" w14:textId="77777777" w:rsidR="00C77E2C" w:rsidRPr="00B00D5D" w:rsidRDefault="00C77E2C" w:rsidP="00AB0579">
            <w:pPr>
              <w:tabs>
                <w:tab w:val="left" w:pos="4020"/>
              </w:tabs>
              <w:rPr>
                <w:sz w:val="22"/>
                <w:szCs w:val="22"/>
              </w:rPr>
            </w:pPr>
            <w:r w:rsidRPr="00B00D5D">
              <w:rPr>
                <w:sz w:val="22"/>
                <w:szCs w:val="22"/>
              </w:rPr>
              <w:t>Члены правления</w:t>
            </w:r>
          </w:p>
        </w:tc>
        <w:tc>
          <w:tcPr>
            <w:tcW w:w="3493" w:type="dxa"/>
          </w:tcPr>
          <w:p w14:paraId="1A8D01B2" w14:textId="77777777" w:rsidR="00C77E2C" w:rsidRPr="00B00D5D" w:rsidRDefault="00C77E2C" w:rsidP="00AB0579">
            <w:pPr>
              <w:tabs>
                <w:tab w:val="left" w:pos="4020"/>
              </w:tabs>
              <w:jc w:val="center"/>
              <w:rPr>
                <w:sz w:val="22"/>
                <w:szCs w:val="22"/>
              </w:rPr>
            </w:pPr>
            <w:r w:rsidRPr="00B00D5D">
              <w:rPr>
                <w:sz w:val="22"/>
                <w:szCs w:val="22"/>
              </w:rPr>
              <w:t>Результаты голосования</w:t>
            </w:r>
          </w:p>
        </w:tc>
      </w:tr>
      <w:tr w:rsidR="00B00D5D" w:rsidRPr="00B00D5D" w14:paraId="5FCC99DE" w14:textId="77777777" w:rsidTr="00AB0579">
        <w:tc>
          <w:tcPr>
            <w:tcW w:w="959" w:type="dxa"/>
          </w:tcPr>
          <w:p w14:paraId="019FE4ED" w14:textId="77777777" w:rsidR="00C77E2C" w:rsidRPr="00B00D5D" w:rsidRDefault="00C77E2C" w:rsidP="00AB0579">
            <w:pPr>
              <w:tabs>
                <w:tab w:val="left" w:pos="4020"/>
              </w:tabs>
              <w:jc w:val="center"/>
              <w:rPr>
                <w:sz w:val="22"/>
                <w:szCs w:val="22"/>
              </w:rPr>
            </w:pPr>
            <w:r w:rsidRPr="00B00D5D">
              <w:rPr>
                <w:sz w:val="22"/>
                <w:szCs w:val="22"/>
              </w:rPr>
              <w:t>1.</w:t>
            </w:r>
          </w:p>
        </w:tc>
        <w:tc>
          <w:tcPr>
            <w:tcW w:w="2391" w:type="dxa"/>
          </w:tcPr>
          <w:p w14:paraId="6E1E1683" w14:textId="77777777" w:rsidR="00C77E2C" w:rsidRPr="00B00D5D" w:rsidRDefault="00C77E2C" w:rsidP="00AB0579">
            <w:pPr>
              <w:tabs>
                <w:tab w:val="left" w:pos="4020"/>
              </w:tabs>
              <w:rPr>
                <w:sz w:val="22"/>
                <w:szCs w:val="22"/>
              </w:rPr>
            </w:pPr>
            <w:r w:rsidRPr="00B00D5D">
              <w:rPr>
                <w:sz w:val="22"/>
                <w:szCs w:val="22"/>
              </w:rPr>
              <w:t>Морева Е.Н.</w:t>
            </w:r>
          </w:p>
        </w:tc>
        <w:tc>
          <w:tcPr>
            <w:tcW w:w="3493" w:type="dxa"/>
          </w:tcPr>
          <w:p w14:paraId="13528532" w14:textId="77777777" w:rsidR="00C77E2C" w:rsidRPr="00B00D5D" w:rsidRDefault="00C77E2C" w:rsidP="00AB0579">
            <w:pPr>
              <w:jc w:val="center"/>
              <w:rPr>
                <w:sz w:val="22"/>
                <w:szCs w:val="22"/>
              </w:rPr>
            </w:pPr>
            <w:r w:rsidRPr="00B00D5D">
              <w:rPr>
                <w:sz w:val="22"/>
                <w:szCs w:val="22"/>
              </w:rPr>
              <w:t>за</w:t>
            </w:r>
          </w:p>
        </w:tc>
      </w:tr>
      <w:tr w:rsidR="00B00D5D" w:rsidRPr="00B00D5D" w14:paraId="2C1FBEFB" w14:textId="77777777" w:rsidTr="00AB0579">
        <w:tc>
          <w:tcPr>
            <w:tcW w:w="959" w:type="dxa"/>
          </w:tcPr>
          <w:p w14:paraId="4737B729" w14:textId="77777777" w:rsidR="00C77E2C" w:rsidRPr="00B00D5D" w:rsidRDefault="00C77E2C" w:rsidP="00AB0579">
            <w:pPr>
              <w:tabs>
                <w:tab w:val="left" w:pos="4020"/>
              </w:tabs>
              <w:jc w:val="center"/>
              <w:rPr>
                <w:sz w:val="22"/>
                <w:szCs w:val="22"/>
              </w:rPr>
            </w:pPr>
            <w:r w:rsidRPr="00B00D5D">
              <w:rPr>
                <w:sz w:val="22"/>
                <w:szCs w:val="22"/>
              </w:rPr>
              <w:t>2.</w:t>
            </w:r>
          </w:p>
        </w:tc>
        <w:tc>
          <w:tcPr>
            <w:tcW w:w="2391" w:type="dxa"/>
          </w:tcPr>
          <w:p w14:paraId="3F7A6DBF" w14:textId="77777777" w:rsidR="00C77E2C" w:rsidRPr="00B00D5D" w:rsidRDefault="00C77E2C" w:rsidP="00AB0579">
            <w:pPr>
              <w:tabs>
                <w:tab w:val="left" w:pos="4020"/>
              </w:tabs>
              <w:rPr>
                <w:sz w:val="22"/>
                <w:szCs w:val="22"/>
              </w:rPr>
            </w:pPr>
            <w:r w:rsidRPr="00B00D5D">
              <w:rPr>
                <w:sz w:val="22"/>
                <w:szCs w:val="22"/>
              </w:rPr>
              <w:t>Бугаева С.Е.</w:t>
            </w:r>
          </w:p>
        </w:tc>
        <w:tc>
          <w:tcPr>
            <w:tcW w:w="3493" w:type="dxa"/>
          </w:tcPr>
          <w:p w14:paraId="56D107A9" w14:textId="77777777" w:rsidR="00C77E2C" w:rsidRPr="00B00D5D" w:rsidRDefault="00C77E2C" w:rsidP="00AB0579">
            <w:pPr>
              <w:jc w:val="center"/>
              <w:rPr>
                <w:sz w:val="22"/>
                <w:szCs w:val="22"/>
              </w:rPr>
            </w:pPr>
            <w:r w:rsidRPr="00B00D5D">
              <w:rPr>
                <w:sz w:val="22"/>
                <w:szCs w:val="22"/>
              </w:rPr>
              <w:t>за</w:t>
            </w:r>
          </w:p>
        </w:tc>
      </w:tr>
      <w:tr w:rsidR="00B00D5D" w:rsidRPr="00B00D5D" w14:paraId="036592E5" w14:textId="77777777" w:rsidTr="00AB0579">
        <w:tc>
          <w:tcPr>
            <w:tcW w:w="959" w:type="dxa"/>
          </w:tcPr>
          <w:p w14:paraId="58EE5BD4" w14:textId="77777777" w:rsidR="00C77E2C" w:rsidRPr="00B00D5D" w:rsidRDefault="00C77E2C" w:rsidP="00AB0579">
            <w:pPr>
              <w:tabs>
                <w:tab w:val="left" w:pos="4020"/>
              </w:tabs>
              <w:jc w:val="center"/>
              <w:rPr>
                <w:sz w:val="22"/>
                <w:szCs w:val="22"/>
              </w:rPr>
            </w:pPr>
            <w:r w:rsidRPr="00B00D5D">
              <w:rPr>
                <w:sz w:val="22"/>
                <w:szCs w:val="22"/>
              </w:rPr>
              <w:t>3.</w:t>
            </w:r>
          </w:p>
        </w:tc>
        <w:tc>
          <w:tcPr>
            <w:tcW w:w="2391" w:type="dxa"/>
          </w:tcPr>
          <w:p w14:paraId="4B45BA24" w14:textId="77777777" w:rsidR="00C77E2C" w:rsidRPr="00B00D5D" w:rsidRDefault="00C77E2C" w:rsidP="00AB0579">
            <w:pPr>
              <w:tabs>
                <w:tab w:val="left" w:pos="4020"/>
              </w:tabs>
              <w:rPr>
                <w:sz w:val="22"/>
                <w:szCs w:val="22"/>
              </w:rPr>
            </w:pPr>
            <w:r w:rsidRPr="00B00D5D">
              <w:rPr>
                <w:sz w:val="22"/>
                <w:szCs w:val="22"/>
              </w:rPr>
              <w:t>Гущина Н.Б.</w:t>
            </w:r>
          </w:p>
        </w:tc>
        <w:tc>
          <w:tcPr>
            <w:tcW w:w="3493" w:type="dxa"/>
          </w:tcPr>
          <w:p w14:paraId="4D02E705" w14:textId="77777777" w:rsidR="00C77E2C" w:rsidRPr="00B00D5D" w:rsidRDefault="00C77E2C" w:rsidP="00AB0579">
            <w:pPr>
              <w:jc w:val="center"/>
              <w:rPr>
                <w:sz w:val="22"/>
                <w:szCs w:val="22"/>
              </w:rPr>
            </w:pPr>
            <w:r w:rsidRPr="00B00D5D">
              <w:rPr>
                <w:sz w:val="22"/>
                <w:szCs w:val="22"/>
              </w:rPr>
              <w:t>за</w:t>
            </w:r>
          </w:p>
        </w:tc>
      </w:tr>
      <w:tr w:rsidR="00B00D5D" w:rsidRPr="00B00D5D" w14:paraId="52F50BF6" w14:textId="77777777" w:rsidTr="00AB0579">
        <w:tc>
          <w:tcPr>
            <w:tcW w:w="959" w:type="dxa"/>
          </w:tcPr>
          <w:p w14:paraId="6AC11A21" w14:textId="77777777" w:rsidR="00C77E2C" w:rsidRPr="00B00D5D" w:rsidRDefault="00C77E2C" w:rsidP="00AB0579">
            <w:pPr>
              <w:tabs>
                <w:tab w:val="left" w:pos="4020"/>
              </w:tabs>
              <w:jc w:val="center"/>
              <w:rPr>
                <w:sz w:val="22"/>
                <w:szCs w:val="22"/>
              </w:rPr>
            </w:pPr>
            <w:r w:rsidRPr="00B00D5D">
              <w:rPr>
                <w:sz w:val="22"/>
                <w:szCs w:val="22"/>
              </w:rPr>
              <w:t>4.</w:t>
            </w:r>
          </w:p>
        </w:tc>
        <w:tc>
          <w:tcPr>
            <w:tcW w:w="2391" w:type="dxa"/>
          </w:tcPr>
          <w:p w14:paraId="0D145402" w14:textId="77777777" w:rsidR="00C77E2C" w:rsidRPr="00B00D5D" w:rsidRDefault="00C77E2C" w:rsidP="00AB0579">
            <w:pPr>
              <w:tabs>
                <w:tab w:val="left" w:pos="4020"/>
              </w:tabs>
              <w:rPr>
                <w:sz w:val="22"/>
                <w:szCs w:val="22"/>
              </w:rPr>
            </w:pPr>
            <w:r w:rsidRPr="00B00D5D">
              <w:rPr>
                <w:sz w:val="22"/>
                <w:szCs w:val="22"/>
              </w:rPr>
              <w:t>Турбачкина Е.В.</w:t>
            </w:r>
          </w:p>
        </w:tc>
        <w:tc>
          <w:tcPr>
            <w:tcW w:w="3493" w:type="dxa"/>
          </w:tcPr>
          <w:p w14:paraId="5FE79968" w14:textId="77777777" w:rsidR="00C77E2C" w:rsidRPr="00B00D5D" w:rsidRDefault="00C77E2C" w:rsidP="00AB0579">
            <w:pPr>
              <w:tabs>
                <w:tab w:val="left" w:pos="4020"/>
              </w:tabs>
              <w:jc w:val="center"/>
              <w:rPr>
                <w:sz w:val="22"/>
                <w:szCs w:val="22"/>
              </w:rPr>
            </w:pPr>
            <w:r w:rsidRPr="00B00D5D">
              <w:rPr>
                <w:sz w:val="22"/>
                <w:szCs w:val="22"/>
              </w:rPr>
              <w:t>за</w:t>
            </w:r>
          </w:p>
        </w:tc>
      </w:tr>
      <w:tr w:rsidR="00B00D5D" w:rsidRPr="00B00D5D" w14:paraId="442B7FAB" w14:textId="77777777" w:rsidTr="00AB0579">
        <w:tc>
          <w:tcPr>
            <w:tcW w:w="959" w:type="dxa"/>
          </w:tcPr>
          <w:p w14:paraId="1DD8CCC3" w14:textId="77777777" w:rsidR="00C77E2C" w:rsidRPr="00B00D5D" w:rsidRDefault="00C77E2C" w:rsidP="00AB0579">
            <w:pPr>
              <w:tabs>
                <w:tab w:val="left" w:pos="4020"/>
              </w:tabs>
              <w:jc w:val="center"/>
              <w:rPr>
                <w:sz w:val="22"/>
                <w:szCs w:val="22"/>
              </w:rPr>
            </w:pPr>
            <w:r w:rsidRPr="00B00D5D">
              <w:rPr>
                <w:sz w:val="22"/>
                <w:szCs w:val="22"/>
              </w:rPr>
              <w:t>5.</w:t>
            </w:r>
          </w:p>
        </w:tc>
        <w:tc>
          <w:tcPr>
            <w:tcW w:w="2391" w:type="dxa"/>
          </w:tcPr>
          <w:p w14:paraId="21341A00" w14:textId="77777777" w:rsidR="00C77E2C" w:rsidRPr="00B00D5D" w:rsidRDefault="00C77E2C" w:rsidP="00AB0579">
            <w:pPr>
              <w:tabs>
                <w:tab w:val="left" w:pos="4020"/>
              </w:tabs>
              <w:rPr>
                <w:sz w:val="22"/>
                <w:szCs w:val="22"/>
              </w:rPr>
            </w:pPr>
            <w:r w:rsidRPr="00B00D5D">
              <w:rPr>
                <w:sz w:val="22"/>
                <w:szCs w:val="22"/>
              </w:rPr>
              <w:t>Полозов И.Г.</w:t>
            </w:r>
          </w:p>
        </w:tc>
        <w:tc>
          <w:tcPr>
            <w:tcW w:w="3493" w:type="dxa"/>
          </w:tcPr>
          <w:p w14:paraId="66D63E93" w14:textId="77777777" w:rsidR="00C77E2C" w:rsidRPr="00B00D5D" w:rsidRDefault="00C77E2C" w:rsidP="00AB0579">
            <w:pPr>
              <w:tabs>
                <w:tab w:val="left" w:pos="4020"/>
              </w:tabs>
              <w:jc w:val="center"/>
              <w:rPr>
                <w:sz w:val="22"/>
                <w:szCs w:val="22"/>
              </w:rPr>
            </w:pPr>
            <w:r w:rsidRPr="00B00D5D">
              <w:rPr>
                <w:sz w:val="22"/>
                <w:szCs w:val="22"/>
              </w:rPr>
              <w:t>за</w:t>
            </w:r>
          </w:p>
        </w:tc>
      </w:tr>
      <w:tr w:rsidR="00B00D5D" w:rsidRPr="00B00D5D" w14:paraId="05DFCC9D" w14:textId="77777777" w:rsidTr="00AB0579">
        <w:tc>
          <w:tcPr>
            <w:tcW w:w="959" w:type="dxa"/>
          </w:tcPr>
          <w:p w14:paraId="53CD9D09" w14:textId="77777777" w:rsidR="00C77E2C" w:rsidRPr="00B00D5D" w:rsidRDefault="00C77E2C" w:rsidP="00AB0579">
            <w:pPr>
              <w:tabs>
                <w:tab w:val="left" w:pos="4020"/>
              </w:tabs>
              <w:jc w:val="center"/>
              <w:rPr>
                <w:sz w:val="22"/>
                <w:szCs w:val="22"/>
              </w:rPr>
            </w:pPr>
            <w:r w:rsidRPr="00B00D5D">
              <w:rPr>
                <w:sz w:val="22"/>
                <w:szCs w:val="22"/>
              </w:rPr>
              <w:t>6.</w:t>
            </w:r>
          </w:p>
        </w:tc>
        <w:tc>
          <w:tcPr>
            <w:tcW w:w="2391" w:type="dxa"/>
          </w:tcPr>
          <w:p w14:paraId="120E3AEA" w14:textId="77777777" w:rsidR="00C77E2C" w:rsidRPr="00B00D5D" w:rsidRDefault="00C77E2C" w:rsidP="00AB0579">
            <w:pPr>
              <w:tabs>
                <w:tab w:val="left" w:pos="4020"/>
              </w:tabs>
              <w:rPr>
                <w:sz w:val="22"/>
                <w:szCs w:val="22"/>
              </w:rPr>
            </w:pPr>
            <w:r w:rsidRPr="00B00D5D">
              <w:rPr>
                <w:sz w:val="22"/>
                <w:szCs w:val="22"/>
              </w:rPr>
              <w:t>Коннова Е.А.</w:t>
            </w:r>
          </w:p>
        </w:tc>
        <w:tc>
          <w:tcPr>
            <w:tcW w:w="3493" w:type="dxa"/>
          </w:tcPr>
          <w:p w14:paraId="46F6D1EA" w14:textId="77777777" w:rsidR="00C77E2C" w:rsidRPr="00B00D5D" w:rsidRDefault="00C77E2C" w:rsidP="00AB0579">
            <w:pPr>
              <w:tabs>
                <w:tab w:val="left" w:pos="4020"/>
              </w:tabs>
              <w:jc w:val="center"/>
              <w:rPr>
                <w:sz w:val="22"/>
                <w:szCs w:val="22"/>
              </w:rPr>
            </w:pPr>
            <w:r w:rsidRPr="00B00D5D">
              <w:rPr>
                <w:sz w:val="22"/>
                <w:szCs w:val="22"/>
              </w:rPr>
              <w:t>за</w:t>
            </w:r>
          </w:p>
        </w:tc>
      </w:tr>
      <w:tr w:rsidR="00B00D5D" w:rsidRPr="00B00D5D" w14:paraId="59508461" w14:textId="77777777" w:rsidTr="00AB0579">
        <w:tc>
          <w:tcPr>
            <w:tcW w:w="959" w:type="dxa"/>
          </w:tcPr>
          <w:p w14:paraId="75B944E6" w14:textId="77777777" w:rsidR="00C77E2C" w:rsidRPr="00B00D5D" w:rsidRDefault="00C77E2C" w:rsidP="00AB0579">
            <w:pPr>
              <w:tabs>
                <w:tab w:val="left" w:pos="4020"/>
              </w:tabs>
              <w:jc w:val="center"/>
              <w:rPr>
                <w:sz w:val="22"/>
                <w:szCs w:val="22"/>
              </w:rPr>
            </w:pPr>
            <w:r w:rsidRPr="00B00D5D">
              <w:rPr>
                <w:sz w:val="22"/>
                <w:szCs w:val="22"/>
              </w:rPr>
              <w:t>7.</w:t>
            </w:r>
          </w:p>
        </w:tc>
        <w:tc>
          <w:tcPr>
            <w:tcW w:w="2391" w:type="dxa"/>
          </w:tcPr>
          <w:p w14:paraId="5F952FA7" w14:textId="77777777" w:rsidR="00C77E2C" w:rsidRPr="00B00D5D" w:rsidRDefault="00C77E2C" w:rsidP="00AB0579">
            <w:pPr>
              <w:tabs>
                <w:tab w:val="left" w:pos="4020"/>
              </w:tabs>
              <w:rPr>
                <w:sz w:val="22"/>
                <w:szCs w:val="22"/>
              </w:rPr>
            </w:pPr>
            <w:r w:rsidRPr="00B00D5D">
              <w:rPr>
                <w:sz w:val="22"/>
                <w:szCs w:val="22"/>
              </w:rPr>
              <w:t>Агапова О.П.</w:t>
            </w:r>
          </w:p>
        </w:tc>
        <w:tc>
          <w:tcPr>
            <w:tcW w:w="3493" w:type="dxa"/>
          </w:tcPr>
          <w:p w14:paraId="7951FC7F" w14:textId="77777777" w:rsidR="00C77E2C" w:rsidRPr="00B00D5D" w:rsidRDefault="00C77E2C" w:rsidP="00AB0579">
            <w:pPr>
              <w:tabs>
                <w:tab w:val="left" w:pos="4020"/>
              </w:tabs>
              <w:jc w:val="center"/>
              <w:rPr>
                <w:sz w:val="22"/>
                <w:szCs w:val="22"/>
              </w:rPr>
            </w:pPr>
            <w:r w:rsidRPr="00B00D5D">
              <w:rPr>
                <w:sz w:val="22"/>
                <w:szCs w:val="22"/>
              </w:rPr>
              <w:t>за</w:t>
            </w:r>
          </w:p>
        </w:tc>
      </w:tr>
    </w:tbl>
    <w:p w14:paraId="00F35AD4" w14:textId="77777777" w:rsidR="00C77E2C" w:rsidRPr="00B00D5D" w:rsidRDefault="00C77E2C" w:rsidP="00C77E2C">
      <w:pPr>
        <w:pStyle w:val="24"/>
        <w:widowControl/>
        <w:ind w:left="660" w:firstLine="0"/>
        <w:rPr>
          <w:sz w:val="22"/>
          <w:szCs w:val="22"/>
        </w:rPr>
      </w:pPr>
      <w:r w:rsidRPr="00B00D5D">
        <w:rPr>
          <w:sz w:val="22"/>
          <w:szCs w:val="22"/>
        </w:rPr>
        <w:t>Итого: за – 7, против – 0, воздержался – 0, отсутствуют – 0.</w:t>
      </w:r>
    </w:p>
    <w:p w14:paraId="070E764A" w14:textId="77777777" w:rsidR="00003BB3" w:rsidRPr="00554366" w:rsidRDefault="00003BB3" w:rsidP="00C77E2C">
      <w:pPr>
        <w:pStyle w:val="24"/>
        <w:widowControl/>
        <w:ind w:firstLine="709"/>
        <w:rPr>
          <w:b/>
          <w:color w:val="FF0000"/>
          <w:sz w:val="22"/>
          <w:szCs w:val="22"/>
        </w:rPr>
      </w:pPr>
    </w:p>
    <w:p w14:paraId="65DCD73B" w14:textId="1DFD72DF" w:rsidR="001C4F66" w:rsidRDefault="001C4F66" w:rsidP="003470BA">
      <w:pPr>
        <w:pStyle w:val="24"/>
        <w:widowControl/>
        <w:numPr>
          <w:ilvl w:val="0"/>
          <w:numId w:val="33"/>
        </w:numPr>
        <w:tabs>
          <w:tab w:val="left" w:pos="851"/>
        </w:tabs>
        <w:ind w:left="0" w:firstLine="633"/>
        <w:rPr>
          <w:b/>
          <w:bCs/>
          <w:sz w:val="22"/>
          <w:szCs w:val="22"/>
        </w:rPr>
      </w:pPr>
      <w:r w:rsidRPr="003470BA">
        <w:rPr>
          <w:b/>
          <w:sz w:val="22"/>
          <w:szCs w:val="22"/>
        </w:rPr>
        <w:lastRenderedPageBreak/>
        <w:t>СЛУШАЛИ</w:t>
      </w:r>
      <w:proofErr w:type="gramStart"/>
      <w:r w:rsidRPr="003470BA">
        <w:rPr>
          <w:b/>
          <w:sz w:val="22"/>
          <w:szCs w:val="22"/>
        </w:rPr>
        <w:t>:</w:t>
      </w:r>
      <w:r w:rsidR="003470BA">
        <w:rPr>
          <w:b/>
          <w:bCs/>
          <w:sz w:val="22"/>
          <w:szCs w:val="22"/>
        </w:rPr>
        <w:t xml:space="preserve"> </w:t>
      </w:r>
      <w:r w:rsidR="003470BA" w:rsidRPr="003470BA">
        <w:rPr>
          <w:rStyle w:val="af7"/>
          <w:rFonts w:eastAsia="Calibri"/>
          <w:sz w:val="22"/>
          <w:szCs w:val="22"/>
          <w:bdr w:val="none" w:sz="0" w:space="0" w:color="auto" w:frame="1"/>
        </w:rPr>
        <w:t>О</w:t>
      </w:r>
      <w:proofErr w:type="gramEnd"/>
      <w:r w:rsidR="003470BA" w:rsidRPr="003470BA">
        <w:rPr>
          <w:rStyle w:val="af7"/>
          <w:rFonts w:eastAsia="Calibri"/>
          <w:sz w:val="22"/>
          <w:szCs w:val="22"/>
          <w:bdr w:val="none" w:sz="0" w:space="0" w:color="auto" w:frame="1"/>
        </w:rPr>
        <w:t xml:space="preserve"> корректировке долгосрочных тарифов на тепловую энергию для потребителей ООО «Тепло Людям. Южа» (Южский район) на 2025–2029 годы» </w:t>
      </w:r>
      <w:r w:rsidRPr="003470BA">
        <w:rPr>
          <w:b/>
          <w:bCs/>
          <w:sz w:val="22"/>
          <w:szCs w:val="22"/>
        </w:rPr>
        <w:t>(</w:t>
      </w:r>
      <w:r w:rsidR="00325F43" w:rsidRPr="003470BA">
        <w:rPr>
          <w:b/>
          <w:sz w:val="22"/>
          <w:szCs w:val="22"/>
        </w:rPr>
        <w:t>Зуева</w:t>
      </w:r>
      <w:r w:rsidR="00BB675F" w:rsidRPr="003470BA">
        <w:rPr>
          <w:b/>
          <w:sz w:val="22"/>
          <w:szCs w:val="22"/>
        </w:rPr>
        <w:t xml:space="preserve"> Е.В.</w:t>
      </w:r>
      <w:r w:rsidRPr="003470BA">
        <w:rPr>
          <w:b/>
          <w:sz w:val="22"/>
          <w:szCs w:val="22"/>
        </w:rPr>
        <w:t>)</w:t>
      </w:r>
      <w:r w:rsidRPr="003470BA">
        <w:rPr>
          <w:b/>
          <w:bCs/>
          <w:sz w:val="22"/>
          <w:szCs w:val="22"/>
        </w:rPr>
        <w:t>.</w:t>
      </w:r>
    </w:p>
    <w:p w14:paraId="30A33237" w14:textId="77777777" w:rsidR="003470BA" w:rsidRPr="003470BA" w:rsidRDefault="003470BA" w:rsidP="003470BA">
      <w:pPr>
        <w:pStyle w:val="24"/>
        <w:widowControl/>
        <w:ind w:left="1020" w:firstLine="0"/>
        <w:rPr>
          <w:b/>
          <w:sz w:val="22"/>
          <w:szCs w:val="22"/>
        </w:rPr>
      </w:pPr>
    </w:p>
    <w:p w14:paraId="50AB116B" w14:textId="4B88D676" w:rsidR="007470B6" w:rsidRPr="0070719E" w:rsidRDefault="00324BB0" w:rsidP="005F51C4">
      <w:pPr>
        <w:pStyle w:val="24"/>
        <w:widowControl/>
        <w:ind w:firstLine="709"/>
        <w:rPr>
          <w:sz w:val="22"/>
          <w:szCs w:val="22"/>
        </w:rPr>
      </w:pPr>
      <w:r w:rsidRPr="0070719E">
        <w:rPr>
          <w:sz w:val="22"/>
          <w:szCs w:val="22"/>
        </w:rPr>
        <w:t>В связи с обращени</w:t>
      </w:r>
      <w:r w:rsidR="008E79AB" w:rsidRPr="0070719E">
        <w:rPr>
          <w:sz w:val="22"/>
          <w:szCs w:val="22"/>
        </w:rPr>
        <w:t>ем</w:t>
      </w:r>
      <w:r w:rsidRPr="0070719E">
        <w:rPr>
          <w:sz w:val="22"/>
          <w:szCs w:val="22"/>
        </w:rPr>
        <w:t xml:space="preserve"> </w:t>
      </w:r>
      <w:r w:rsidR="008E79AB" w:rsidRPr="0070719E">
        <w:rPr>
          <w:rStyle w:val="af7"/>
          <w:rFonts w:eastAsia="Calibri"/>
          <w:b w:val="0"/>
          <w:bCs w:val="0"/>
          <w:sz w:val="22"/>
          <w:szCs w:val="22"/>
          <w:bdr w:val="none" w:sz="0" w:space="0" w:color="auto" w:frame="1"/>
        </w:rPr>
        <w:t>ООО «Тепло Людям. Южа» (Южский район)</w:t>
      </w:r>
      <w:r w:rsidR="008E79AB" w:rsidRPr="0070719E">
        <w:rPr>
          <w:rStyle w:val="af7"/>
          <w:rFonts w:eastAsia="Calibri"/>
          <w:sz w:val="22"/>
          <w:szCs w:val="22"/>
          <w:bdr w:val="none" w:sz="0" w:space="0" w:color="auto" w:frame="1"/>
        </w:rPr>
        <w:t xml:space="preserve"> </w:t>
      </w:r>
      <w:r w:rsidRPr="0070719E">
        <w:rPr>
          <w:sz w:val="22"/>
          <w:szCs w:val="22"/>
        </w:rPr>
        <w:t xml:space="preserve">приказом Департамента энергетики и тарифов Ивановской области </w:t>
      </w:r>
      <w:r w:rsidR="008E79AB" w:rsidRPr="0070719E">
        <w:rPr>
          <w:sz w:val="22"/>
          <w:szCs w:val="22"/>
        </w:rPr>
        <w:t>от 26.06.2024 № 39-у</w:t>
      </w:r>
      <w:r w:rsidRPr="0070719E">
        <w:rPr>
          <w:sz w:val="22"/>
          <w:szCs w:val="22"/>
        </w:rPr>
        <w:t xml:space="preserve"> открыт</w:t>
      </w:r>
      <w:r w:rsidR="005F51C4" w:rsidRPr="0070719E">
        <w:rPr>
          <w:sz w:val="22"/>
          <w:szCs w:val="22"/>
        </w:rPr>
        <w:t>о</w:t>
      </w:r>
      <w:r w:rsidRPr="0070719E">
        <w:rPr>
          <w:sz w:val="22"/>
          <w:szCs w:val="22"/>
        </w:rPr>
        <w:t xml:space="preserve"> дело</w:t>
      </w:r>
      <w:r w:rsidR="007470B6" w:rsidRPr="0070719E">
        <w:rPr>
          <w:sz w:val="22"/>
          <w:szCs w:val="22"/>
        </w:rPr>
        <w:t xml:space="preserve"> </w:t>
      </w:r>
      <w:r w:rsidR="0070719E" w:rsidRPr="0070719E">
        <w:rPr>
          <w:sz w:val="22"/>
          <w:szCs w:val="22"/>
        </w:rPr>
        <w:t xml:space="preserve">о корректировке долгосрочных тарифов на тепловую энергию </w:t>
      </w:r>
      <w:r w:rsidR="005F51C4" w:rsidRPr="0070719E">
        <w:rPr>
          <w:sz w:val="22"/>
          <w:szCs w:val="22"/>
        </w:rPr>
        <w:t xml:space="preserve">для потребителей </w:t>
      </w:r>
      <w:r w:rsidR="0070719E" w:rsidRPr="0070719E">
        <w:rPr>
          <w:sz w:val="22"/>
          <w:szCs w:val="22"/>
        </w:rPr>
        <w:t>ООО «Тепло Людям. Южа» (Южский район)</w:t>
      </w:r>
      <w:r w:rsidR="005F51C4" w:rsidRPr="0070719E">
        <w:rPr>
          <w:sz w:val="22"/>
          <w:szCs w:val="22"/>
        </w:rPr>
        <w:t xml:space="preserve"> на </w:t>
      </w:r>
      <w:r w:rsidR="007470B6" w:rsidRPr="0070719E">
        <w:rPr>
          <w:sz w:val="22"/>
          <w:szCs w:val="22"/>
        </w:rPr>
        <w:t>2025–202</w:t>
      </w:r>
      <w:r w:rsidR="0070719E" w:rsidRPr="0070719E">
        <w:rPr>
          <w:sz w:val="22"/>
          <w:szCs w:val="22"/>
        </w:rPr>
        <w:t>8</w:t>
      </w:r>
      <w:r w:rsidR="005F51C4" w:rsidRPr="0070719E">
        <w:rPr>
          <w:sz w:val="22"/>
          <w:szCs w:val="22"/>
        </w:rPr>
        <w:t xml:space="preserve"> годы. </w:t>
      </w:r>
    </w:p>
    <w:p w14:paraId="58218429" w14:textId="18D7F549" w:rsidR="0070719E" w:rsidRPr="00F322E3" w:rsidRDefault="0070719E" w:rsidP="00324BB0">
      <w:pPr>
        <w:pStyle w:val="24"/>
        <w:widowControl/>
        <w:ind w:firstLine="709"/>
        <w:rPr>
          <w:sz w:val="22"/>
          <w:szCs w:val="22"/>
        </w:rPr>
      </w:pPr>
      <w:r w:rsidRPr="0070719E">
        <w:rPr>
          <w:sz w:val="22"/>
          <w:szCs w:val="22"/>
        </w:rPr>
        <w:t xml:space="preserve">Метод регулирования тарифов на тепловую энергию – метод индексации установленных тарифов определен в первый год долгосрочного периода на 2024-2028 годы приказом Департамента от 05.05.2023 № </w:t>
      </w:r>
      <w:r w:rsidRPr="00F322E3">
        <w:rPr>
          <w:sz w:val="22"/>
          <w:szCs w:val="22"/>
        </w:rPr>
        <w:t xml:space="preserve">25-у. </w:t>
      </w:r>
    </w:p>
    <w:p w14:paraId="3EA98069" w14:textId="60381901" w:rsidR="00324BB0" w:rsidRPr="00F322E3" w:rsidRDefault="0070719E" w:rsidP="00324BB0">
      <w:pPr>
        <w:pStyle w:val="24"/>
        <w:widowControl/>
        <w:ind w:firstLine="709"/>
        <w:rPr>
          <w:sz w:val="22"/>
          <w:szCs w:val="22"/>
        </w:rPr>
      </w:pPr>
      <w:r w:rsidRPr="00F322E3">
        <w:rPr>
          <w:sz w:val="22"/>
          <w:szCs w:val="22"/>
        </w:rPr>
        <w:t xml:space="preserve">ООО «Тепло Людям. Южа» (Южский район) </w:t>
      </w:r>
      <w:r w:rsidR="00324BB0" w:rsidRPr="00F322E3">
        <w:rPr>
          <w:sz w:val="22"/>
          <w:szCs w:val="22"/>
        </w:rPr>
        <w:t xml:space="preserve">осуществляет регулируемые виды деятельности </w:t>
      </w:r>
      <w:r w:rsidR="005F51C4" w:rsidRPr="00F322E3">
        <w:rPr>
          <w:sz w:val="22"/>
          <w:szCs w:val="22"/>
        </w:rPr>
        <w:t>по производству</w:t>
      </w:r>
      <w:r w:rsidRPr="00F322E3">
        <w:rPr>
          <w:sz w:val="22"/>
          <w:szCs w:val="22"/>
        </w:rPr>
        <w:t>, передаче и сбыту</w:t>
      </w:r>
      <w:r w:rsidR="005F51C4" w:rsidRPr="00F322E3">
        <w:rPr>
          <w:sz w:val="22"/>
          <w:szCs w:val="22"/>
        </w:rPr>
        <w:t xml:space="preserve"> тепловой энергии, теплоносителя в виде теплоносителя «вода» </w:t>
      </w:r>
      <w:r w:rsidR="00324BB0" w:rsidRPr="00F322E3">
        <w:rPr>
          <w:sz w:val="22"/>
          <w:szCs w:val="22"/>
        </w:rPr>
        <w:t xml:space="preserve">в </w:t>
      </w:r>
      <w:r w:rsidR="005F51C4" w:rsidRPr="00F322E3">
        <w:rPr>
          <w:sz w:val="22"/>
          <w:szCs w:val="22"/>
        </w:rPr>
        <w:t xml:space="preserve">г. </w:t>
      </w:r>
      <w:r w:rsidRPr="00F322E3">
        <w:rPr>
          <w:sz w:val="22"/>
          <w:szCs w:val="22"/>
        </w:rPr>
        <w:t>Южа</w:t>
      </w:r>
      <w:r w:rsidR="00324BB0" w:rsidRPr="00F322E3">
        <w:rPr>
          <w:sz w:val="22"/>
          <w:szCs w:val="22"/>
        </w:rPr>
        <w:t xml:space="preserve"> с использованием имущества, которым владеет на </w:t>
      </w:r>
      <w:r w:rsidRPr="00F322E3">
        <w:rPr>
          <w:sz w:val="22"/>
          <w:szCs w:val="22"/>
        </w:rPr>
        <w:t>праве концессионного соглашения, аренды и безвозмездного пользования</w:t>
      </w:r>
      <w:r w:rsidR="00324BB0" w:rsidRPr="00F322E3">
        <w:rPr>
          <w:sz w:val="22"/>
          <w:szCs w:val="22"/>
        </w:rPr>
        <w:t>.</w:t>
      </w:r>
    </w:p>
    <w:p w14:paraId="07B0238D" w14:textId="77777777" w:rsidR="00324BB0" w:rsidRPr="00F322E3" w:rsidRDefault="00324BB0" w:rsidP="00324BB0">
      <w:pPr>
        <w:pStyle w:val="24"/>
        <w:widowControl/>
        <w:ind w:firstLine="709"/>
        <w:rPr>
          <w:sz w:val="22"/>
          <w:szCs w:val="22"/>
        </w:rPr>
      </w:pPr>
      <w:r w:rsidRPr="00F322E3">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5BBAF89C" w14:textId="77777777" w:rsidR="00F322E3" w:rsidRPr="00F322E3" w:rsidRDefault="00F322E3" w:rsidP="00F322E3">
      <w:pPr>
        <w:pStyle w:val="24"/>
        <w:widowControl/>
        <w:ind w:firstLine="709"/>
        <w:rPr>
          <w:sz w:val="22"/>
          <w:szCs w:val="22"/>
        </w:rPr>
      </w:pPr>
      <w:r w:rsidRPr="00F322E3">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2EE0664B" w14:textId="77777777" w:rsidR="00F322E3" w:rsidRPr="00F322E3" w:rsidRDefault="00F322E3" w:rsidP="00F322E3">
      <w:pPr>
        <w:pStyle w:val="24"/>
        <w:widowControl/>
        <w:ind w:firstLine="709"/>
        <w:rPr>
          <w:sz w:val="22"/>
          <w:szCs w:val="22"/>
        </w:rPr>
      </w:pPr>
      <w:r w:rsidRPr="00F322E3">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71C11B1E" w14:textId="77777777" w:rsidR="00F322E3" w:rsidRPr="00F322E3" w:rsidRDefault="00F322E3" w:rsidP="00F322E3">
      <w:pPr>
        <w:pStyle w:val="24"/>
        <w:widowControl/>
        <w:ind w:firstLine="709"/>
        <w:rPr>
          <w:sz w:val="22"/>
          <w:szCs w:val="22"/>
        </w:rPr>
      </w:pPr>
      <w:r w:rsidRPr="00F322E3">
        <w:rPr>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183A3FDE" w14:textId="77777777" w:rsidR="00F322E3" w:rsidRPr="00F322E3" w:rsidRDefault="00F322E3" w:rsidP="00F322E3">
      <w:pPr>
        <w:pStyle w:val="24"/>
        <w:widowControl/>
        <w:ind w:firstLine="709"/>
        <w:rPr>
          <w:sz w:val="22"/>
          <w:szCs w:val="22"/>
        </w:rPr>
      </w:pPr>
      <w:r w:rsidRPr="00F322E3">
        <w:rPr>
          <w:sz w:val="22"/>
          <w:szCs w:val="22"/>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0DB0E5C4" w14:textId="77777777" w:rsidR="00F322E3" w:rsidRPr="00F322E3" w:rsidRDefault="00F322E3" w:rsidP="00F322E3">
      <w:pPr>
        <w:pStyle w:val="24"/>
        <w:widowControl/>
        <w:ind w:firstLine="709"/>
        <w:rPr>
          <w:sz w:val="22"/>
          <w:szCs w:val="22"/>
        </w:rPr>
      </w:pPr>
      <w:r w:rsidRPr="00F322E3">
        <w:rPr>
          <w:sz w:val="22"/>
          <w:szCs w:val="22"/>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566B59EE" w14:textId="77777777" w:rsidR="00F322E3" w:rsidRPr="00F322E3" w:rsidRDefault="00F322E3" w:rsidP="00F322E3">
      <w:pPr>
        <w:pStyle w:val="24"/>
        <w:widowControl/>
        <w:ind w:firstLine="709"/>
        <w:rPr>
          <w:sz w:val="22"/>
          <w:szCs w:val="22"/>
        </w:rPr>
      </w:pPr>
      <w:r w:rsidRPr="00F322E3">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F65F578" w14:textId="665B9284" w:rsidR="00F322E3" w:rsidRPr="00F322E3" w:rsidRDefault="00F322E3" w:rsidP="00F322E3">
      <w:pPr>
        <w:pStyle w:val="24"/>
        <w:widowControl/>
        <w:ind w:firstLine="709"/>
        <w:rPr>
          <w:sz w:val="22"/>
          <w:szCs w:val="22"/>
        </w:rPr>
      </w:pPr>
      <w:r w:rsidRPr="00F322E3">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2/1.</w:t>
      </w:r>
    </w:p>
    <w:p w14:paraId="35870005" w14:textId="77777777" w:rsidR="00F322E3" w:rsidRPr="00F322E3" w:rsidRDefault="00F322E3" w:rsidP="00F322E3">
      <w:pPr>
        <w:pStyle w:val="24"/>
        <w:widowControl/>
        <w:ind w:firstLine="709"/>
        <w:rPr>
          <w:sz w:val="22"/>
          <w:szCs w:val="22"/>
        </w:rPr>
      </w:pPr>
      <w:r w:rsidRPr="00F322E3">
        <w:rPr>
          <w:sz w:val="22"/>
          <w:szCs w:val="22"/>
        </w:rPr>
        <w:t>По результатам рассмотрения подготовлено экспертное заключение.</w:t>
      </w:r>
    </w:p>
    <w:p w14:paraId="314AABFE" w14:textId="64E9A5D5" w:rsidR="001C1843" w:rsidRPr="006E1FC9" w:rsidRDefault="00F322E3" w:rsidP="001C1843">
      <w:pPr>
        <w:pStyle w:val="24"/>
        <w:widowControl/>
        <w:ind w:firstLine="709"/>
        <w:rPr>
          <w:strike/>
          <w:color w:val="FF0000"/>
          <w:sz w:val="22"/>
          <w:szCs w:val="22"/>
        </w:rPr>
      </w:pPr>
      <w:r w:rsidRPr="006E1FC9">
        <w:rPr>
          <w:sz w:val="22"/>
          <w:szCs w:val="22"/>
        </w:rPr>
        <w:t>Письмом от 20.11.2024 №20/11-ТЛЮ24 теплоснабжающая организация направила письменное ходатайство о переносе заседания Правления в связи рассмотрением Советом народных Депутатов Южского муниципального района вопроса о подписании нового договора аренды с ООО «Тепло Людям. Южа» (Южский район) в отношении муниципальных тепловых сетей, а также принятия понижающих коэффициентов для установления арендной платы в составе нового договора аренд</w:t>
      </w:r>
      <w:bookmarkStart w:id="0" w:name="_Hlk183674435"/>
      <w:r w:rsidR="00C674BA">
        <w:rPr>
          <w:sz w:val="22"/>
          <w:szCs w:val="22"/>
        </w:rPr>
        <w:t>ы.</w:t>
      </w:r>
    </w:p>
    <w:bookmarkEnd w:id="0"/>
    <w:p w14:paraId="2E009C2B" w14:textId="7AFA804E" w:rsidR="001C1843" w:rsidRDefault="001C1843" w:rsidP="00F322E3">
      <w:pPr>
        <w:pStyle w:val="24"/>
        <w:widowControl/>
        <w:ind w:firstLine="709"/>
        <w:rPr>
          <w:sz w:val="22"/>
          <w:szCs w:val="22"/>
        </w:rPr>
      </w:pPr>
      <w:r>
        <w:rPr>
          <w:sz w:val="22"/>
          <w:szCs w:val="22"/>
        </w:rPr>
        <w:t xml:space="preserve">В соответствии с п. 18 Правил регулирования в сфере теплоснабжения, утвержденными  </w:t>
      </w:r>
      <w:r w:rsidRPr="001C1843">
        <w:rPr>
          <w:sz w:val="22"/>
          <w:szCs w:val="22"/>
        </w:rPr>
        <w:t>Постановление</w:t>
      </w:r>
      <w:r>
        <w:rPr>
          <w:sz w:val="22"/>
          <w:szCs w:val="22"/>
        </w:rPr>
        <w:t>м</w:t>
      </w:r>
      <w:r w:rsidRPr="001C1843">
        <w:rPr>
          <w:sz w:val="22"/>
          <w:szCs w:val="22"/>
        </w:rPr>
        <w:t xml:space="preserve"> Правительства РФ от 22.10.2012 </w:t>
      </w:r>
      <w:r>
        <w:rPr>
          <w:sz w:val="22"/>
          <w:szCs w:val="22"/>
        </w:rPr>
        <w:t>№</w:t>
      </w:r>
      <w:r w:rsidRPr="001C1843">
        <w:rPr>
          <w:sz w:val="22"/>
          <w:szCs w:val="22"/>
        </w:rPr>
        <w:t xml:space="preserve"> 1075</w:t>
      </w:r>
      <w:r>
        <w:rPr>
          <w:sz w:val="22"/>
          <w:szCs w:val="22"/>
        </w:rPr>
        <w:t>, р</w:t>
      </w:r>
      <w:r w:rsidRPr="001C1843">
        <w:rPr>
          <w:sz w:val="22"/>
          <w:szCs w:val="22"/>
        </w:rPr>
        <w:t>егулируемая организация вправе представить по своей инициативе в орган регулирования дополнительные документы и материалы к предложению об установлении цен (тарифов) до 1 декабря текущего года, но не позднее чем за 7 календарных дней до дня заседания правления (коллегии) органа регулирования, по итогам которого принимается решение об установлении цен (тарифов)</w:t>
      </w:r>
      <w:r>
        <w:rPr>
          <w:sz w:val="22"/>
          <w:szCs w:val="22"/>
        </w:rPr>
        <w:t>.</w:t>
      </w:r>
    </w:p>
    <w:p w14:paraId="1C1493B5" w14:textId="396F36AC" w:rsidR="001C1843" w:rsidRPr="00F322E3" w:rsidRDefault="001C1843" w:rsidP="00F322E3">
      <w:pPr>
        <w:pStyle w:val="24"/>
        <w:widowControl/>
        <w:ind w:firstLine="709"/>
        <w:rPr>
          <w:sz w:val="22"/>
          <w:szCs w:val="22"/>
        </w:rPr>
      </w:pPr>
      <w:r>
        <w:rPr>
          <w:sz w:val="22"/>
          <w:szCs w:val="22"/>
        </w:rPr>
        <w:t xml:space="preserve">На заседании Правления принято решение об отказе в переносе вопроса по </w:t>
      </w:r>
      <w:r w:rsidRPr="001C1843">
        <w:rPr>
          <w:sz w:val="22"/>
          <w:szCs w:val="22"/>
        </w:rPr>
        <w:t>корректировке долгосрочных тарифов на тепловую энергию для потребителей ООО «Тепло Людям. Южа» (Южский район) на 2025–2029 годы»</w:t>
      </w:r>
    </w:p>
    <w:p w14:paraId="19525539" w14:textId="77777777" w:rsidR="006E1FC9" w:rsidRPr="00C674BA" w:rsidRDefault="006E1FC9" w:rsidP="006E1FC9">
      <w:pPr>
        <w:pStyle w:val="24"/>
        <w:widowControl/>
        <w:ind w:firstLine="709"/>
        <w:rPr>
          <w:sz w:val="22"/>
          <w:szCs w:val="22"/>
        </w:rPr>
      </w:pPr>
      <w:r w:rsidRPr="00C674BA">
        <w:rPr>
          <w:sz w:val="22"/>
          <w:szCs w:val="22"/>
        </w:rPr>
        <w:lastRenderedPageBreak/>
        <w:t>На заседании Правления Департамента представители теплоснабжающей организации, уведомленных должным образом, не присутствовали.</w:t>
      </w:r>
    </w:p>
    <w:p w14:paraId="7BCD6D9E" w14:textId="77777777" w:rsidR="002B4A79" w:rsidRPr="00554366" w:rsidRDefault="002B4A79" w:rsidP="00DA2CD9">
      <w:pPr>
        <w:pStyle w:val="24"/>
        <w:widowControl/>
        <w:ind w:firstLine="709"/>
        <w:rPr>
          <w:color w:val="FF0000"/>
          <w:sz w:val="22"/>
          <w:szCs w:val="22"/>
        </w:rPr>
      </w:pPr>
    </w:p>
    <w:p w14:paraId="2FA6A870" w14:textId="77777777" w:rsidR="007470B6" w:rsidRPr="001C1843" w:rsidRDefault="00BB675F" w:rsidP="00DA2CD9">
      <w:pPr>
        <w:widowControl/>
        <w:autoSpaceDE w:val="0"/>
        <w:autoSpaceDN w:val="0"/>
        <w:adjustRightInd w:val="0"/>
        <w:ind w:firstLine="567"/>
        <w:jc w:val="both"/>
        <w:rPr>
          <w:b/>
          <w:sz w:val="22"/>
          <w:szCs w:val="22"/>
        </w:rPr>
      </w:pPr>
      <w:r w:rsidRPr="001C1843">
        <w:rPr>
          <w:b/>
          <w:sz w:val="22"/>
          <w:szCs w:val="22"/>
        </w:rPr>
        <w:t xml:space="preserve">РЕШИЛИ: </w:t>
      </w:r>
    </w:p>
    <w:p w14:paraId="05A61B2D" w14:textId="11BA3597" w:rsidR="00BB675F" w:rsidRDefault="000628B2" w:rsidP="00DA2CD9">
      <w:pPr>
        <w:widowControl/>
        <w:autoSpaceDE w:val="0"/>
        <w:autoSpaceDN w:val="0"/>
        <w:adjustRightInd w:val="0"/>
        <w:ind w:firstLine="567"/>
        <w:jc w:val="both"/>
        <w:rPr>
          <w:kern w:val="16"/>
          <w:sz w:val="22"/>
          <w:szCs w:val="22"/>
        </w:rPr>
      </w:pPr>
      <w:r w:rsidRPr="001C1843">
        <w:rPr>
          <w:kern w:val="16"/>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39631A53" w14:textId="47456EBF" w:rsidR="006D73C0" w:rsidRPr="006D73C0" w:rsidRDefault="006D73C0" w:rsidP="006D73C0">
      <w:pPr>
        <w:pStyle w:val="a4"/>
        <w:widowControl/>
        <w:numPr>
          <w:ilvl w:val="0"/>
          <w:numId w:val="42"/>
        </w:numPr>
        <w:tabs>
          <w:tab w:val="left" w:pos="851"/>
        </w:tabs>
        <w:autoSpaceDE w:val="0"/>
        <w:autoSpaceDN w:val="0"/>
        <w:adjustRightInd w:val="0"/>
        <w:ind w:left="0" w:firstLine="567"/>
        <w:jc w:val="both"/>
        <w:rPr>
          <w:kern w:val="16"/>
          <w:sz w:val="22"/>
          <w:szCs w:val="22"/>
        </w:rPr>
      </w:pPr>
      <w:r w:rsidRPr="006D73C0">
        <w:rPr>
          <w:kern w:val="16"/>
          <w:sz w:val="22"/>
          <w:szCs w:val="22"/>
        </w:rPr>
        <w:t>С 01.01.2025 произвести корректировку установленных долгосрочных тарифов на тепловую энергию для потребителей ООО «Тепло Людям. Южа» (от котельных в г. Южа) на 2025-2028 годы, изложив приложение 1 к постановлению Департамента энергетики и тарифов Ивановской области от 24.11.2023 № 46-т/3 в новой редакции:</w:t>
      </w:r>
    </w:p>
    <w:p w14:paraId="74F3C7D0" w14:textId="77777777" w:rsidR="006D73C0" w:rsidRDefault="006D73C0" w:rsidP="006D73C0">
      <w:pPr>
        <w:widowControl/>
        <w:tabs>
          <w:tab w:val="left" w:pos="851"/>
        </w:tabs>
        <w:autoSpaceDE w:val="0"/>
        <w:autoSpaceDN w:val="0"/>
        <w:adjustRightInd w:val="0"/>
        <w:jc w:val="both"/>
        <w:rPr>
          <w:kern w:val="16"/>
          <w:sz w:val="22"/>
          <w:szCs w:val="22"/>
        </w:rPr>
      </w:pPr>
    </w:p>
    <w:p w14:paraId="785899CA" w14:textId="77777777" w:rsidR="00E97F0A" w:rsidRPr="00F13D05" w:rsidRDefault="00E97F0A" w:rsidP="00E97F0A">
      <w:pPr>
        <w:ind w:right="-283"/>
        <w:jc w:val="right"/>
        <w:rPr>
          <w:sz w:val="22"/>
          <w:szCs w:val="22"/>
        </w:rPr>
      </w:pPr>
      <w:r w:rsidRPr="00F13D05">
        <w:rPr>
          <w:sz w:val="22"/>
          <w:szCs w:val="22"/>
        </w:rPr>
        <w:t>Приложение 1 к постановлению Департамента энергетики и тарифов</w:t>
      </w:r>
    </w:p>
    <w:p w14:paraId="7A10C72D" w14:textId="77777777" w:rsidR="00E97F0A" w:rsidRPr="002944CA" w:rsidRDefault="00E97F0A" w:rsidP="00E97F0A">
      <w:pPr>
        <w:widowControl/>
        <w:autoSpaceDE w:val="0"/>
        <w:autoSpaceDN w:val="0"/>
        <w:adjustRightInd w:val="0"/>
        <w:ind w:left="708" w:right="-283" w:firstLine="708"/>
        <w:jc w:val="right"/>
        <w:rPr>
          <w:sz w:val="22"/>
          <w:szCs w:val="22"/>
        </w:rPr>
      </w:pPr>
      <w:r w:rsidRPr="00F13D05">
        <w:rPr>
          <w:sz w:val="22"/>
          <w:szCs w:val="22"/>
        </w:rPr>
        <w:t xml:space="preserve"> Ивановской </w:t>
      </w:r>
      <w:r w:rsidRPr="002944CA">
        <w:rPr>
          <w:sz w:val="22"/>
          <w:szCs w:val="22"/>
        </w:rPr>
        <w:t>области от 24.11.2023 № 46-т/3</w:t>
      </w:r>
    </w:p>
    <w:p w14:paraId="70B5FFA8" w14:textId="77777777" w:rsidR="00E97F0A" w:rsidRPr="002944CA" w:rsidRDefault="00E97F0A" w:rsidP="00E97F0A">
      <w:pPr>
        <w:widowControl/>
        <w:autoSpaceDE w:val="0"/>
        <w:autoSpaceDN w:val="0"/>
        <w:adjustRightInd w:val="0"/>
        <w:jc w:val="center"/>
        <w:rPr>
          <w:sz w:val="22"/>
          <w:szCs w:val="22"/>
        </w:rPr>
      </w:pPr>
    </w:p>
    <w:p w14:paraId="111DC90B" w14:textId="77777777" w:rsidR="00E97F0A" w:rsidRPr="002944CA" w:rsidRDefault="00E97F0A" w:rsidP="00E97F0A">
      <w:pPr>
        <w:widowControl/>
        <w:autoSpaceDE w:val="0"/>
        <w:autoSpaceDN w:val="0"/>
        <w:adjustRightInd w:val="0"/>
        <w:jc w:val="center"/>
        <w:rPr>
          <w:b/>
          <w:bCs/>
          <w:sz w:val="22"/>
          <w:szCs w:val="22"/>
        </w:rPr>
      </w:pPr>
      <w:bookmarkStart w:id="1" w:name="_Hlk83393632"/>
      <w:r w:rsidRPr="002944CA">
        <w:rPr>
          <w:b/>
          <w:bCs/>
          <w:sz w:val="22"/>
          <w:szCs w:val="22"/>
        </w:rPr>
        <w:t>Тарифы на тепловую энергию (мощность), поставляемую потребителям</w:t>
      </w:r>
    </w:p>
    <w:p w14:paraId="3EB66BF6" w14:textId="77777777" w:rsidR="00E97F0A" w:rsidRPr="002944CA" w:rsidRDefault="00E97F0A" w:rsidP="00E97F0A">
      <w:pPr>
        <w:widowControl/>
        <w:autoSpaceDE w:val="0"/>
        <w:autoSpaceDN w:val="0"/>
        <w:adjustRightInd w:val="0"/>
        <w:jc w:val="center"/>
        <w:rPr>
          <w:b/>
          <w:bCs/>
          <w:sz w:val="22"/>
          <w:szCs w:val="22"/>
        </w:rPr>
      </w:pPr>
    </w:p>
    <w:tbl>
      <w:tblPr>
        <w:tblW w:w="106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1637"/>
        <w:gridCol w:w="1701"/>
        <w:gridCol w:w="715"/>
        <w:gridCol w:w="1270"/>
        <w:gridCol w:w="1417"/>
        <w:gridCol w:w="745"/>
        <w:gridCol w:w="745"/>
        <w:gridCol w:w="745"/>
        <w:gridCol w:w="559"/>
        <w:gridCol w:w="662"/>
      </w:tblGrid>
      <w:tr w:rsidR="00E97F0A" w:rsidRPr="002944CA" w14:paraId="273B1D0A" w14:textId="77777777" w:rsidTr="000D779C">
        <w:trPr>
          <w:trHeight w:val="98"/>
        </w:trPr>
        <w:tc>
          <w:tcPr>
            <w:tcW w:w="490" w:type="dxa"/>
            <w:vMerge w:val="restart"/>
            <w:shd w:val="clear" w:color="auto" w:fill="auto"/>
            <w:vAlign w:val="center"/>
          </w:tcPr>
          <w:p w14:paraId="77588259" w14:textId="77777777" w:rsidR="00E97F0A" w:rsidRPr="002944CA" w:rsidRDefault="00E97F0A" w:rsidP="000D779C">
            <w:pPr>
              <w:widowControl/>
              <w:jc w:val="center"/>
              <w:rPr>
                <w:sz w:val="22"/>
                <w:szCs w:val="22"/>
              </w:rPr>
            </w:pPr>
            <w:r w:rsidRPr="002944CA">
              <w:rPr>
                <w:sz w:val="22"/>
                <w:szCs w:val="22"/>
              </w:rPr>
              <w:t>№ п/п</w:t>
            </w:r>
          </w:p>
        </w:tc>
        <w:tc>
          <w:tcPr>
            <w:tcW w:w="1637" w:type="dxa"/>
            <w:vMerge w:val="restart"/>
            <w:shd w:val="clear" w:color="auto" w:fill="auto"/>
            <w:vAlign w:val="center"/>
          </w:tcPr>
          <w:p w14:paraId="198D8333" w14:textId="77777777" w:rsidR="00E97F0A" w:rsidRPr="002944CA" w:rsidRDefault="00E97F0A" w:rsidP="000D779C">
            <w:pPr>
              <w:widowControl/>
              <w:jc w:val="center"/>
              <w:rPr>
                <w:sz w:val="22"/>
                <w:szCs w:val="22"/>
              </w:rPr>
            </w:pPr>
            <w:r w:rsidRPr="002944CA">
              <w:rPr>
                <w:sz w:val="22"/>
                <w:szCs w:val="22"/>
              </w:rPr>
              <w:t>Наименование регулируемой организации</w:t>
            </w:r>
          </w:p>
        </w:tc>
        <w:tc>
          <w:tcPr>
            <w:tcW w:w="1701" w:type="dxa"/>
            <w:vMerge w:val="restart"/>
            <w:shd w:val="clear" w:color="auto" w:fill="auto"/>
            <w:noWrap/>
            <w:vAlign w:val="center"/>
          </w:tcPr>
          <w:p w14:paraId="64EF0089" w14:textId="77777777" w:rsidR="00E97F0A" w:rsidRPr="002944CA" w:rsidRDefault="00E97F0A" w:rsidP="000D779C">
            <w:pPr>
              <w:widowControl/>
              <w:jc w:val="center"/>
              <w:rPr>
                <w:sz w:val="22"/>
                <w:szCs w:val="22"/>
              </w:rPr>
            </w:pPr>
            <w:r w:rsidRPr="002944CA">
              <w:rPr>
                <w:sz w:val="22"/>
                <w:szCs w:val="22"/>
              </w:rPr>
              <w:t>Вид тарифа</w:t>
            </w:r>
          </w:p>
        </w:tc>
        <w:tc>
          <w:tcPr>
            <w:tcW w:w="715" w:type="dxa"/>
            <w:vMerge w:val="restart"/>
            <w:shd w:val="clear" w:color="auto" w:fill="auto"/>
            <w:noWrap/>
            <w:vAlign w:val="center"/>
          </w:tcPr>
          <w:p w14:paraId="3FF46CC6" w14:textId="77777777" w:rsidR="00E97F0A" w:rsidRPr="002944CA" w:rsidRDefault="00E97F0A" w:rsidP="000D779C">
            <w:pPr>
              <w:widowControl/>
              <w:jc w:val="center"/>
              <w:rPr>
                <w:sz w:val="22"/>
                <w:szCs w:val="22"/>
              </w:rPr>
            </w:pPr>
            <w:r w:rsidRPr="002944CA">
              <w:rPr>
                <w:sz w:val="22"/>
                <w:szCs w:val="22"/>
              </w:rPr>
              <w:t>Год</w:t>
            </w:r>
          </w:p>
        </w:tc>
        <w:tc>
          <w:tcPr>
            <w:tcW w:w="2687" w:type="dxa"/>
            <w:gridSpan w:val="2"/>
            <w:shd w:val="clear" w:color="auto" w:fill="auto"/>
            <w:noWrap/>
            <w:vAlign w:val="center"/>
          </w:tcPr>
          <w:p w14:paraId="1EFDBC14" w14:textId="77777777" w:rsidR="00E97F0A" w:rsidRPr="002944CA" w:rsidRDefault="00E97F0A" w:rsidP="000D779C">
            <w:pPr>
              <w:widowControl/>
              <w:jc w:val="center"/>
              <w:rPr>
                <w:sz w:val="22"/>
                <w:szCs w:val="22"/>
              </w:rPr>
            </w:pPr>
            <w:r w:rsidRPr="002944CA">
              <w:rPr>
                <w:sz w:val="22"/>
                <w:szCs w:val="22"/>
              </w:rPr>
              <w:t>Вода</w:t>
            </w:r>
          </w:p>
        </w:tc>
        <w:tc>
          <w:tcPr>
            <w:tcW w:w="2794" w:type="dxa"/>
            <w:gridSpan w:val="4"/>
            <w:shd w:val="clear" w:color="auto" w:fill="auto"/>
            <w:noWrap/>
            <w:vAlign w:val="center"/>
          </w:tcPr>
          <w:p w14:paraId="0724FE12" w14:textId="77777777" w:rsidR="00E97F0A" w:rsidRPr="002944CA" w:rsidRDefault="00E97F0A" w:rsidP="000D779C">
            <w:pPr>
              <w:widowControl/>
              <w:jc w:val="center"/>
              <w:rPr>
                <w:sz w:val="22"/>
                <w:szCs w:val="22"/>
              </w:rPr>
            </w:pPr>
            <w:r w:rsidRPr="002944CA">
              <w:rPr>
                <w:sz w:val="22"/>
                <w:szCs w:val="22"/>
              </w:rPr>
              <w:t>Отборный пар давлением</w:t>
            </w:r>
          </w:p>
        </w:tc>
        <w:tc>
          <w:tcPr>
            <w:tcW w:w="662" w:type="dxa"/>
            <w:vMerge w:val="restart"/>
            <w:shd w:val="clear" w:color="auto" w:fill="auto"/>
            <w:vAlign w:val="center"/>
          </w:tcPr>
          <w:p w14:paraId="3133B1DC" w14:textId="77777777" w:rsidR="00E97F0A" w:rsidRPr="002944CA" w:rsidRDefault="00E97F0A" w:rsidP="000D779C">
            <w:pPr>
              <w:widowControl/>
              <w:jc w:val="center"/>
              <w:rPr>
                <w:sz w:val="22"/>
                <w:szCs w:val="22"/>
              </w:rPr>
            </w:pPr>
            <w:r w:rsidRPr="002944CA">
              <w:rPr>
                <w:sz w:val="22"/>
                <w:szCs w:val="22"/>
              </w:rPr>
              <w:t>Острый и редуцированный пар</w:t>
            </w:r>
          </w:p>
        </w:tc>
      </w:tr>
      <w:tr w:rsidR="00E97F0A" w:rsidRPr="002944CA" w14:paraId="125EC695" w14:textId="77777777" w:rsidTr="000D779C">
        <w:trPr>
          <w:trHeight w:val="1285"/>
        </w:trPr>
        <w:tc>
          <w:tcPr>
            <w:tcW w:w="490" w:type="dxa"/>
            <w:vMerge/>
            <w:tcBorders>
              <w:bottom w:val="single" w:sz="4" w:space="0" w:color="auto"/>
            </w:tcBorders>
            <w:shd w:val="clear" w:color="auto" w:fill="auto"/>
            <w:noWrap/>
            <w:vAlign w:val="center"/>
          </w:tcPr>
          <w:p w14:paraId="21D5D37D" w14:textId="77777777" w:rsidR="00E97F0A" w:rsidRPr="002944CA" w:rsidRDefault="00E97F0A" w:rsidP="000D779C">
            <w:pPr>
              <w:widowControl/>
              <w:jc w:val="center"/>
              <w:rPr>
                <w:sz w:val="22"/>
                <w:szCs w:val="22"/>
              </w:rPr>
            </w:pPr>
          </w:p>
        </w:tc>
        <w:tc>
          <w:tcPr>
            <w:tcW w:w="1637" w:type="dxa"/>
            <w:vMerge/>
            <w:tcBorders>
              <w:bottom w:val="single" w:sz="4" w:space="0" w:color="auto"/>
            </w:tcBorders>
            <w:shd w:val="clear" w:color="auto" w:fill="auto"/>
            <w:vAlign w:val="center"/>
          </w:tcPr>
          <w:p w14:paraId="231F277F" w14:textId="77777777" w:rsidR="00E97F0A" w:rsidRPr="002944CA" w:rsidRDefault="00E97F0A" w:rsidP="000D779C">
            <w:pPr>
              <w:widowControl/>
              <w:rPr>
                <w:sz w:val="22"/>
                <w:szCs w:val="22"/>
              </w:rPr>
            </w:pPr>
          </w:p>
        </w:tc>
        <w:tc>
          <w:tcPr>
            <w:tcW w:w="1701" w:type="dxa"/>
            <w:vMerge/>
            <w:tcBorders>
              <w:bottom w:val="single" w:sz="4" w:space="0" w:color="auto"/>
            </w:tcBorders>
            <w:shd w:val="clear" w:color="auto" w:fill="auto"/>
            <w:noWrap/>
            <w:vAlign w:val="center"/>
          </w:tcPr>
          <w:p w14:paraId="7D3AF8BE" w14:textId="77777777" w:rsidR="00E97F0A" w:rsidRPr="002944CA" w:rsidRDefault="00E97F0A" w:rsidP="000D779C">
            <w:pPr>
              <w:widowControl/>
              <w:jc w:val="center"/>
              <w:rPr>
                <w:sz w:val="22"/>
                <w:szCs w:val="22"/>
              </w:rPr>
            </w:pPr>
          </w:p>
        </w:tc>
        <w:tc>
          <w:tcPr>
            <w:tcW w:w="715" w:type="dxa"/>
            <w:vMerge/>
            <w:tcBorders>
              <w:bottom w:val="single" w:sz="4" w:space="0" w:color="auto"/>
            </w:tcBorders>
            <w:shd w:val="clear" w:color="auto" w:fill="auto"/>
            <w:noWrap/>
            <w:vAlign w:val="center"/>
          </w:tcPr>
          <w:p w14:paraId="5A658769" w14:textId="77777777" w:rsidR="00E97F0A" w:rsidRPr="002944CA" w:rsidRDefault="00E97F0A" w:rsidP="000D779C">
            <w:pPr>
              <w:widowControl/>
              <w:jc w:val="center"/>
              <w:rPr>
                <w:sz w:val="22"/>
                <w:szCs w:val="22"/>
              </w:rPr>
            </w:pPr>
          </w:p>
        </w:tc>
        <w:tc>
          <w:tcPr>
            <w:tcW w:w="1270" w:type="dxa"/>
            <w:tcBorders>
              <w:bottom w:val="single" w:sz="4" w:space="0" w:color="auto"/>
            </w:tcBorders>
            <w:shd w:val="clear" w:color="auto" w:fill="auto"/>
            <w:noWrap/>
            <w:vAlign w:val="center"/>
          </w:tcPr>
          <w:p w14:paraId="0408A0B0" w14:textId="77777777" w:rsidR="00E97F0A" w:rsidRPr="002944CA" w:rsidRDefault="00E97F0A" w:rsidP="000D779C">
            <w:pPr>
              <w:widowControl/>
              <w:jc w:val="center"/>
              <w:rPr>
                <w:sz w:val="22"/>
                <w:szCs w:val="22"/>
              </w:rPr>
            </w:pPr>
            <w:r w:rsidRPr="002944CA">
              <w:rPr>
                <w:sz w:val="22"/>
                <w:szCs w:val="22"/>
              </w:rPr>
              <w:t>1 полугодие</w:t>
            </w:r>
          </w:p>
        </w:tc>
        <w:tc>
          <w:tcPr>
            <w:tcW w:w="1417" w:type="dxa"/>
            <w:tcBorders>
              <w:bottom w:val="single" w:sz="4" w:space="0" w:color="auto"/>
            </w:tcBorders>
            <w:shd w:val="clear" w:color="auto" w:fill="auto"/>
            <w:vAlign w:val="center"/>
          </w:tcPr>
          <w:p w14:paraId="5A0935BC" w14:textId="77777777" w:rsidR="00E97F0A" w:rsidRPr="002944CA" w:rsidRDefault="00E97F0A" w:rsidP="000D779C">
            <w:pPr>
              <w:widowControl/>
              <w:jc w:val="center"/>
              <w:rPr>
                <w:sz w:val="22"/>
              </w:rPr>
            </w:pPr>
            <w:r w:rsidRPr="002944CA">
              <w:rPr>
                <w:sz w:val="22"/>
              </w:rPr>
              <w:t xml:space="preserve">2 </w:t>
            </w:r>
          </w:p>
          <w:p w14:paraId="2E5F572C" w14:textId="77777777" w:rsidR="00E97F0A" w:rsidRPr="002944CA" w:rsidRDefault="00E97F0A" w:rsidP="000D779C">
            <w:pPr>
              <w:widowControl/>
              <w:jc w:val="center"/>
              <w:rPr>
                <w:sz w:val="22"/>
                <w:szCs w:val="22"/>
                <w:lang w:val="en-US"/>
              </w:rPr>
            </w:pPr>
            <w:r w:rsidRPr="002944CA">
              <w:rPr>
                <w:sz w:val="22"/>
              </w:rPr>
              <w:t xml:space="preserve">полугодие </w:t>
            </w:r>
          </w:p>
        </w:tc>
        <w:tc>
          <w:tcPr>
            <w:tcW w:w="745" w:type="dxa"/>
            <w:tcBorders>
              <w:bottom w:val="single" w:sz="4" w:space="0" w:color="auto"/>
            </w:tcBorders>
            <w:shd w:val="clear" w:color="auto" w:fill="auto"/>
            <w:vAlign w:val="center"/>
          </w:tcPr>
          <w:p w14:paraId="1A9FFFB7" w14:textId="77777777" w:rsidR="00E97F0A" w:rsidRPr="002944CA" w:rsidRDefault="00E97F0A" w:rsidP="000D779C">
            <w:pPr>
              <w:jc w:val="center"/>
              <w:rPr>
                <w:sz w:val="22"/>
                <w:szCs w:val="22"/>
              </w:rPr>
            </w:pPr>
            <w:r w:rsidRPr="002944CA">
              <w:rPr>
                <w:sz w:val="22"/>
                <w:szCs w:val="22"/>
              </w:rPr>
              <w:t>от 1,2 до 2,5 кг/</w:t>
            </w:r>
          </w:p>
          <w:p w14:paraId="0721C2F6" w14:textId="77777777" w:rsidR="00E97F0A" w:rsidRPr="002944CA" w:rsidRDefault="00E97F0A" w:rsidP="000D779C">
            <w:pPr>
              <w:widowControl/>
              <w:jc w:val="center"/>
              <w:rPr>
                <w:sz w:val="22"/>
                <w:szCs w:val="22"/>
              </w:rPr>
            </w:pPr>
            <w:r w:rsidRPr="002944CA">
              <w:rPr>
                <w:sz w:val="22"/>
                <w:szCs w:val="22"/>
              </w:rPr>
              <w:t>см</w:t>
            </w:r>
            <w:r w:rsidRPr="002944CA">
              <w:rPr>
                <w:sz w:val="22"/>
                <w:szCs w:val="22"/>
                <w:vertAlign w:val="superscript"/>
              </w:rPr>
              <w:t>2</w:t>
            </w:r>
          </w:p>
        </w:tc>
        <w:tc>
          <w:tcPr>
            <w:tcW w:w="745" w:type="dxa"/>
            <w:tcBorders>
              <w:bottom w:val="single" w:sz="4" w:space="0" w:color="auto"/>
            </w:tcBorders>
            <w:vAlign w:val="center"/>
          </w:tcPr>
          <w:p w14:paraId="354102AD" w14:textId="77777777" w:rsidR="00E97F0A" w:rsidRPr="002944CA" w:rsidRDefault="00E97F0A" w:rsidP="000D779C">
            <w:pPr>
              <w:widowControl/>
              <w:jc w:val="center"/>
              <w:rPr>
                <w:sz w:val="22"/>
                <w:szCs w:val="22"/>
              </w:rPr>
            </w:pPr>
            <w:r w:rsidRPr="002944CA">
              <w:rPr>
                <w:sz w:val="22"/>
                <w:szCs w:val="22"/>
              </w:rPr>
              <w:t>от 2,5 до 7,0 кг/см</w:t>
            </w:r>
            <w:r w:rsidRPr="002944CA">
              <w:rPr>
                <w:sz w:val="22"/>
                <w:szCs w:val="22"/>
                <w:vertAlign w:val="superscript"/>
              </w:rPr>
              <w:t>2</w:t>
            </w:r>
          </w:p>
        </w:tc>
        <w:tc>
          <w:tcPr>
            <w:tcW w:w="745" w:type="dxa"/>
            <w:tcBorders>
              <w:bottom w:val="single" w:sz="4" w:space="0" w:color="auto"/>
            </w:tcBorders>
            <w:vAlign w:val="center"/>
          </w:tcPr>
          <w:p w14:paraId="1A10803D" w14:textId="77777777" w:rsidR="00E97F0A" w:rsidRPr="002944CA" w:rsidRDefault="00E97F0A" w:rsidP="000D779C">
            <w:pPr>
              <w:widowControl/>
              <w:jc w:val="center"/>
              <w:rPr>
                <w:sz w:val="22"/>
                <w:szCs w:val="22"/>
              </w:rPr>
            </w:pPr>
            <w:r w:rsidRPr="002944CA">
              <w:rPr>
                <w:sz w:val="22"/>
                <w:szCs w:val="22"/>
              </w:rPr>
              <w:t>от 7,0 до 13,0 кг/</w:t>
            </w:r>
          </w:p>
          <w:p w14:paraId="06147264" w14:textId="77777777" w:rsidR="00E97F0A" w:rsidRPr="002944CA" w:rsidRDefault="00E97F0A" w:rsidP="000D779C">
            <w:pPr>
              <w:widowControl/>
              <w:jc w:val="center"/>
              <w:rPr>
                <w:sz w:val="22"/>
                <w:szCs w:val="22"/>
              </w:rPr>
            </w:pPr>
            <w:r w:rsidRPr="002944CA">
              <w:rPr>
                <w:sz w:val="22"/>
                <w:szCs w:val="22"/>
              </w:rPr>
              <w:t>см</w:t>
            </w:r>
            <w:r w:rsidRPr="002944CA">
              <w:rPr>
                <w:sz w:val="22"/>
                <w:szCs w:val="22"/>
                <w:vertAlign w:val="superscript"/>
              </w:rPr>
              <w:t>2</w:t>
            </w:r>
          </w:p>
        </w:tc>
        <w:tc>
          <w:tcPr>
            <w:tcW w:w="559" w:type="dxa"/>
            <w:tcBorders>
              <w:bottom w:val="single" w:sz="4" w:space="0" w:color="auto"/>
            </w:tcBorders>
            <w:vAlign w:val="center"/>
          </w:tcPr>
          <w:p w14:paraId="59750BB7" w14:textId="77777777" w:rsidR="00E97F0A" w:rsidRPr="002944CA" w:rsidRDefault="00E97F0A" w:rsidP="000D779C">
            <w:pPr>
              <w:widowControl/>
              <w:ind w:right="-108" w:hanging="109"/>
              <w:jc w:val="center"/>
              <w:rPr>
                <w:sz w:val="22"/>
                <w:szCs w:val="22"/>
              </w:rPr>
            </w:pPr>
            <w:r w:rsidRPr="002944CA">
              <w:rPr>
                <w:sz w:val="22"/>
                <w:szCs w:val="22"/>
              </w:rPr>
              <w:t>Свыше 13,0 кг/</w:t>
            </w:r>
          </w:p>
          <w:p w14:paraId="7A4F5DD1" w14:textId="77777777" w:rsidR="00E97F0A" w:rsidRPr="002944CA" w:rsidRDefault="00E97F0A" w:rsidP="000D779C">
            <w:pPr>
              <w:widowControl/>
              <w:jc w:val="center"/>
              <w:rPr>
                <w:sz w:val="22"/>
                <w:szCs w:val="22"/>
              </w:rPr>
            </w:pPr>
            <w:r w:rsidRPr="002944CA">
              <w:rPr>
                <w:sz w:val="22"/>
                <w:szCs w:val="22"/>
              </w:rPr>
              <w:t>см</w:t>
            </w:r>
            <w:r w:rsidRPr="002944CA">
              <w:rPr>
                <w:sz w:val="22"/>
                <w:szCs w:val="22"/>
                <w:vertAlign w:val="superscript"/>
              </w:rPr>
              <w:t>2</w:t>
            </w:r>
          </w:p>
        </w:tc>
        <w:tc>
          <w:tcPr>
            <w:tcW w:w="662" w:type="dxa"/>
            <w:vMerge/>
            <w:tcBorders>
              <w:bottom w:val="single" w:sz="4" w:space="0" w:color="auto"/>
            </w:tcBorders>
            <w:shd w:val="clear" w:color="auto" w:fill="auto"/>
            <w:vAlign w:val="center"/>
          </w:tcPr>
          <w:p w14:paraId="51CF222C" w14:textId="77777777" w:rsidR="00E97F0A" w:rsidRPr="002944CA" w:rsidRDefault="00E97F0A" w:rsidP="000D779C">
            <w:pPr>
              <w:jc w:val="center"/>
              <w:rPr>
                <w:sz w:val="22"/>
                <w:szCs w:val="22"/>
              </w:rPr>
            </w:pPr>
          </w:p>
        </w:tc>
      </w:tr>
      <w:tr w:rsidR="00E97F0A" w:rsidRPr="002944CA" w14:paraId="48E96832" w14:textId="77777777" w:rsidTr="000D779C">
        <w:trPr>
          <w:trHeight w:val="333"/>
        </w:trPr>
        <w:tc>
          <w:tcPr>
            <w:tcW w:w="10686" w:type="dxa"/>
            <w:gridSpan w:val="11"/>
            <w:shd w:val="clear" w:color="auto" w:fill="auto"/>
            <w:noWrap/>
            <w:vAlign w:val="center"/>
          </w:tcPr>
          <w:p w14:paraId="58F4F860" w14:textId="77777777" w:rsidR="00E97F0A" w:rsidRPr="002944CA" w:rsidRDefault="00E97F0A" w:rsidP="000D779C">
            <w:pPr>
              <w:jc w:val="center"/>
              <w:rPr>
                <w:sz w:val="22"/>
                <w:szCs w:val="22"/>
              </w:rPr>
            </w:pPr>
            <w:r w:rsidRPr="002944CA">
              <w:rPr>
                <w:sz w:val="22"/>
                <w:szCs w:val="22"/>
              </w:rPr>
              <w:t>Для потребителей, в случае отсутствия дифференциации тарифов по схеме подключения</w:t>
            </w:r>
          </w:p>
        </w:tc>
      </w:tr>
      <w:tr w:rsidR="00E97F0A" w:rsidRPr="002944CA" w14:paraId="7D7DE802" w14:textId="77777777" w:rsidTr="000D779C">
        <w:trPr>
          <w:trHeight w:hRule="exact" w:val="340"/>
        </w:trPr>
        <w:tc>
          <w:tcPr>
            <w:tcW w:w="490" w:type="dxa"/>
            <w:vMerge w:val="restart"/>
            <w:shd w:val="clear" w:color="auto" w:fill="auto"/>
            <w:noWrap/>
            <w:vAlign w:val="center"/>
          </w:tcPr>
          <w:p w14:paraId="3D4F2087" w14:textId="77777777" w:rsidR="00E97F0A" w:rsidRPr="002944CA" w:rsidRDefault="00E97F0A" w:rsidP="000D779C">
            <w:pPr>
              <w:jc w:val="center"/>
              <w:rPr>
                <w:sz w:val="22"/>
                <w:szCs w:val="22"/>
              </w:rPr>
            </w:pPr>
            <w:r w:rsidRPr="002944CA">
              <w:rPr>
                <w:sz w:val="22"/>
                <w:szCs w:val="22"/>
              </w:rPr>
              <w:t>1.</w:t>
            </w:r>
          </w:p>
        </w:tc>
        <w:tc>
          <w:tcPr>
            <w:tcW w:w="1637" w:type="dxa"/>
            <w:vMerge w:val="restart"/>
            <w:shd w:val="clear" w:color="auto" w:fill="auto"/>
            <w:vAlign w:val="center"/>
          </w:tcPr>
          <w:p w14:paraId="1F9FB722" w14:textId="77777777" w:rsidR="00E97F0A" w:rsidRPr="002944CA" w:rsidRDefault="00E97F0A" w:rsidP="000D779C">
            <w:pPr>
              <w:widowControl/>
              <w:rPr>
                <w:sz w:val="22"/>
                <w:szCs w:val="22"/>
              </w:rPr>
            </w:pPr>
            <w:r w:rsidRPr="002944CA">
              <w:rPr>
                <w:sz w:val="22"/>
                <w:szCs w:val="22"/>
              </w:rPr>
              <w:t>ООО «Тепло Людям. Южа» (</w:t>
            </w:r>
            <w:r w:rsidRPr="002944CA">
              <w:rPr>
                <w:bCs/>
                <w:sz w:val="22"/>
                <w:szCs w:val="22"/>
              </w:rPr>
              <w:t>от котельных в г. Южа)</w:t>
            </w:r>
          </w:p>
        </w:tc>
        <w:tc>
          <w:tcPr>
            <w:tcW w:w="1701" w:type="dxa"/>
            <w:vMerge w:val="restart"/>
            <w:shd w:val="clear" w:color="auto" w:fill="auto"/>
            <w:vAlign w:val="center"/>
          </w:tcPr>
          <w:p w14:paraId="4D414FE5" w14:textId="77777777" w:rsidR="00E97F0A" w:rsidRPr="002944CA" w:rsidRDefault="00E97F0A" w:rsidP="000D779C">
            <w:pPr>
              <w:widowControl/>
              <w:ind w:left="-108" w:right="-108"/>
              <w:jc w:val="center"/>
              <w:rPr>
                <w:sz w:val="22"/>
                <w:szCs w:val="22"/>
              </w:rPr>
            </w:pPr>
            <w:r w:rsidRPr="002944CA">
              <w:rPr>
                <w:sz w:val="22"/>
                <w:szCs w:val="22"/>
              </w:rPr>
              <w:t>Одноставочный, руб./Гкал, (без НДС)</w:t>
            </w:r>
          </w:p>
        </w:tc>
        <w:tc>
          <w:tcPr>
            <w:tcW w:w="715" w:type="dxa"/>
            <w:shd w:val="clear" w:color="auto" w:fill="auto"/>
            <w:noWrap/>
            <w:vAlign w:val="center"/>
          </w:tcPr>
          <w:p w14:paraId="5DA2D50A" w14:textId="77777777" w:rsidR="00E97F0A" w:rsidRPr="002944CA" w:rsidRDefault="00E97F0A" w:rsidP="000D779C">
            <w:pPr>
              <w:widowControl/>
              <w:jc w:val="center"/>
              <w:rPr>
                <w:sz w:val="22"/>
                <w:szCs w:val="22"/>
              </w:rPr>
            </w:pPr>
            <w:r w:rsidRPr="002944CA">
              <w:rPr>
                <w:sz w:val="22"/>
                <w:szCs w:val="22"/>
              </w:rPr>
              <w:t>2024</w:t>
            </w:r>
          </w:p>
        </w:tc>
        <w:tc>
          <w:tcPr>
            <w:tcW w:w="1270" w:type="dxa"/>
            <w:shd w:val="clear" w:color="auto" w:fill="auto"/>
            <w:noWrap/>
            <w:vAlign w:val="center"/>
          </w:tcPr>
          <w:p w14:paraId="4AD3BA19" w14:textId="77777777" w:rsidR="00E97F0A" w:rsidRPr="002944CA" w:rsidRDefault="00E97F0A" w:rsidP="000D779C">
            <w:pPr>
              <w:widowControl/>
              <w:jc w:val="center"/>
              <w:rPr>
                <w:sz w:val="22"/>
                <w:szCs w:val="22"/>
              </w:rPr>
            </w:pPr>
            <w:r w:rsidRPr="002944CA">
              <w:rPr>
                <w:sz w:val="22"/>
                <w:szCs w:val="22"/>
              </w:rPr>
              <w:t>3 124,28</w:t>
            </w:r>
          </w:p>
        </w:tc>
        <w:tc>
          <w:tcPr>
            <w:tcW w:w="1417" w:type="dxa"/>
            <w:shd w:val="clear" w:color="auto" w:fill="auto"/>
            <w:vAlign w:val="center"/>
          </w:tcPr>
          <w:p w14:paraId="37972647" w14:textId="77777777" w:rsidR="00E97F0A" w:rsidRPr="002944CA" w:rsidRDefault="00E97F0A" w:rsidP="000D779C">
            <w:pPr>
              <w:widowControl/>
              <w:jc w:val="center"/>
              <w:rPr>
                <w:sz w:val="22"/>
                <w:szCs w:val="22"/>
              </w:rPr>
            </w:pPr>
            <w:r w:rsidRPr="002944CA">
              <w:rPr>
                <w:sz w:val="22"/>
                <w:szCs w:val="22"/>
              </w:rPr>
              <w:t>3 842,92</w:t>
            </w:r>
          </w:p>
        </w:tc>
        <w:tc>
          <w:tcPr>
            <w:tcW w:w="745" w:type="dxa"/>
            <w:shd w:val="clear" w:color="auto" w:fill="auto"/>
            <w:noWrap/>
            <w:vAlign w:val="center"/>
          </w:tcPr>
          <w:p w14:paraId="3CA4396D" w14:textId="77777777" w:rsidR="00E97F0A" w:rsidRPr="002944CA" w:rsidRDefault="00E97F0A" w:rsidP="000D779C">
            <w:pPr>
              <w:widowControl/>
              <w:jc w:val="center"/>
              <w:rPr>
                <w:sz w:val="22"/>
                <w:szCs w:val="22"/>
              </w:rPr>
            </w:pPr>
            <w:r w:rsidRPr="002944CA">
              <w:rPr>
                <w:sz w:val="22"/>
                <w:szCs w:val="22"/>
              </w:rPr>
              <w:t>-</w:t>
            </w:r>
          </w:p>
        </w:tc>
        <w:tc>
          <w:tcPr>
            <w:tcW w:w="745" w:type="dxa"/>
            <w:vAlign w:val="center"/>
          </w:tcPr>
          <w:p w14:paraId="033BD6F4" w14:textId="77777777" w:rsidR="00E97F0A" w:rsidRPr="002944CA" w:rsidRDefault="00E97F0A" w:rsidP="000D779C">
            <w:pPr>
              <w:widowControl/>
              <w:jc w:val="center"/>
              <w:rPr>
                <w:sz w:val="22"/>
                <w:szCs w:val="22"/>
              </w:rPr>
            </w:pPr>
            <w:r w:rsidRPr="002944CA">
              <w:rPr>
                <w:sz w:val="22"/>
                <w:szCs w:val="22"/>
              </w:rPr>
              <w:t>-</w:t>
            </w:r>
          </w:p>
        </w:tc>
        <w:tc>
          <w:tcPr>
            <w:tcW w:w="745" w:type="dxa"/>
            <w:vAlign w:val="center"/>
          </w:tcPr>
          <w:p w14:paraId="29B205A4" w14:textId="77777777" w:rsidR="00E97F0A" w:rsidRPr="002944CA" w:rsidRDefault="00E97F0A" w:rsidP="000D779C">
            <w:pPr>
              <w:widowControl/>
              <w:jc w:val="center"/>
              <w:rPr>
                <w:sz w:val="22"/>
                <w:szCs w:val="22"/>
              </w:rPr>
            </w:pPr>
            <w:r w:rsidRPr="002944CA">
              <w:rPr>
                <w:sz w:val="22"/>
                <w:szCs w:val="22"/>
              </w:rPr>
              <w:t>-</w:t>
            </w:r>
          </w:p>
        </w:tc>
        <w:tc>
          <w:tcPr>
            <w:tcW w:w="559" w:type="dxa"/>
            <w:vAlign w:val="center"/>
          </w:tcPr>
          <w:p w14:paraId="2D8F247F" w14:textId="77777777" w:rsidR="00E97F0A" w:rsidRPr="002944CA" w:rsidRDefault="00E97F0A" w:rsidP="000D779C">
            <w:pPr>
              <w:widowControl/>
              <w:jc w:val="center"/>
              <w:rPr>
                <w:sz w:val="22"/>
                <w:szCs w:val="22"/>
              </w:rPr>
            </w:pPr>
            <w:r w:rsidRPr="002944CA">
              <w:rPr>
                <w:sz w:val="22"/>
                <w:szCs w:val="22"/>
              </w:rPr>
              <w:t>-</w:t>
            </w:r>
          </w:p>
        </w:tc>
        <w:tc>
          <w:tcPr>
            <w:tcW w:w="662" w:type="dxa"/>
            <w:shd w:val="clear" w:color="auto" w:fill="auto"/>
            <w:noWrap/>
            <w:vAlign w:val="center"/>
          </w:tcPr>
          <w:p w14:paraId="6777E44A" w14:textId="77777777" w:rsidR="00E97F0A" w:rsidRPr="002944CA" w:rsidRDefault="00E97F0A" w:rsidP="000D779C">
            <w:pPr>
              <w:jc w:val="center"/>
              <w:rPr>
                <w:sz w:val="22"/>
                <w:szCs w:val="22"/>
              </w:rPr>
            </w:pPr>
            <w:r w:rsidRPr="002944CA">
              <w:rPr>
                <w:sz w:val="22"/>
                <w:szCs w:val="22"/>
              </w:rPr>
              <w:t>-</w:t>
            </w:r>
          </w:p>
        </w:tc>
      </w:tr>
      <w:tr w:rsidR="00E97F0A" w:rsidRPr="002944CA" w14:paraId="5408EEE2" w14:textId="77777777" w:rsidTr="000D779C">
        <w:trPr>
          <w:trHeight w:hRule="exact" w:val="340"/>
        </w:trPr>
        <w:tc>
          <w:tcPr>
            <w:tcW w:w="490" w:type="dxa"/>
            <w:vMerge/>
            <w:shd w:val="clear" w:color="auto" w:fill="auto"/>
            <w:noWrap/>
            <w:vAlign w:val="center"/>
          </w:tcPr>
          <w:p w14:paraId="623AA1F7" w14:textId="77777777" w:rsidR="00E97F0A" w:rsidRPr="002944CA" w:rsidRDefault="00E97F0A" w:rsidP="000D779C">
            <w:pPr>
              <w:jc w:val="center"/>
              <w:rPr>
                <w:sz w:val="22"/>
                <w:szCs w:val="22"/>
              </w:rPr>
            </w:pPr>
          </w:p>
        </w:tc>
        <w:tc>
          <w:tcPr>
            <w:tcW w:w="1637" w:type="dxa"/>
            <w:vMerge/>
            <w:shd w:val="clear" w:color="auto" w:fill="auto"/>
            <w:vAlign w:val="center"/>
          </w:tcPr>
          <w:p w14:paraId="7E6469B4" w14:textId="77777777" w:rsidR="00E97F0A" w:rsidRPr="002944CA" w:rsidRDefault="00E97F0A" w:rsidP="000D779C">
            <w:pPr>
              <w:widowControl/>
              <w:rPr>
                <w:sz w:val="22"/>
                <w:szCs w:val="22"/>
              </w:rPr>
            </w:pPr>
          </w:p>
        </w:tc>
        <w:tc>
          <w:tcPr>
            <w:tcW w:w="1701" w:type="dxa"/>
            <w:vMerge/>
            <w:shd w:val="clear" w:color="auto" w:fill="auto"/>
            <w:vAlign w:val="center"/>
          </w:tcPr>
          <w:p w14:paraId="6D380A96" w14:textId="77777777" w:rsidR="00E97F0A" w:rsidRPr="002944CA" w:rsidRDefault="00E97F0A" w:rsidP="000D779C">
            <w:pPr>
              <w:widowControl/>
              <w:jc w:val="center"/>
              <w:rPr>
                <w:sz w:val="22"/>
                <w:szCs w:val="22"/>
              </w:rPr>
            </w:pPr>
          </w:p>
        </w:tc>
        <w:tc>
          <w:tcPr>
            <w:tcW w:w="715" w:type="dxa"/>
            <w:shd w:val="clear" w:color="auto" w:fill="auto"/>
            <w:noWrap/>
            <w:vAlign w:val="center"/>
          </w:tcPr>
          <w:p w14:paraId="19FB016C" w14:textId="77777777" w:rsidR="00E97F0A" w:rsidRPr="002944CA" w:rsidRDefault="00E97F0A" w:rsidP="000D779C">
            <w:pPr>
              <w:widowControl/>
              <w:jc w:val="center"/>
              <w:rPr>
                <w:sz w:val="22"/>
                <w:szCs w:val="22"/>
              </w:rPr>
            </w:pPr>
            <w:r w:rsidRPr="002944CA">
              <w:rPr>
                <w:sz w:val="22"/>
                <w:szCs w:val="22"/>
              </w:rPr>
              <w:t>2025</w:t>
            </w:r>
          </w:p>
        </w:tc>
        <w:tc>
          <w:tcPr>
            <w:tcW w:w="1270" w:type="dxa"/>
            <w:shd w:val="clear" w:color="auto" w:fill="auto"/>
            <w:noWrap/>
            <w:vAlign w:val="center"/>
          </w:tcPr>
          <w:p w14:paraId="4D72597C" w14:textId="77777777" w:rsidR="00E97F0A" w:rsidRPr="002944CA" w:rsidRDefault="00E97F0A" w:rsidP="000D779C">
            <w:pPr>
              <w:widowControl/>
              <w:jc w:val="center"/>
              <w:rPr>
                <w:sz w:val="22"/>
                <w:szCs w:val="22"/>
              </w:rPr>
            </w:pPr>
            <w:r w:rsidRPr="00ED0777">
              <w:rPr>
                <w:sz w:val="22"/>
                <w:szCs w:val="22"/>
              </w:rPr>
              <w:t>3 803,80</w:t>
            </w:r>
          </w:p>
        </w:tc>
        <w:tc>
          <w:tcPr>
            <w:tcW w:w="1417" w:type="dxa"/>
            <w:shd w:val="clear" w:color="auto" w:fill="auto"/>
            <w:vAlign w:val="center"/>
          </w:tcPr>
          <w:p w14:paraId="36DFCE4D" w14:textId="77777777" w:rsidR="00E97F0A" w:rsidRPr="002944CA" w:rsidRDefault="00E97F0A" w:rsidP="000D779C">
            <w:pPr>
              <w:widowControl/>
              <w:jc w:val="center"/>
              <w:rPr>
                <w:sz w:val="22"/>
                <w:szCs w:val="22"/>
              </w:rPr>
            </w:pPr>
            <w:r w:rsidRPr="00ED0777">
              <w:rPr>
                <w:sz w:val="22"/>
                <w:szCs w:val="22"/>
              </w:rPr>
              <w:t>3 863,23</w:t>
            </w:r>
          </w:p>
        </w:tc>
        <w:tc>
          <w:tcPr>
            <w:tcW w:w="745" w:type="dxa"/>
            <w:shd w:val="clear" w:color="auto" w:fill="auto"/>
            <w:noWrap/>
            <w:vAlign w:val="center"/>
          </w:tcPr>
          <w:p w14:paraId="42FA3B29" w14:textId="77777777" w:rsidR="00E97F0A" w:rsidRPr="002944CA" w:rsidRDefault="00E97F0A" w:rsidP="000D779C">
            <w:pPr>
              <w:widowControl/>
              <w:jc w:val="center"/>
              <w:rPr>
                <w:sz w:val="22"/>
                <w:szCs w:val="22"/>
              </w:rPr>
            </w:pPr>
            <w:r w:rsidRPr="002944CA">
              <w:rPr>
                <w:sz w:val="22"/>
                <w:szCs w:val="22"/>
              </w:rPr>
              <w:t>-</w:t>
            </w:r>
          </w:p>
        </w:tc>
        <w:tc>
          <w:tcPr>
            <w:tcW w:w="745" w:type="dxa"/>
            <w:vAlign w:val="center"/>
          </w:tcPr>
          <w:p w14:paraId="14BC6FE9" w14:textId="77777777" w:rsidR="00E97F0A" w:rsidRPr="002944CA" w:rsidRDefault="00E97F0A" w:rsidP="000D779C">
            <w:pPr>
              <w:widowControl/>
              <w:jc w:val="center"/>
              <w:rPr>
                <w:sz w:val="22"/>
                <w:szCs w:val="22"/>
              </w:rPr>
            </w:pPr>
            <w:r w:rsidRPr="002944CA">
              <w:rPr>
                <w:sz w:val="22"/>
                <w:szCs w:val="22"/>
              </w:rPr>
              <w:t>-</w:t>
            </w:r>
          </w:p>
        </w:tc>
        <w:tc>
          <w:tcPr>
            <w:tcW w:w="745" w:type="dxa"/>
            <w:vAlign w:val="center"/>
          </w:tcPr>
          <w:p w14:paraId="1C1DF339" w14:textId="77777777" w:rsidR="00E97F0A" w:rsidRPr="002944CA" w:rsidRDefault="00E97F0A" w:rsidP="000D779C">
            <w:pPr>
              <w:widowControl/>
              <w:jc w:val="center"/>
              <w:rPr>
                <w:sz w:val="22"/>
                <w:szCs w:val="22"/>
              </w:rPr>
            </w:pPr>
            <w:r w:rsidRPr="002944CA">
              <w:rPr>
                <w:sz w:val="22"/>
                <w:szCs w:val="22"/>
              </w:rPr>
              <w:t>-</w:t>
            </w:r>
          </w:p>
        </w:tc>
        <w:tc>
          <w:tcPr>
            <w:tcW w:w="559" w:type="dxa"/>
            <w:vAlign w:val="center"/>
          </w:tcPr>
          <w:p w14:paraId="44088050" w14:textId="77777777" w:rsidR="00E97F0A" w:rsidRPr="002944CA" w:rsidRDefault="00E97F0A" w:rsidP="000D779C">
            <w:pPr>
              <w:widowControl/>
              <w:jc w:val="center"/>
              <w:rPr>
                <w:sz w:val="22"/>
                <w:szCs w:val="22"/>
              </w:rPr>
            </w:pPr>
            <w:r w:rsidRPr="002944CA">
              <w:rPr>
                <w:sz w:val="22"/>
                <w:szCs w:val="22"/>
              </w:rPr>
              <w:t>-</w:t>
            </w:r>
          </w:p>
        </w:tc>
        <w:tc>
          <w:tcPr>
            <w:tcW w:w="662" w:type="dxa"/>
            <w:shd w:val="clear" w:color="auto" w:fill="auto"/>
            <w:noWrap/>
            <w:vAlign w:val="center"/>
          </w:tcPr>
          <w:p w14:paraId="152F5628" w14:textId="77777777" w:rsidR="00E97F0A" w:rsidRPr="002944CA" w:rsidRDefault="00E97F0A" w:rsidP="000D779C">
            <w:pPr>
              <w:widowControl/>
              <w:jc w:val="center"/>
              <w:rPr>
                <w:sz w:val="22"/>
                <w:szCs w:val="22"/>
              </w:rPr>
            </w:pPr>
            <w:r w:rsidRPr="002944CA">
              <w:rPr>
                <w:sz w:val="22"/>
                <w:szCs w:val="22"/>
              </w:rPr>
              <w:t>-</w:t>
            </w:r>
          </w:p>
        </w:tc>
      </w:tr>
      <w:tr w:rsidR="00E97F0A" w:rsidRPr="002944CA" w14:paraId="2984ADB1" w14:textId="77777777" w:rsidTr="000D779C">
        <w:trPr>
          <w:trHeight w:hRule="exact" w:val="340"/>
        </w:trPr>
        <w:tc>
          <w:tcPr>
            <w:tcW w:w="490" w:type="dxa"/>
            <w:vMerge/>
            <w:shd w:val="clear" w:color="auto" w:fill="auto"/>
            <w:noWrap/>
            <w:vAlign w:val="center"/>
          </w:tcPr>
          <w:p w14:paraId="75C13056" w14:textId="77777777" w:rsidR="00E97F0A" w:rsidRPr="002944CA" w:rsidRDefault="00E97F0A" w:rsidP="000D779C">
            <w:pPr>
              <w:jc w:val="center"/>
              <w:rPr>
                <w:sz w:val="22"/>
                <w:szCs w:val="22"/>
              </w:rPr>
            </w:pPr>
          </w:p>
        </w:tc>
        <w:tc>
          <w:tcPr>
            <w:tcW w:w="1637" w:type="dxa"/>
            <w:vMerge/>
            <w:shd w:val="clear" w:color="auto" w:fill="auto"/>
            <w:vAlign w:val="center"/>
          </w:tcPr>
          <w:p w14:paraId="0F684416" w14:textId="77777777" w:rsidR="00E97F0A" w:rsidRPr="002944CA" w:rsidRDefault="00E97F0A" w:rsidP="000D779C">
            <w:pPr>
              <w:widowControl/>
              <w:rPr>
                <w:sz w:val="22"/>
                <w:szCs w:val="22"/>
              </w:rPr>
            </w:pPr>
          </w:p>
        </w:tc>
        <w:tc>
          <w:tcPr>
            <w:tcW w:w="1701" w:type="dxa"/>
            <w:vMerge/>
            <w:shd w:val="clear" w:color="auto" w:fill="auto"/>
            <w:vAlign w:val="center"/>
          </w:tcPr>
          <w:p w14:paraId="2E08C8C0" w14:textId="77777777" w:rsidR="00E97F0A" w:rsidRPr="002944CA" w:rsidRDefault="00E97F0A" w:rsidP="000D779C">
            <w:pPr>
              <w:widowControl/>
              <w:jc w:val="center"/>
              <w:rPr>
                <w:sz w:val="22"/>
                <w:szCs w:val="22"/>
              </w:rPr>
            </w:pPr>
          </w:p>
        </w:tc>
        <w:tc>
          <w:tcPr>
            <w:tcW w:w="715" w:type="dxa"/>
            <w:shd w:val="clear" w:color="auto" w:fill="auto"/>
            <w:noWrap/>
            <w:vAlign w:val="center"/>
          </w:tcPr>
          <w:p w14:paraId="220A2F8A" w14:textId="77777777" w:rsidR="00E97F0A" w:rsidRPr="002944CA" w:rsidRDefault="00E97F0A" w:rsidP="000D779C">
            <w:pPr>
              <w:widowControl/>
              <w:jc w:val="center"/>
              <w:rPr>
                <w:sz w:val="22"/>
                <w:szCs w:val="22"/>
              </w:rPr>
            </w:pPr>
            <w:r w:rsidRPr="002944CA">
              <w:rPr>
                <w:sz w:val="22"/>
                <w:szCs w:val="22"/>
              </w:rPr>
              <w:t>2026</w:t>
            </w:r>
          </w:p>
        </w:tc>
        <w:tc>
          <w:tcPr>
            <w:tcW w:w="1270" w:type="dxa"/>
            <w:shd w:val="clear" w:color="auto" w:fill="auto"/>
            <w:noWrap/>
            <w:vAlign w:val="center"/>
          </w:tcPr>
          <w:p w14:paraId="7BCE870A" w14:textId="77777777" w:rsidR="00E97F0A" w:rsidRPr="002944CA" w:rsidRDefault="00E97F0A" w:rsidP="000D779C">
            <w:pPr>
              <w:widowControl/>
              <w:jc w:val="center"/>
              <w:rPr>
                <w:sz w:val="22"/>
                <w:szCs w:val="22"/>
              </w:rPr>
            </w:pPr>
            <w:r w:rsidRPr="00ED0777">
              <w:rPr>
                <w:sz w:val="22"/>
                <w:szCs w:val="22"/>
              </w:rPr>
              <w:t>3 863,23</w:t>
            </w:r>
          </w:p>
        </w:tc>
        <w:tc>
          <w:tcPr>
            <w:tcW w:w="1417" w:type="dxa"/>
            <w:shd w:val="clear" w:color="auto" w:fill="auto"/>
            <w:vAlign w:val="center"/>
          </w:tcPr>
          <w:p w14:paraId="3D1F7688" w14:textId="77777777" w:rsidR="00E97F0A" w:rsidRPr="002944CA" w:rsidRDefault="00E97F0A" w:rsidP="000D779C">
            <w:pPr>
              <w:widowControl/>
              <w:jc w:val="center"/>
              <w:rPr>
                <w:sz w:val="22"/>
                <w:szCs w:val="22"/>
              </w:rPr>
            </w:pPr>
            <w:r w:rsidRPr="00ED0777">
              <w:rPr>
                <w:sz w:val="22"/>
                <w:szCs w:val="22"/>
              </w:rPr>
              <w:t>4 245,50</w:t>
            </w:r>
          </w:p>
        </w:tc>
        <w:tc>
          <w:tcPr>
            <w:tcW w:w="745" w:type="dxa"/>
            <w:shd w:val="clear" w:color="auto" w:fill="auto"/>
            <w:noWrap/>
            <w:vAlign w:val="center"/>
          </w:tcPr>
          <w:p w14:paraId="7B130875" w14:textId="77777777" w:rsidR="00E97F0A" w:rsidRPr="002944CA" w:rsidRDefault="00E97F0A" w:rsidP="000D779C">
            <w:pPr>
              <w:widowControl/>
              <w:jc w:val="center"/>
              <w:rPr>
                <w:sz w:val="22"/>
                <w:szCs w:val="22"/>
              </w:rPr>
            </w:pPr>
            <w:r w:rsidRPr="002944CA">
              <w:rPr>
                <w:sz w:val="22"/>
                <w:szCs w:val="22"/>
              </w:rPr>
              <w:t>-</w:t>
            </w:r>
          </w:p>
        </w:tc>
        <w:tc>
          <w:tcPr>
            <w:tcW w:w="745" w:type="dxa"/>
            <w:vAlign w:val="center"/>
          </w:tcPr>
          <w:p w14:paraId="24387488" w14:textId="77777777" w:rsidR="00E97F0A" w:rsidRPr="002944CA" w:rsidRDefault="00E97F0A" w:rsidP="000D779C">
            <w:pPr>
              <w:widowControl/>
              <w:jc w:val="center"/>
              <w:rPr>
                <w:sz w:val="22"/>
                <w:szCs w:val="22"/>
              </w:rPr>
            </w:pPr>
            <w:r w:rsidRPr="002944CA">
              <w:rPr>
                <w:sz w:val="22"/>
                <w:szCs w:val="22"/>
              </w:rPr>
              <w:t>-</w:t>
            </w:r>
          </w:p>
        </w:tc>
        <w:tc>
          <w:tcPr>
            <w:tcW w:w="745" w:type="dxa"/>
            <w:vAlign w:val="center"/>
          </w:tcPr>
          <w:p w14:paraId="24DB3AFB" w14:textId="77777777" w:rsidR="00E97F0A" w:rsidRPr="002944CA" w:rsidRDefault="00E97F0A" w:rsidP="000D779C">
            <w:pPr>
              <w:widowControl/>
              <w:jc w:val="center"/>
              <w:rPr>
                <w:sz w:val="22"/>
                <w:szCs w:val="22"/>
              </w:rPr>
            </w:pPr>
            <w:r w:rsidRPr="002944CA">
              <w:rPr>
                <w:sz w:val="22"/>
                <w:szCs w:val="22"/>
              </w:rPr>
              <w:t>-</w:t>
            </w:r>
          </w:p>
        </w:tc>
        <w:tc>
          <w:tcPr>
            <w:tcW w:w="559" w:type="dxa"/>
            <w:vAlign w:val="center"/>
          </w:tcPr>
          <w:p w14:paraId="09728428" w14:textId="77777777" w:rsidR="00E97F0A" w:rsidRPr="002944CA" w:rsidRDefault="00E97F0A" w:rsidP="000D779C">
            <w:pPr>
              <w:widowControl/>
              <w:jc w:val="center"/>
              <w:rPr>
                <w:sz w:val="22"/>
                <w:szCs w:val="22"/>
              </w:rPr>
            </w:pPr>
            <w:r w:rsidRPr="002944CA">
              <w:rPr>
                <w:sz w:val="22"/>
                <w:szCs w:val="22"/>
              </w:rPr>
              <w:t>-</w:t>
            </w:r>
          </w:p>
        </w:tc>
        <w:tc>
          <w:tcPr>
            <w:tcW w:w="662" w:type="dxa"/>
            <w:shd w:val="clear" w:color="auto" w:fill="auto"/>
            <w:noWrap/>
            <w:vAlign w:val="center"/>
          </w:tcPr>
          <w:p w14:paraId="0944A543" w14:textId="77777777" w:rsidR="00E97F0A" w:rsidRPr="002944CA" w:rsidRDefault="00E97F0A" w:rsidP="000D779C">
            <w:pPr>
              <w:widowControl/>
              <w:jc w:val="center"/>
              <w:rPr>
                <w:sz w:val="22"/>
                <w:szCs w:val="22"/>
              </w:rPr>
            </w:pPr>
            <w:r w:rsidRPr="002944CA">
              <w:rPr>
                <w:sz w:val="22"/>
                <w:szCs w:val="22"/>
              </w:rPr>
              <w:t>-</w:t>
            </w:r>
          </w:p>
        </w:tc>
      </w:tr>
      <w:tr w:rsidR="00E97F0A" w:rsidRPr="002944CA" w14:paraId="557D3E6D" w14:textId="77777777" w:rsidTr="000D779C">
        <w:trPr>
          <w:trHeight w:hRule="exact" w:val="340"/>
        </w:trPr>
        <w:tc>
          <w:tcPr>
            <w:tcW w:w="490" w:type="dxa"/>
            <w:vMerge/>
            <w:shd w:val="clear" w:color="auto" w:fill="auto"/>
            <w:noWrap/>
            <w:vAlign w:val="center"/>
          </w:tcPr>
          <w:p w14:paraId="62083B89" w14:textId="77777777" w:rsidR="00E97F0A" w:rsidRPr="002944CA" w:rsidRDefault="00E97F0A" w:rsidP="000D779C">
            <w:pPr>
              <w:jc w:val="center"/>
              <w:rPr>
                <w:sz w:val="22"/>
                <w:szCs w:val="22"/>
              </w:rPr>
            </w:pPr>
          </w:p>
        </w:tc>
        <w:tc>
          <w:tcPr>
            <w:tcW w:w="1637" w:type="dxa"/>
            <w:vMerge/>
            <w:shd w:val="clear" w:color="auto" w:fill="auto"/>
            <w:vAlign w:val="center"/>
          </w:tcPr>
          <w:p w14:paraId="70E0E79C" w14:textId="77777777" w:rsidR="00E97F0A" w:rsidRPr="002944CA" w:rsidRDefault="00E97F0A" w:rsidP="000D779C">
            <w:pPr>
              <w:widowControl/>
              <w:rPr>
                <w:sz w:val="22"/>
                <w:szCs w:val="22"/>
              </w:rPr>
            </w:pPr>
          </w:p>
        </w:tc>
        <w:tc>
          <w:tcPr>
            <w:tcW w:w="1701" w:type="dxa"/>
            <w:vMerge/>
            <w:shd w:val="clear" w:color="auto" w:fill="auto"/>
            <w:vAlign w:val="center"/>
          </w:tcPr>
          <w:p w14:paraId="7F223AA3" w14:textId="77777777" w:rsidR="00E97F0A" w:rsidRPr="002944CA" w:rsidRDefault="00E97F0A" w:rsidP="000D779C">
            <w:pPr>
              <w:widowControl/>
              <w:jc w:val="center"/>
              <w:rPr>
                <w:sz w:val="22"/>
                <w:szCs w:val="22"/>
              </w:rPr>
            </w:pPr>
          </w:p>
        </w:tc>
        <w:tc>
          <w:tcPr>
            <w:tcW w:w="715" w:type="dxa"/>
            <w:shd w:val="clear" w:color="auto" w:fill="auto"/>
            <w:noWrap/>
            <w:vAlign w:val="center"/>
          </w:tcPr>
          <w:p w14:paraId="5F307FDD" w14:textId="77777777" w:rsidR="00E97F0A" w:rsidRPr="002944CA" w:rsidRDefault="00E97F0A" w:rsidP="000D779C">
            <w:pPr>
              <w:widowControl/>
              <w:jc w:val="center"/>
              <w:rPr>
                <w:sz w:val="22"/>
                <w:szCs w:val="22"/>
              </w:rPr>
            </w:pPr>
            <w:r w:rsidRPr="002944CA">
              <w:rPr>
                <w:sz w:val="22"/>
                <w:szCs w:val="22"/>
              </w:rPr>
              <w:t>2027</w:t>
            </w:r>
          </w:p>
        </w:tc>
        <w:tc>
          <w:tcPr>
            <w:tcW w:w="1270" w:type="dxa"/>
            <w:shd w:val="clear" w:color="auto" w:fill="auto"/>
            <w:noWrap/>
            <w:vAlign w:val="center"/>
          </w:tcPr>
          <w:p w14:paraId="62A63CD7" w14:textId="77777777" w:rsidR="00E97F0A" w:rsidRPr="002944CA" w:rsidRDefault="00E97F0A" w:rsidP="000D779C">
            <w:pPr>
              <w:widowControl/>
              <w:jc w:val="center"/>
              <w:rPr>
                <w:sz w:val="22"/>
                <w:szCs w:val="22"/>
              </w:rPr>
            </w:pPr>
            <w:r w:rsidRPr="00ED0777">
              <w:rPr>
                <w:sz w:val="22"/>
                <w:szCs w:val="22"/>
              </w:rPr>
              <w:t>3 952,98</w:t>
            </w:r>
          </w:p>
        </w:tc>
        <w:tc>
          <w:tcPr>
            <w:tcW w:w="1417" w:type="dxa"/>
            <w:shd w:val="clear" w:color="auto" w:fill="auto"/>
            <w:vAlign w:val="center"/>
          </w:tcPr>
          <w:p w14:paraId="1E78F21A" w14:textId="77777777" w:rsidR="00E97F0A" w:rsidRPr="002944CA" w:rsidRDefault="00E97F0A" w:rsidP="000D779C">
            <w:pPr>
              <w:widowControl/>
              <w:jc w:val="center"/>
              <w:rPr>
                <w:sz w:val="22"/>
                <w:szCs w:val="22"/>
              </w:rPr>
            </w:pPr>
            <w:r w:rsidRPr="00ED0777">
              <w:rPr>
                <w:sz w:val="22"/>
                <w:szCs w:val="22"/>
              </w:rPr>
              <w:t>4 014,54</w:t>
            </w:r>
          </w:p>
        </w:tc>
        <w:tc>
          <w:tcPr>
            <w:tcW w:w="745" w:type="dxa"/>
            <w:shd w:val="clear" w:color="auto" w:fill="auto"/>
            <w:noWrap/>
            <w:vAlign w:val="center"/>
          </w:tcPr>
          <w:p w14:paraId="20EC9BCD" w14:textId="77777777" w:rsidR="00E97F0A" w:rsidRPr="002944CA" w:rsidRDefault="00E97F0A" w:rsidP="000D779C">
            <w:pPr>
              <w:widowControl/>
              <w:jc w:val="center"/>
              <w:rPr>
                <w:sz w:val="22"/>
                <w:szCs w:val="22"/>
              </w:rPr>
            </w:pPr>
            <w:r w:rsidRPr="002944CA">
              <w:rPr>
                <w:sz w:val="22"/>
                <w:szCs w:val="22"/>
              </w:rPr>
              <w:t>-</w:t>
            </w:r>
          </w:p>
        </w:tc>
        <w:tc>
          <w:tcPr>
            <w:tcW w:w="745" w:type="dxa"/>
            <w:vAlign w:val="center"/>
          </w:tcPr>
          <w:p w14:paraId="3021BE79" w14:textId="77777777" w:rsidR="00E97F0A" w:rsidRPr="002944CA" w:rsidRDefault="00E97F0A" w:rsidP="000D779C">
            <w:pPr>
              <w:widowControl/>
              <w:jc w:val="center"/>
              <w:rPr>
                <w:sz w:val="22"/>
                <w:szCs w:val="22"/>
              </w:rPr>
            </w:pPr>
            <w:r w:rsidRPr="002944CA">
              <w:rPr>
                <w:sz w:val="22"/>
                <w:szCs w:val="22"/>
              </w:rPr>
              <w:t>-</w:t>
            </w:r>
          </w:p>
        </w:tc>
        <w:tc>
          <w:tcPr>
            <w:tcW w:w="745" w:type="dxa"/>
            <w:vAlign w:val="center"/>
          </w:tcPr>
          <w:p w14:paraId="1994E7E0" w14:textId="77777777" w:rsidR="00E97F0A" w:rsidRPr="002944CA" w:rsidRDefault="00E97F0A" w:rsidP="000D779C">
            <w:pPr>
              <w:widowControl/>
              <w:jc w:val="center"/>
              <w:rPr>
                <w:sz w:val="22"/>
                <w:szCs w:val="22"/>
              </w:rPr>
            </w:pPr>
            <w:r w:rsidRPr="002944CA">
              <w:rPr>
                <w:sz w:val="22"/>
                <w:szCs w:val="22"/>
              </w:rPr>
              <w:t>-</w:t>
            </w:r>
          </w:p>
        </w:tc>
        <w:tc>
          <w:tcPr>
            <w:tcW w:w="559" w:type="dxa"/>
            <w:vAlign w:val="center"/>
          </w:tcPr>
          <w:p w14:paraId="00902D88" w14:textId="77777777" w:rsidR="00E97F0A" w:rsidRPr="002944CA" w:rsidRDefault="00E97F0A" w:rsidP="000D779C">
            <w:pPr>
              <w:widowControl/>
              <w:jc w:val="center"/>
              <w:rPr>
                <w:sz w:val="22"/>
                <w:szCs w:val="22"/>
              </w:rPr>
            </w:pPr>
            <w:r w:rsidRPr="002944CA">
              <w:rPr>
                <w:sz w:val="22"/>
                <w:szCs w:val="22"/>
              </w:rPr>
              <w:t>-</w:t>
            </w:r>
          </w:p>
        </w:tc>
        <w:tc>
          <w:tcPr>
            <w:tcW w:w="662" w:type="dxa"/>
            <w:shd w:val="clear" w:color="auto" w:fill="auto"/>
            <w:noWrap/>
            <w:vAlign w:val="center"/>
          </w:tcPr>
          <w:p w14:paraId="362F73E1" w14:textId="77777777" w:rsidR="00E97F0A" w:rsidRPr="002944CA" w:rsidRDefault="00E97F0A" w:rsidP="000D779C">
            <w:pPr>
              <w:widowControl/>
              <w:jc w:val="center"/>
              <w:rPr>
                <w:sz w:val="22"/>
                <w:szCs w:val="22"/>
              </w:rPr>
            </w:pPr>
            <w:r w:rsidRPr="002944CA">
              <w:rPr>
                <w:sz w:val="22"/>
                <w:szCs w:val="22"/>
              </w:rPr>
              <w:t>-</w:t>
            </w:r>
          </w:p>
        </w:tc>
      </w:tr>
      <w:tr w:rsidR="00E97F0A" w:rsidRPr="002944CA" w14:paraId="5EE5E02B" w14:textId="77777777" w:rsidTr="000D779C">
        <w:trPr>
          <w:trHeight w:hRule="exact" w:val="340"/>
        </w:trPr>
        <w:tc>
          <w:tcPr>
            <w:tcW w:w="490" w:type="dxa"/>
            <w:vMerge/>
            <w:shd w:val="clear" w:color="auto" w:fill="auto"/>
            <w:noWrap/>
            <w:vAlign w:val="center"/>
          </w:tcPr>
          <w:p w14:paraId="40D0D009" w14:textId="77777777" w:rsidR="00E97F0A" w:rsidRPr="002944CA" w:rsidRDefault="00E97F0A" w:rsidP="000D779C">
            <w:pPr>
              <w:jc w:val="center"/>
              <w:rPr>
                <w:sz w:val="22"/>
                <w:szCs w:val="22"/>
              </w:rPr>
            </w:pPr>
          </w:p>
        </w:tc>
        <w:tc>
          <w:tcPr>
            <w:tcW w:w="1637" w:type="dxa"/>
            <w:vMerge/>
            <w:shd w:val="clear" w:color="auto" w:fill="auto"/>
            <w:vAlign w:val="center"/>
          </w:tcPr>
          <w:p w14:paraId="25C9CD73" w14:textId="77777777" w:rsidR="00E97F0A" w:rsidRPr="002944CA" w:rsidRDefault="00E97F0A" w:rsidP="000D779C">
            <w:pPr>
              <w:widowControl/>
              <w:rPr>
                <w:sz w:val="22"/>
                <w:szCs w:val="22"/>
              </w:rPr>
            </w:pPr>
          </w:p>
        </w:tc>
        <w:tc>
          <w:tcPr>
            <w:tcW w:w="1701" w:type="dxa"/>
            <w:vMerge/>
            <w:shd w:val="clear" w:color="auto" w:fill="auto"/>
            <w:vAlign w:val="center"/>
          </w:tcPr>
          <w:p w14:paraId="49DB88FF" w14:textId="77777777" w:rsidR="00E97F0A" w:rsidRPr="002944CA" w:rsidRDefault="00E97F0A" w:rsidP="000D779C">
            <w:pPr>
              <w:widowControl/>
              <w:jc w:val="center"/>
              <w:rPr>
                <w:sz w:val="22"/>
                <w:szCs w:val="22"/>
              </w:rPr>
            </w:pPr>
          </w:p>
        </w:tc>
        <w:tc>
          <w:tcPr>
            <w:tcW w:w="715" w:type="dxa"/>
            <w:shd w:val="clear" w:color="auto" w:fill="auto"/>
            <w:noWrap/>
            <w:vAlign w:val="center"/>
          </w:tcPr>
          <w:p w14:paraId="06237EC6" w14:textId="77777777" w:rsidR="00E97F0A" w:rsidRPr="002944CA" w:rsidRDefault="00E97F0A" w:rsidP="000D779C">
            <w:pPr>
              <w:widowControl/>
              <w:jc w:val="center"/>
              <w:rPr>
                <w:sz w:val="22"/>
                <w:szCs w:val="22"/>
              </w:rPr>
            </w:pPr>
            <w:r w:rsidRPr="002944CA">
              <w:rPr>
                <w:sz w:val="22"/>
                <w:szCs w:val="22"/>
              </w:rPr>
              <w:t>2028</w:t>
            </w:r>
          </w:p>
        </w:tc>
        <w:tc>
          <w:tcPr>
            <w:tcW w:w="1270" w:type="dxa"/>
            <w:shd w:val="clear" w:color="auto" w:fill="auto"/>
            <w:noWrap/>
            <w:vAlign w:val="center"/>
          </w:tcPr>
          <w:p w14:paraId="1AC32722" w14:textId="77777777" w:rsidR="00E97F0A" w:rsidRPr="002944CA" w:rsidRDefault="00E97F0A" w:rsidP="000D779C">
            <w:pPr>
              <w:widowControl/>
              <w:jc w:val="center"/>
              <w:rPr>
                <w:sz w:val="22"/>
                <w:szCs w:val="22"/>
              </w:rPr>
            </w:pPr>
            <w:r w:rsidRPr="00ED0777">
              <w:rPr>
                <w:sz w:val="22"/>
                <w:szCs w:val="22"/>
              </w:rPr>
              <w:t>3 979,52</w:t>
            </w:r>
          </w:p>
        </w:tc>
        <w:tc>
          <w:tcPr>
            <w:tcW w:w="1417" w:type="dxa"/>
            <w:shd w:val="clear" w:color="auto" w:fill="auto"/>
            <w:vAlign w:val="center"/>
          </w:tcPr>
          <w:p w14:paraId="4BC0F57A" w14:textId="77777777" w:rsidR="00E97F0A" w:rsidRPr="002944CA" w:rsidRDefault="00E97F0A" w:rsidP="000D779C">
            <w:pPr>
              <w:widowControl/>
              <w:jc w:val="center"/>
              <w:rPr>
                <w:sz w:val="22"/>
                <w:szCs w:val="22"/>
              </w:rPr>
            </w:pPr>
            <w:r w:rsidRPr="00ED0777">
              <w:rPr>
                <w:sz w:val="22"/>
                <w:szCs w:val="22"/>
              </w:rPr>
              <w:t>4 041,29</w:t>
            </w:r>
          </w:p>
        </w:tc>
        <w:tc>
          <w:tcPr>
            <w:tcW w:w="745" w:type="dxa"/>
            <w:shd w:val="clear" w:color="auto" w:fill="auto"/>
            <w:noWrap/>
            <w:vAlign w:val="center"/>
          </w:tcPr>
          <w:p w14:paraId="44963704" w14:textId="77777777" w:rsidR="00E97F0A" w:rsidRPr="002944CA" w:rsidRDefault="00E97F0A" w:rsidP="000D779C">
            <w:pPr>
              <w:widowControl/>
              <w:jc w:val="center"/>
              <w:rPr>
                <w:sz w:val="22"/>
                <w:szCs w:val="22"/>
              </w:rPr>
            </w:pPr>
            <w:r w:rsidRPr="002944CA">
              <w:rPr>
                <w:sz w:val="22"/>
                <w:szCs w:val="22"/>
              </w:rPr>
              <w:t>-</w:t>
            </w:r>
          </w:p>
        </w:tc>
        <w:tc>
          <w:tcPr>
            <w:tcW w:w="745" w:type="dxa"/>
            <w:vAlign w:val="center"/>
          </w:tcPr>
          <w:p w14:paraId="51C96B4B" w14:textId="77777777" w:rsidR="00E97F0A" w:rsidRPr="002944CA" w:rsidRDefault="00E97F0A" w:rsidP="000D779C">
            <w:pPr>
              <w:widowControl/>
              <w:jc w:val="center"/>
              <w:rPr>
                <w:sz w:val="22"/>
                <w:szCs w:val="22"/>
              </w:rPr>
            </w:pPr>
            <w:r w:rsidRPr="002944CA">
              <w:rPr>
                <w:sz w:val="22"/>
                <w:szCs w:val="22"/>
              </w:rPr>
              <w:t>-</w:t>
            </w:r>
          </w:p>
        </w:tc>
        <w:tc>
          <w:tcPr>
            <w:tcW w:w="745" w:type="dxa"/>
            <w:vAlign w:val="center"/>
          </w:tcPr>
          <w:p w14:paraId="37260A18" w14:textId="77777777" w:rsidR="00E97F0A" w:rsidRPr="002944CA" w:rsidRDefault="00E97F0A" w:rsidP="000D779C">
            <w:pPr>
              <w:widowControl/>
              <w:jc w:val="center"/>
              <w:rPr>
                <w:sz w:val="22"/>
                <w:szCs w:val="22"/>
              </w:rPr>
            </w:pPr>
            <w:r w:rsidRPr="002944CA">
              <w:rPr>
                <w:sz w:val="22"/>
                <w:szCs w:val="22"/>
              </w:rPr>
              <w:t>-</w:t>
            </w:r>
          </w:p>
        </w:tc>
        <w:tc>
          <w:tcPr>
            <w:tcW w:w="559" w:type="dxa"/>
            <w:vAlign w:val="center"/>
          </w:tcPr>
          <w:p w14:paraId="495DF922" w14:textId="77777777" w:rsidR="00E97F0A" w:rsidRPr="002944CA" w:rsidRDefault="00E97F0A" w:rsidP="000D779C">
            <w:pPr>
              <w:widowControl/>
              <w:jc w:val="center"/>
              <w:rPr>
                <w:sz w:val="22"/>
                <w:szCs w:val="22"/>
              </w:rPr>
            </w:pPr>
            <w:r w:rsidRPr="002944CA">
              <w:rPr>
                <w:sz w:val="22"/>
                <w:szCs w:val="22"/>
              </w:rPr>
              <w:t>-</w:t>
            </w:r>
          </w:p>
        </w:tc>
        <w:tc>
          <w:tcPr>
            <w:tcW w:w="662" w:type="dxa"/>
            <w:shd w:val="clear" w:color="auto" w:fill="auto"/>
            <w:noWrap/>
            <w:vAlign w:val="center"/>
          </w:tcPr>
          <w:p w14:paraId="352B72F5" w14:textId="77777777" w:rsidR="00E97F0A" w:rsidRPr="002944CA" w:rsidRDefault="00E97F0A" w:rsidP="000D779C">
            <w:pPr>
              <w:widowControl/>
              <w:jc w:val="center"/>
              <w:rPr>
                <w:sz w:val="22"/>
                <w:szCs w:val="22"/>
              </w:rPr>
            </w:pPr>
            <w:r w:rsidRPr="002944CA">
              <w:rPr>
                <w:sz w:val="22"/>
                <w:szCs w:val="22"/>
              </w:rPr>
              <w:t>-</w:t>
            </w:r>
          </w:p>
        </w:tc>
      </w:tr>
      <w:bookmarkEnd w:id="1"/>
    </w:tbl>
    <w:p w14:paraId="65152C7D" w14:textId="77777777" w:rsidR="00E97F0A" w:rsidRPr="006D73C0" w:rsidRDefault="00E97F0A" w:rsidP="006D73C0">
      <w:pPr>
        <w:widowControl/>
        <w:tabs>
          <w:tab w:val="left" w:pos="851"/>
        </w:tabs>
        <w:autoSpaceDE w:val="0"/>
        <w:autoSpaceDN w:val="0"/>
        <w:adjustRightInd w:val="0"/>
        <w:jc w:val="both"/>
        <w:rPr>
          <w:kern w:val="16"/>
          <w:sz w:val="22"/>
          <w:szCs w:val="22"/>
        </w:rPr>
      </w:pPr>
    </w:p>
    <w:p w14:paraId="29F5B9AC" w14:textId="75CE5CF1" w:rsidR="006D73C0" w:rsidRPr="006D73C0" w:rsidRDefault="006D73C0" w:rsidP="006D73C0">
      <w:pPr>
        <w:pStyle w:val="a4"/>
        <w:widowControl/>
        <w:numPr>
          <w:ilvl w:val="0"/>
          <w:numId w:val="42"/>
        </w:numPr>
        <w:tabs>
          <w:tab w:val="left" w:pos="851"/>
        </w:tabs>
        <w:autoSpaceDE w:val="0"/>
        <w:autoSpaceDN w:val="0"/>
        <w:adjustRightInd w:val="0"/>
        <w:ind w:left="0" w:firstLine="567"/>
        <w:jc w:val="both"/>
        <w:rPr>
          <w:kern w:val="16"/>
          <w:sz w:val="22"/>
          <w:szCs w:val="22"/>
        </w:rPr>
      </w:pPr>
      <w:r w:rsidRPr="006D73C0">
        <w:rPr>
          <w:kern w:val="16"/>
          <w:sz w:val="22"/>
          <w:szCs w:val="22"/>
        </w:rPr>
        <w:t>С 01.01.2025 произвести корректировку установленных долгосрочных льготных тарифов на тепловую энергию для потребителей ООО «Тепло Людям. Южа» (от котельных в г. Южа) на 2025-2028 годы, изложив приложение 2 к постановлению Департамента энергетики и тарифов Ивановской области от 24.11.2023 № 46-т/3 в новой редакции:</w:t>
      </w:r>
    </w:p>
    <w:p w14:paraId="3DC97D07" w14:textId="77777777" w:rsidR="006D73C0" w:rsidRDefault="006D73C0" w:rsidP="006D73C0">
      <w:pPr>
        <w:widowControl/>
        <w:tabs>
          <w:tab w:val="left" w:pos="851"/>
        </w:tabs>
        <w:autoSpaceDE w:val="0"/>
        <w:autoSpaceDN w:val="0"/>
        <w:adjustRightInd w:val="0"/>
        <w:jc w:val="both"/>
        <w:rPr>
          <w:kern w:val="16"/>
          <w:sz w:val="22"/>
          <w:szCs w:val="22"/>
        </w:rPr>
      </w:pPr>
    </w:p>
    <w:p w14:paraId="20A440DF" w14:textId="77777777" w:rsidR="00E97F0A" w:rsidRPr="002944CA" w:rsidRDefault="00E97F0A" w:rsidP="00E97F0A">
      <w:pPr>
        <w:widowControl/>
        <w:autoSpaceDE w:val="0"/>
        <w:autoSpaceDN w:val="0"/>
        <w:adjustRightInd w:val="0"/>
        <w:ind w:left="5954" w:right="-283" w:hanging="2268"/>
        <w:rPr>
          <w:sz w:val="22"/>
          <w:szCs w:val="22"/>
        </w:rPr>
      </w:pPr>
      <w:r w:rsidRPr="002944CA">
        <w:rPr>
          <w:sz w:val="22"/>
          <w:szCs w:val="22"/>
        </w:rPr>
        <w:t>Приложение 2 к постановлению Департамента энергетики и тарифов</w:t>
      </w:r>
    </w:p>
    <w:p w14:paraId="58597351" w14:textId="77777777" w:rsidR="00E97F0A" w:rsidRPr="002944CA" w:rsidRDefault="00E97F0A" w:rsidP="00E97F0A">
      <w:pPr>
        <w:widowControl/>
        <w:autoSpaceDE w:val="0"/>
        <w:autoSpaceDN w:val="0"/>
        <w:adjustRightInd w:val="0"/>
        <w:ind w:left="6096" w:right="-283" w:hanging="4680"/>
        <w:jc w:val="center"/>
        <w:rPr>
          <w:sz w:val="22"/>
          <w:szCs w:val="22"/>
        </w:rPr>
      </w:pPr>
      <w:r w:rsidRPr="002944CA">
        <w:rPr>
          <w:sz w:val="22"/>
          <w:szCs w:val="22"/>
        </w:rPr>
        <w:t xml:space="preserve">                                                                                    Ивановской области от 24.11.2023 № 46-т/3</w:t>
      </w:r>
    </w:p>
    <w:p w14:paraId="7AA9CF20" w14:textId="77777777" w:rsidR="00E97F0A" w:rsidRPr="002944CA" w:rsidRDefault="00E97F0A" w:rsidP="00E97F0A">
      <w:pPr>
        <w:widowControl/>
        <w:autoSpaceDE w:val="0"/>
        <w:autoSpaceDN w:val="0"/>
        <w:adjustRightInd w:val="0"/>
        <w:ind w:left="708" w:right="-283" w:firstLine="708"/>
        <w:jc w:val="right"/>
        <w:rPr>
          <w:sz w:val="22"/>
          <w:szCs w:val="22"/>
        </w:rPr>
      </w:pPr>
    </w:p>
    <w:p w14:paraId="5F7C039F" w14:textId="77777777" w:rsidR="00E97F0A" w:rsidRPr="002944CA" w:rsidRDefault="00E97F0A" w:rsidP="00E97F0A">
      <w:pPr>
        <w:widowControl/>
        <w:autoSpaceDE w:val="0"/>
        <w:autoSpaceDN w:val="0"/>
        <w:adjustRightInd w:val="0"/>
        <w:ind w:left="708" w:right="-283" w:firstLine="708"/>
        <w:jc w:val="right"/>
        <w:rPr>
          <w:sz w:val="22"/>
          <w:szCs w:val="22"/>
        </w:rPr>
      </w:pPr>
    </w:p>
    <w:p w14:paraId="33A3D47D" w14:textId="77777777" w:rsidR="00E97F0A" w:rsidRPr="002944CA" w:rsidRDefault="00E97F0A" w:rsidP="00E97F0A">
      <w:pPr>
        <w:widowControl/>
        <w:autoSpaceDE w:val="0"/>
        <w:autoSpaceDN w:val="0"/>
        <w:adjustRightInd w:val="0"/>
        <w:jc w:val="center"/>
        <w:rPr>
          <w:b/>
          <w:bCs/>
          <w:sz w:val="22"/>
          <w:szCs w:val="22"/>
        </w:rPr>
      </w:pPr>
      <w:bookmarkStart w:id="2" w:name="_Hlk83393686"/>
      <w:r w:rsidRPr="002944CA">
        <w:rPr>
          <w:b/>
          <w:bCs/>
          <w:sz w:val="22"/>
          <w:szCs w:val="22"/>
        </w:rPr>
        <w:t>Льготные тарифы на тепловую энергию (мощность), поставляемую потребителям</w:t>
      </w:r>
    </w:p>
    <w:p w14:paraId="2F1B7E34" w14:textId="77777777" w:rsidR="00E97F0A" w:rsidRPr="002944CA" w:rsidRDefault="00E97F0A" w:rsidP="00E97F0A">
      <w:pPr>
        <w:widowControl/>
        <w:autoSpaceDE w:val="0"/>
        <w:autoSpaceDN w:val="0"/>
        <w:adjustRightInd w:val="0"/>
        <w:jc w:val="center"/>
        <w:rPr>
          <w:b/>
          <w:bCs/>
          <w:sz w:val="22"/>
          <w:szCs w:val="22"/>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134"/>
        <w:gridCol w:w="709"/>
        <w:gridCol w:w="1418"/>
        <w:gridCol w:w="1417"/>
        <w:gridCol w:w="546"/>
        <w:gridCol w:w="720"/>
        <w:gridCol w:w="720"/>
        <w:gridCol w:w="540"/>
        <w:gridCol w:w="720"/>
      </w:tblGrid>
      <w:tr w:rsidR="00E97F0A" w:rsidRPr="002944CA" w14:paraId="0A8CB911" w14:textId="77777777" w:rsidTr="000D779C">
        <w:trPr>
          <w:trHeight w:val="346"/>
        </w:trPr>
        <w:tc>
          <w:tcPr>
            <w:tcW w:w="474" w:type="dxa"/>
            <w:vMerge w:val="restart"/>
            <w:shd w:val="clear" w:color="auto" w:fill="auto"/>
            <w:vAlign w:val="center"/>
          </w:tcPr>
          <w:p w14:paraId="4CC54C9C" w14:textId="77777777" w:rsidR="00E97F0A" w:rsidRPr="002944CA" w:rsidRDefault="00E97F0A" w:rsidP="000D779C">
            <w:pPr>
              <w:widowControl/>
              <w:jc w:val="center"/>
              <w:rPr>
                <w:sz w:val="22"/>
                <w:szCs w:val="22"/>
              </w:rPr>
            </w:pPr>
            <w:r w:rsidRPr="002944CA">
              <w:rPr>
                <w:sz w:val="22"/>
                <w:szCs w:val="22"/>
              </w:rPr>
              <w:t>№ п/п</w:t>
            </w:r>
          </w:p>
        </w:tc>
        <w:tc>
          <w:tcPr>
            <w:tcW w:w="1902" w:type="dxa"/>
            <w:vMerge w:val="restart"/>
            <w:shd w:val="clear" w:color="auto" w:fill="auto"/>
            <w:vAlign w:val="center"/>
          </w:tcPr>
          <w:p w14:paraId="4818CD98" w14:textId="77777777" w:rsidR="00E97F0A" w:rsidRPr="002944CA" w:rsidRDefault="00E97F0A" w:rsidP="000D779C">
            <w:pPr>
              <w:widowControl/>
              <w:jc w:val="center"/>
              <w:rPr>
                <w:sz w:val="22"/>
                <w:szCs w:val="22"/>
              </w:rPr>
            </w:pPr>
            <w:r w:rsidRPr="002944CA">
              <w:rPr>
                <w:sz w:val="22"/>
                <w:szCs w:val="22"/>
              </w:rPr>
              <w:t>Наименование регулируемой организации</w:t>
            </w:r>
          </w:p>
        </w:tc>
        <w:tc>
          <w:tcPr>
            <w:tcW w:w="1134" w:type="dxa"/>
            <w:vMerge w:val="restart"/>
            <w:shd w:val="clear" w:color="auto" w:fill="auto"/>
            <w:noWrap/>
            <w:vAlign w:val="center"/>
          </w:tcPr>
          <w:p w14:paraId="7A9420A6" w14:textId="77777777" w:rsidR="00E97F0A" w:rsidRPr="002944CA" w:rsidRDefault="00E97F0A" w:rsidP="000D779C">
            <w:pPr>
              <w:widowControl/>
              <w:jc w:val="center"/>
              <w:rPr>
                <w:sz w:val="22"/>
                <w:szCs w:val="22"/>
              </w:rPr>
            </w:pPr>
            <w:r w:rsidRPr="002944CA">
              <w:rPr>
                <w:sz w:val="22"/>
                <w:szCs w:val="22"/>
              </w:rPr>
              <w:t>Вид тарифа</w:t>
            </w:r>
          </w:p>
        </w:tc>
        <w:tc>
          <w:tcPr>
            <w:tcW w:w="709" w:type="dxa"/>
            <w:vMerge w:val="restart"/>
            <w:shd w:val="clear" w:color="auto" w:fill="auto"/>
            <w:noWrap/>
            <w:vAlign w:val="center"/>
          </w:tcPr>
          <w:p w14:paraId="1FB577BE" w14:textId="77777777" w:rsidR="00E97F0A" w:rsidRPr="002944CA" w:rsidRDefault="00E97F0A" w:rsidP="000D779C">
            <w:pPr>
              <w:widowControl/>
              <w:jc w:val="center"/>
              <w:rPr>
                <w:sz w:val="22"/>
                <w:szCs w:val="22"/>
              </w:rPr>
            </w:pPr>
            <w:r w:rsidRPr="002944CA">
              <w:rPr>
                <w:sz w:val="22"/>
                <w:szCs w:val="22"/>
              </w:rPr>
              <w:t>Год</w:t>
            </w:r>
          </w:p>
        </w:tc>
        <w:tc>
          <w:tcPr>
            <w:tcW w:w="2835" w:type="dxa"/>
            <w:gridSpan w:val="2"/>
            <w:shd w:val="clear" w:color="auto" w:fill="auto"/>
            <w:noWrap/>
            <w:vAlign w:val="center"/>
          </w:tcPr>
          <w:p w14:paraId="0FBF7C2F" w14:textId="77777777" w:rsidR="00E97F0A" w:rsidRPr="002944CA" w:rsidRDefault="00E97F0A" w:rsidP="000D779C">
            <w:pPr>
              <w:widowControl/>
              <w:jc w:val="center"/>
              <w:rPr>
                <w:sz w:val="22"/>
                <w:szCs w:val="22"/>
              </w:rPr>
            </w:pPr>
            <w:r w:rsidRPr="002944CA">
              <w:rPr>
                <w:sz w:val="22"/>
                <w:szCs w:val="22"/>
              </w:rPr>
              <w:t>Вода</w:t>
            </w:r>
          </w:p>
        </w:tc>
        <w:tc>
          <w:tcPr>
            <w:tcW w:w="2526" w:type="dxa"/>
            <w:gridSpan w:val="4"/>
            <w:shd w:val="clear" w:color="auto" w:fill="auto"/>
            <w:noWrap/>
            <w:vAlign w:val="center"/>
          </w:tcPr>
          <w:p w14:paraId="400BC77A" w14:textId="77777777" w:rsidR="00E97F0A" w:rsidRPr="002944CA" w:rsidRDefault="00E97F0A" w:rsidP="000D779C">
            <w:pPr>
              <w:widowControl/>
              <w:jc w:val="center"/>
              <w:rPr>
                <w:sz w:val="22"/>
                <w:szCs w:val="22"/>
              </w:rPr>
            </w:pPr>
            <w:r w:rsidRPr="002944CA">
              <w:rPr>
                <w:sz w:val="22"/>
                <w:szCs w:val="22"/>
              </w:rPr>
              <w:t>Отборный пар давлением</w:t>
            </w:r>
          </w:p>
        </w:tc>
        <w:tc>
          <w:tcPr>
            <w:tcW w:w="720" w:type="dxa"/>
            <w:vMerge w:val="restart"/>
            <w:shd w:val="clear" w:color="auto" w:fill="auto"/>
            <w:vAlign w:val="center"/>
          </w:tcPr>
          <w:p w14:paraId="1EF07A33" w14:textId="77777777" w:rsidR="00E97F0A" w:rsidRPr="002944CA" w:rsidRDefault="00E97F0A" w:rsidP="000D779C">
            <w:pPr>
              <w:widowControl/>
              <w:jc w:val="center"/>
              <w:rPr>
                <w:sz w:val="22"/>
                <w:szCs w:val="22"/>
              </w:rPr>
            </w:pPr>
            <w:r w:rsidRPr="002944CA">
              <w:rPr>
                <w:sz w:val="22"/>
                <w:szCs w:val="22"/>
              </w:rPr>
              <w:t>Острый и редуцированный пар</w:t>
            </w:r>
          </w:p>
        </w:tc>
      </w:tr>
      <w:tr w:rsidR="00E97F0A" w:rsidRPr="002944CA" w14:paraId="54A5F74E" w14:textId="77777777" w:rsidTr="000D779C">
        <w:trPr>
          <w:trHeight w:val="1112"/>
        </w:trPr>
        <w:tc>
          <w:tcPr>
            <w:tcW w:w="474" w:type="dxa"/>
            <w:vMerge/>
            <w:shd w:val="clear" w:color="auto" w:fill="auto"/>
            <w:noWrap/>
            <w:vAlign w:val="center"/>
          </w:tcPr>
          <w:p w14:paraId="53A4800A" w14:textId="77777777" w:rsidR="00E97F0A" w:rsidRPr="002944CA" w:rsidRDefault="00E97F0A" w:rsidP="000D779C">
            <w:pPr>
              <w:widowControl/>
              <w:jc w:val="center"/>
              <w:rPr>
                <w:sz w:val="22"/>
                <w:szCs w:val="22"/>
              </w:rPr>
            </w:pPr>
          </w:p>
        </w:tc>
        <w:tc>
          <w:tcPr>
            <w:tcW w:w="1902" w:type="dxa"/>
            <w:vMerge/>
            <w:shd w:val="clear" w:color="auto" w:fill="auto"/>
            <w:vAlign w:val="center"/>
          </w:tcPr>
          <w:p w14:paraId="68D0E8AE" w14:textId="77777777" w:rsidR="00E97F0A" w:rsidRPr="002944CA" w:rsidRDefault="00E97F0A" w:rsidP="000D779C">
            <w:pPr>
              <w:widowControl/>
              <w:rPr>
                <w:sz w:val="22"/>
                <w:szCs w:val="22"/>
              </w:rPr>
            </w:pPr>
          </w:p>
        </w:tc>
        <w:tc>
          <w:tcPr>
            <w:tcW w:w="1134" w:type="dxa"/>
            <w:vMerge/>
            <w:shd w:val="clear" w:color="auto" w:fill="auto"/>
            <w:noWrap/>
            <w:vAlign w:val="center"/>
          </w:tcPr>
          <w:p w14:paraId="317B4E60" w14:textId="77777777" w:rsidR="00E97F0A" w:rsidRPr="002944CA" w:rsidRDefault="00E97F0A" w:rsidP="000D779C">
            <w:pPr>
              <w:widowControl/>
              <w:jc w:val="center"/>
              <w:rPr>
                <w:sz w:val="22"/>
                <w:szCs w:val="22"/>
              </w:rPr>
            </w:pPr>
          </w:p>
        </w:tc>
        <w:tc>
          <w:tcPr>
            <w:tcW w:w="709" w:type="dxa"/>
            <w:vMerge/>
            <w:shd w:val="clear" w:color="auto" w:fill="auto"/>
            <w:noWrap/>
            <w:vAlign w:val="center"/>
          </w:tcPr>
          <w:p w14:paraId="627A99AE" w14:textId="77777777" w:rsidR="00E97F0A" w:rsidRPr="002944CA" w:rsidRDefault="00E97F0A" w:rsidP="000D779C">
            <w:pPr>
              <w:widowControl/>
              <w:jc w:val="center"/>
              <w:rPr>
                <w:sz w:val="22"/>
                <w:szCs w:val="22"/>
              </w:rPr>
            </w:pPr>
          </w:p>
        </w:tc>
        <w:tc>
          <w:tcPr>
            <w:tcW w:w="1418" w:type="dxa"/>
            <w:shd w:val="clear" w:color="auto" w:fill="auto"/>
            <w:noWrap/>
            <w:vAlign w:val="center"/>
          </w:tcPr>
          <w:p w14:paraId="14669C21" w14:textId="77777777" w:rsidR="00E97F0A" w:rsidRPr="002944CA" w:rsidRDefault="00E97F0A" w:rsidP="000D779C">
            <w:pPr>
              <w:widowControl/>
              <w:jc w:val="center"/>
            </w:pPr>
            <w:r w:rsidRPr="002944CA">
              <w:t>1 полугодие</w:t>
            </w:r>
          </w:p>
        </w:tc>
        <w:tc>
          <w:tcPr>
            <w:tcW w:w="1417" w:type="dxa"/>
            <w:shd w:val="clear" w:color="auto" w:fill="auto"/>
            <w:vAlign w:val="center"/>
          </w:tcPr>
          <w:p w14:paraId="3F805164" w14:textId="77777777" w:rsidR="00E97F0A" w:rsidRPr="002944CA" w:rsidRDefault="00E97F0A" w:rsidP="000D779C">
            <w:pPr>
              <w:widowControl/>
              <w:jc w:val="center"/>
            </w:pPr>
            <w:r w:rsidRPr="002944CA">
              <w:t xml:space="preserve">2 полугодие </w:t>
            </w:r>
          </w:p>
        </w:tc>
        <w:tc>
          <w:tcPr>
            <w:tcW w:w="546" w:type="dxa"/>
            <w:shd w:val="clear" w:color="auto" w:fill="auto"/>
            <w:vAlign w:val="center"/>
          </w:tcPr>
          <w:p w14:paraId="38BF3408" w14:textId="77777777" w:rsidR="00E97F0A" w:rsidRPr="002944CA" w:rsidRDefault="00E97F0A" w:rsidP="000D779C">
            <w:pPr>
              <w:widowControl/>
              <w:jc w:val="center"/>
              <w:rPr>
                <w:sz w:val="22"/>
                <w:szCs w:val="22"/>
              </w:rPr>
            </w:pPr>
            <w:r w:rsidRPr="002944CA">
              <w:rPr>
                <w:sz w:val="22"/>
                <w:szCs w:val="22"/>
              </w:rPr>
              <w:t>от 1,2 до 2,5 кг/</w:t>
            </w:r>
          </w:p>
          <w:p w14:paraId="1A3BF46B" w14:textId="77777777" w:rsidR="00E97F0A" w:rsidRPr="002944CA" w:rsidRDefault="00E97F0A" w:rsidP="000D779C">
            <w:pPr>
              <w:widowControl/>
              <w:jc w:val="center"/>
              <w:rPr>
                <w:sz w:val="22"/>
                <w:szCs w:val="22"/>
              </w:rPr>
            </w:pPr>
            <w:r w:rsidRPr="002944CA">
              <w:rPr>
                <w:sz w:val="22"/>
                <w:szCs w:val="22"/>
              </w:rPr>
              <w:t>см</w:t>
            </w:r>
            <w:r w:rsidRPr="002944CA">
              <w:rPr>
                <w:sz w:val="22"/>
                <w:szCs w:val="22"/>
                <w:vertAlign w:val="superscript"/>
              </w:rPr>
              <w:t>2</w:t>
            </w:r>
          </w:p>
        </w:tc>
        <w:tc>
          <w:tcPr>
            <w:tcW w:w="720" w:type="dxa"/>
            <w:vAlign w:val="center"/>
          </w:tcPr>
          <w:p w14:paraId="091C7ABA" w14:textId="77777777" w:rsidR="00E97F0A" w:rsidRPr="002944CA" w:rsidRDefault="00E97F0A" w:rsidP="000D779C">
            <w:pPr>
              <w:widowControl/>
              <w:jc w:val="center"/>
              <w:rPr>
                <w:sz w:val="22"/>
                <w:szCs w:val="22"/>
              </w:rPr>
            </w:pPr>
            <w:r w:rsidRPr="002944CA">
              <w:rPr>
                <w:sz w:val="22"/>
                <w:szCs w:val="22"/>
              </w:rPr>
              <w:t>от 2,5 до 7,0 кг/см</w:t>
            </w:r>
            <w:r w:rsidRPr="002944CA">
              <w:rPr>
                <w:sz w:val="22"/>
                <w:szCs w:val="22"/>
                <w:vertAlign w:val="superscript"/>
              </w:rPr>
              <w:t>2</w:t>
            </w:r>
          </w:p>
        </w:tc>
        <w:tc>
          <w:tcPr>
            <w:tcW w:w="720" w:type="dxa"/>
            <w:vAlign w:val="center"/>
          </w:tcPr>
          <w:p w14:paraId="249CDA7C" w14:textId="77777777" w:rsidR="00E97F0A" w:rsidRPr="002944CA" w:rsidRDefault="00E97F0A" w:rsidP="000D779C">
            <w:pPr>
              <w:widowControl/>
              <w:jc w:val="center"/>
              <w:rPr>
                <w:sz w:val="22"/>
                <w:szCs w:val="22"/>
              </w:rPr>
            </w:pPr>
            <w:r w:rsidRPr="002944CA">
              <w:rPr>
                <w:sz w:val="22"/>
                <w:szCs w:val="22"/>
              </w:rPr>
              <w:t>от 7,0 до 13,0 кг/</w:t>
            </w:r>
          </w:p>
          <w:p w14:paraId="30768144" w14:textId="77777777" w:rsidR="00E97F0A" w:rsidRPr="002944CA" w:rsidRDefault="00E97F0A" w:rsidP="000D779C">
            <w:pPr>
              <w:widowControl/>
              <w:jc w:val="center"/>
              <w:rPr>
                <w:sz w:val="22"/>
                <w:szCs w:val="22"/>
              </w:rPr>
            </w:pPr>
            <w:r w:rsidRPr="002944CA">
              <w:rPr>
                <w:sz w:val="22"/>
                <w:szCs w:val="22"/>
              </w:rPr>
              <w:t>см</w:t>
            </w:r>
            <w:r w:rsidRPr="002944CA">
              <w:rPr>
                <w:sz w:val="22"/>
                <w:szCs w:val="22"/>
                <w:vertAlign w:val="superscript"/>
              </w:rPr>
              <w:t>2</w:t>
            </w:r>
          </w:p>
        </w:tc>
        <w:tc>
          <w:tcPr>
            <w:tcW w:w="540" w:type="dxa"/>
            <w:vAlign w:val="center"/>
          </w:tcPr>
          <w:p w14:paraId="4D49ECB6" w14:textId="77777777" w:rsidR="00E97F0A" w:rsidRPr="002944CA" w:rsidRDefault="00E97F0A" w:rsidP="000D779C">
            <w:pPr>
              <w:widowControl/>
              <w:ind w:right="-108" w:hanging="109"/>
              <w:jc w:val="center"/>
              <w:rPr>
                <w:sz w:val="22"/>
                <w:szCs w:val="22"/>
              </w:rPr>
            </w:pPr>
            <w:r w:rsidRPr="002944CA">
              <w:rPr>
                <w:sz w:val="22"/>
                <w:szCs w:val="22"/>
              </w:rPr>
              <w:t>Свыше 13,0 кг/</w:t>
            </w:r>
          </w:p>
          <w:p w14:paraId="280AE83F" w14:textId="77777777" w:rsidR="00E97F0A" w:rsidRPr="002944CA" w:rsidRDefault="00E97F0A" w:rsidP="000D779C">
            <w:pPr>
              <w:widowControl/>
              <w:jc w:val="center"/>
              <w:rPr>
                <w:sz w:val="22"/>
                <w:szCs w:val="22"/>
              </w:rPr>
            </w:pPr>
            <w:r w:rsidRPr="002944CA">
              <w:rPr>
                <w:sz w:val="22"/>
                <w:szCs w:val="22"/>
              </w:rPr>
              <w:t>см</w:t>
            </w:r>
            <w:r w:rsidRPr="002944CA">
              <w:rPr>
                <w:sz w:val="22"/>
                <w:szCs w:val="22"/>
                <w:vertAlign w:val="superscript"/>
              </w:rPr>
              <w:t>2</w:t>
            </w:r>
          </w:p>
        </w:tc>
        <w:tc>
          <w:tcPr>
            <w:tcW w:w="720" w:type="dxa"/>
            <w:vMerge/>
            <w:shd w:val="clear" w:color="auto" w:fill="auto"/>
            <w:vAlign w:val="center"/>
          </w:tcPr>
          <w:p w14:paraId="457C8277" w14:textId="77777777" w:rsidR="00E97F0A" w:rsidRPr="002944CA" w:rsidRDefault="00E97F0A" w:rsidP="000D779C">
            <w:pPr>
              <w:widowControl/>
              <w:jc w:val="center"/>
              <w:rPr>
                <w:sz w:val="22"/>
                <w:szCs w:val="22"/>
              </w:rPr>
            </w:pPr>
          </w:p>
        </w:tc>
      </w:tr>
      <w:tr w:rsidR="00E97F0A" w:rsidRPr="002944CA" w14:paraId="5FDB6D3B" w14:textId="77777777" w:rsidTr="000D779C">
        <w:trPr>
          <w:trHeight w:val="300"/>
        </w:trPr>
        <w:tc>
          <w:tcPr>
            <w:tcW w:w="10300" w:type="dxa"/>
            <w:gridSpan w:val="11"/>
            <w:shd w:val="clear" w:color="auto" w:fill="auto"/>
            <w:noWrap/>
            <w:vAlign w:val="center"/>
          </w:tcPr>
          <w:p w14:paraId="7E0D50A3" w14:textId="77777777" w:rsidR="00E97F0A" w:rsidRPr="002944CA" w:rsidRDefault="00E97F0A" w:rsidP="000D779C">
            <w:pPr>
              <w:widowControl/>
              <w:jc w:val="center"/>
              <w:rPr>
                <w:sz w:val="22"/>
                <w:szCs w:val="22"/>
              </w:rPr>
            </w:pPr>
            <w:r w:rsidRPr="002944CA">
              <w:rPr>
                <w:sz w:val="22"/>
                <w:szCs w:val="22"/>
              </w:rPr>
              <w:t>Для потребителей, в случае отсутствия дифференциации тарифов по схеме подключения</w:t>
            </w:r>
          </w:p>
        </w:tc>
      </w:tr>
      <w:tr w:rsidR="00E97F0A" w:rsidRPr="002944CA" w14:paraId="43308C60" w14:textId="77777777" w:rsidTr="000D779C">
        <w:trPr>
          <w:trHeight w:val="300"/>
        </w:trPr>
        <w:tc>
          <w:tcPr>
            <w:tcW w:w="10300" w:type="dxa"/>
            <w:gridSpan w:val="11"/>
            <w:shd w:val="clear" w:color="auto" w:fill="auto"/>
            <w:noWrap/>
            <w:vAlign w:val="center"/>
          </w:tcPr>
          <w:p w14:paraId="7FFA5F8C" w14:textId="77777777" w:rsidR="00E97F0A" w:rsidRPr="002944CA" w:rsidRDefault="00E97F0A" w:rsidP="000D779C">
            <w:pPr>
              <w:widowControl/>
              <w:jc w:val="center"/>
              <w:rPr>
                <w:sz w:val="22"/>
                <w:szCs w:val="22"/>
              </w:rPr>
            </w:pPr>
            <w:r w:rsidRPr="002944CA">
              <w:rPr>
                <w:sz w:val="22"/>
                <w:szCs w:val="22"/>
              </w:rPr>
              <w:t>Население (тарифы указываются с учетом НДС) *</w:t>
            </w:r>
          </w:p>
        </w:tc>
      </w:tr>
      <w:tr w:rsidR="00E97F0A" w:rsidRPr="002944CA" w14:paraId="742F615D" w14:textId="77777777" w:rsidTr="000D779C">
        <w:trPr>
          <w:trHeight w:val="340"/>
        </w:trPr>
        <w:tc>
          <w:tcPr>
            <w:tcW w:w="474" w:type="dxa"/>
            <w:vMerge w:val="restart"/>
            <w:shd w:val="clear" w:color="auto" w:fill="auto"/>
            <w:noWrap/>
            <w:vAlign w:val="center"/>
          </w:tcPr>
          <w:p w14:paraId="388604EF" w14:textId="77777777" w:rsidR="00E97F0A" w:rsidRPr="002944CA" w:rsidRDefault="00E97F0A" w:rsidP="000D779C">
            <w:pPr>
              <w:jc w:val="center"/>
              <w:rPr>
                <w:sz w:val="22"/>
                <w:szCs w:val="22"/>
              </w:rPr>
            </w:pPr>
            <w:r w:rsidRPr="002944CA">
              <w:rPr>
                <w:sz w:val="22"/>
                <w:szCs w:val="22"/>
              </w:rPr>
              <w:t>1.</w:t>
            </w:r>
          </w:p>
        </w:tc>
        <w:tc>
          <w:tcPr>
            <w:tcW w:w="1902" w:type="dxa"/>
            <w:vMerge w:val="restart"/>
            <w:shd w:val="clear" w:color="auto" w:fill="auto"/>
            <w:vAlign w:val="center"/>
          </w:tcPr>
          <w:p w14:paraId="0878184C" w14:textId="77777777" w:rsidR="00E97F0A" w:rsidRPr="002944CA" w:rsidRDefault="00E97F0A" w:rsidP="000D779C">
            <w:pPr>
              <w:widowControl/>
              <w:rPr>
                <w:sz w:val="22"/>
                <w:szCs w:val="22"/>
              </w:rPr>
            </w:pPr>
            <w:r w:rsidRPr="002944CA">
              <w:rPr>
                <w:sz w:val="22"/>
                <w:szCs w:val="22"/>
              </w:rPr>
              <w:t>ООО «Тепло Людям. Южа» (</w:t>
            </w:r>
            <w:r w:rsidRPr="002944CA">
              <w:rPr>
                <w:bCs/>
                <w:sz w:val="22"/>
                <w:szCs w:val="22"/>
              </w:rPr>
              <w:t>от котельных в г. Южа)</w:t>
            </w:r>
          </w:p>
        </w:tc>
        <w:tc>
          <w:tcPr>
            <w:tcW w:w="1134" w:type="dxa"/>
            <w:vMerge w:val="restart"/>
            <w:shd w:val="clear" w:color="auto" w:fill="auto"/>
            <w:vAlign w:val="center"/>
          </w:tcPr>
          <w:p w14:paraId="0248DC6D" w14:textId="77777777" w:rsidR="00E97F0A" w:rsidRPr="002944CA" w:rsidRDefault="00E97F0A" w:rsidP="000D779C">
            <w:pPr>
              <w:widowControl/>
              <w:jc w:val="center"/>
              <w:rPr>
                <w:sz w:val="22"/>
                <w:szCs w:val="22"/>
              </w:rPr>
            </w:pPr>
            <w:r w:rsidRPr="002944CA">
              <w:rPr>
                <w:sz w:val="22"/>
                <w:szCs w:val="22"/>
              </w:rPr>
              <w:t>Одноставочный, руб./Гкал</w:t>
            </w:r>
          </w:p>
        </w:tc>
        <w:tc>
          <w:tcPr>
            <w:tcW w:w="709" w:type="dxa"/>
            <w:shd w:val="clear" w:color="auto" w:fill="auto"/>
            <w:noWrap/>
            <w:vAlign w:val="center"/>
          </w:tcPr>
          <w:p w14:paraId="403CF9A5" w14:textId="77777777" w:rsidR="00E97F0A" w:rsidRPr="002944CA" w:rsidRDefault="00E97F0A" w:rsidP="000D779C">
            <w:pPr>
              <w:jc w:val="center"/>
              <w:rPr>
                <w:sz w:val="22"/>
                <w:szCs w:val="22"/>
              </w:rPr>
            </w:pPr>
            <w:r w:rsidRPr="002944CA">
              <w:rPr>
                <w:sz w:val="22"/>
                <w:szCs w:val="22"/>
              </w:rPr>
              <w:t>2024</w:t>
            </w:r>
          </w:p>
        </w:tc>
        <w:tc>
          <w:tcPr>
            <w:tcW w:w="1418" w:type="dxa"/>
            <w:shd w:val="clear" w:color="auto" w:fill="auto"/>
            <w:noWrap/>
            <w:vAlign w:val="center"/>
          </w:tcPr>
          <w:p w14:paraId="7E4203AF" w14:textId="77777777" w:rsidR="00E97F0A" w:rsidRPr="00CB032B" w:rsidRDefault="00E97F0A" w:rsidP="000D779C">
            <w:pPr>
              <w:widowControl/>
              <w:jc w:val="center"/>
              <w:rPr>
                <w:color w:val="000000"/>
                <w:sz w:val="22"/>
                <w:szCs w:val="22"/>
              </w:rPr>
            </w:pPr>
            <w:r w:rsidRPr="00CB032B">
              <w:rPr>
                <w:color w:val="000000"/>
                <w:sz w:val="22"/>
                <w:szCs w:val="22"/>
              </w:rPr>
              <w:t xml:space="preserve">3 117,48 </w:t>
            </w:r>
            <w:r w:rsidRPr="00CB032B">
              <w:rPr>
                <w:color w:val="000000"/>
                <w:sz w:val="22"/>
                <w:szCs w:val="22"/>
                <w:vertAlign w:val="superscript"/>
              </w:rPr>
              <w:t>1</w:t>
            </w:r>
          </w:p>
        </w:tc>
        <w:tc>
          <w:tcPr>
            <w:tcW w:w="1417" w:type="dxa"/>
            <w:shd w:val="clear" w:color="auto" w:fill="auto"/>
            <w:vAlign w:val="center"/>
          </w:tcPr>
          <w:p w14:paraId="45945220" w14:textId="77777777" w:rsidR="00E97F0A" w:rsidRPr="00CB032B" w:rsidRDefault="00E97F0A" w:rsidP="000D779C">
            <w:pPr>
              <w:widowControl/>
              <w:jc w:val="center"/>
              <w:rPr>
                <w:color w:val="000000"/>
                <w:sz w:val="22"/>
                <w:szCs w:val="22"/>
              </w:rPr>
            </w:pPr>
            <w:r w:rsidRPr="00CB032B">
              <w:rPr>
                <w:color w:val="000000"/>
                <w:sz w:val="22"/>
                <w:szCs w:val="22"/>
              </w:rPr>
              <w:t xml:space="preserve">3 486,57 </w:t>
            </w:r>
            <w:r w:rsidRPr="00CB032B">
              <w:rPr>
                <w:color w:val="000000"/>
                <w:sz w:val="22"/>
                <w:szCs w:val="22"/>
                <w:vertAlign w:val="superscript"/>
              </w:rPr>
              <w:t>2</w:t>
            </w:r>
          </w:p>
        </w:tc>
        <w:tc>
          <w:tcPr>
            <w:tcW w:w="546" w:type="dxa"/>
            <w:shd w:val="clear" w:color="auto" w:fill="auto"/>
            <w:noWrap/>
            <w:vAlign w:val="center"/>
          </w:tcPr>
          <w:p w14:paraId="661F71B6" w14:textId="77777777" w:rsidR="00E97F0A" w:rsidRPr="002944CA" w:rsidRDefault="00E97F0A" w:rsidP="000D779C">
            <w:pPr>
              <w:widowControl/>
              <w:jc w:val="center"/>
              <w:rPr>
                <w:sz w:val="22"/>
                <w:szCs w:val="22"/>
              </w:rPr>
            </w:pPr>
            <w:r w:rsidRPr="002944CA">
              <w:rPr>
                <w:sz w:val="22"/>
                <w:szCs w:val="22"/>
              </w:rPr>
              <w:t>-</w:t>
            </w:r>
          </w:p>
        </w:tc>
        <w:tc>
          <w:tcPr>
            <w:tcW w:w="720" w:type="dxa"/>
            <w:vAlign w:val="center"/>
          </w:tcPr>
          <w:p w14:paraId="5F5A3605" w14:textId="77777777" w:rsidR="00E97F0A" w:rsidRPr="002944CA" w:rsidRDefault="00E97F0A" w:rsidP="000D779C">
            <w:pPr>
              <w:widowControl/>
              <w:jc w:val="center"/>
              <w:rPr>
                <w:sz w:val="22"/>
                <w:szCs w:val="22"/>
              </w:rPr>
            </w:pPr>
            <w:r w:rsidRPr="002944CA">
              <w:rPr>
                <w:sz w:val="22"/>
                <w:szCs w:val="22"/>
              </w:rPr>
              <w:t>-</w:t>
            </w:r>
          </w:p>
        </w:tc>
        <w:tc>
          <w:tcPr>
            <w:tcW w:w="720" w:type="dxa"/>
            <w:vAlign w:val="center"/>
          </w:tcPr>
          <w:p w14:paraId="22D75508" w14:textId="77777777" w:rsidR="00E97F0A" w:rsidRPr="002944CA" w:rsidRDefault="00E97F0A" w:rsidP="000D779C">
            <w:pPr>
              <w:widowControl/>
              <w:jc w:val="center"/>
              <w:rPr>
                <w:sz w:val="22"/>
                <w:szCs w:val="22"/>
              </w:rPr>
            </w:pPr>
            <w:r w:rsidRPr="002944CA">
              <w:rPr>
                <w:sz w:val="22"/>
                <w:szCs w:val="22"/>
              </w:rPr>
              <w:t>-</w:t>
            </w:r>
          </w:p>
        </w:tc>
        <w:tc>
          <w:tcPr>
            <w:tcW w:w="540" w:type="dxa"/>
            <w:vAlign w:val="center"/>
          </w:tcPr>
          <w:p w14:paraId="39E5C702" w14:textId="77777777" w:rsidR="00E97F0A" w:rsidRPr="002944CA" w:rsidRDefault="00E97F0A" w:rsidP="000D779C">
            <w:pPr>
              <w:widowControl/>
              <w:jc w:val="center"/>
              <w:rPr>
                <w:sz w:val="22"/>
                <w:szCs w:val="22"/>
              </w:rPr>
            </w:pPr>
            <w:r w:rsidRPr="002944CA">
              <w:rPr>
                <w:sz w:val="22"/>
                <w:szCs w:val="22"/>
              </w:rPr>
              <w:t>-</w:t>
            </w:r>
          </w:p>
        </w:tc>
        <w:tc>
          <w:tcPr>
            <w:tcW w:w="720" w:type="dxa"/>
            <w:shd w:val="clear" w:color="auto" w:fill="auto"/>
            <w:noWrap/>
            <w:vAlign w:val="center"/>
          </w:tcPr>
          <w:p w14:paraId="3F106CEC" w14:textId="77777777" w:rsidR="00E97F0A" w:rsidRPr="002944CA" w:rsidRDefault="00E97F0A" w:rsidP="000D779C">
            <w:pPr>
              <w:jc w:val="center"/>
              <w:rPr>
                <w:sz w:val="22"/>
                <w:szCs w:val="22"/>
              </w:rPr>
            </w:pPr>
            <w:r w:rsidRPr="002944CA">
              <w:rPr>
                <w:sz w:val="22"/>
                <w:szCs w:val="22"/>
              </w:rPr>
              <w:t>-</w:t>
            </w:r>
          </w:p>
        </w:tc>
      </w:tr>
      <w:tr w:rsidR="00E97F0A" w:rsidRPr="002944CA" w14:paraId="37D59117" w14:textId="77777777" w:rsidTr="000D779C">
        <w:trPr>
          <w:trHeight w:val="340"/>
        </w:trPr>
        <w:tc>
          <w:tcPr>
            <w:tcW w:w="474" w:type="dxa"/>
            <w:vMerge/>
            <w:shd w:val="clear" w:color="auto" w:fill="auto"/>
            <w:noWrap/>
            <w:vAlign w:val="center"/>
          </w:tcPr>
          <w:p w14:paraId="58B71F80" w14:textId="77777777" w:rsidR="00E97F0A" w:rsidRPr="002944CA" w:rsidRDefault="00E97F0A" w:rsidP="000D779C">
            <w:pPr>
              <w:jc w:val="center"/>
              <w:rPr>
                <w:sz w:val="22"/>
                <w:szCs w:val="22"/>
              </w:rPr>
            </w:pPr>
          </w:p>
        </w:tc>
        <w:tc>
          <w:tcPr>
            <w:tcW w:w="1902" w:type="dxa"/>
            <w:vMerge/>
            <w:shd w:val="clear" w:color="auto" w:fill="auto"/>
            <w:vAlign w:val="center"/>
          </w:tcPr>
          <w:p w14:paraId="04404EF1" w14:textId="77777777" w:rsidR="00E97F0A" w:rsidRPr="002944CA" w:rsidRDefault="00E97F0A" w:rsidP="000D779C">
            <w:pPr>
              <w:widowControl/>
              <w:rPr>
                <w:sz w:val="22"/>
                <w:szCs w:val="22"/>
              </w:rPr>
            </w:pPr>
          </w:p>
        </w:tc>
        <w:tc>
          <w:tcPr>
            <w:tcW w:w="1134" w:type="dxa"/>
            <w:vMerge/>
            <w:shd w:val="clear" w:color="auto" w:fill="auto"/>
            <w:vAlign w:val="center"/>
          </w:tcPr>
          <w:p w14:paraId="32211412" w14:textId="77777777" w:rsidR="00E97F0A" w:rsidRPr="002944CA" w:rsidRDefault="00E97F0A" w:rsidP="000D779C">
            <w:pPr>
              <w:widowControl/>
              <w:jc w:val="center"/>
              <w:rPr>
                <w:sz w:val="22"/>
                <w:szCs w:val="22"/>
              </w:rPr>
            </w:pPr>
          </w:p>
        </w:tc>
        <w:tc>
          <w:tcPr>
            <w:tcW w:w="709" w:type="dxa"/>
            <w:shd w:val="clear" w:color="auto" w:fill="auto"/>
            <w:noWrap/>
            <w:vAlign w:val="center"/>
          </w:tcPr>
          <w:p w14:paraId="3A0BC9EF" w14:textId="77777777" w:rsidR="00E97F0A" w:rsidRPr="002944CA" w:rsidRDefault="00E97F0A" w:rsidP="000D779C">
            <w:pPr>
              <w:jc w:val="center"/>
              <w:rPr>
                <w:sz w:val="22"/>
                <w:szCs w:val="22"/>
              </w:rPr>
            </w:pPr>
            <w:r w:rsidRPr="002944CA">
              <w:rPr>
                <w:sz w:val="22"/>
                <w:szCs w:val="22"/>
              </w:rPr>
              <w:t>2025</w:t>
            </w:r>
          </w:p>
        </w:tc>
        <w:tc>
          <w:tcPr>
            <w:tcW w:w="1418" w:type="dxa"/>
            <w:shd w:val="clear" w:color="auto" w:fill="auto"/>
            <w:noWrap/>
            <w:vAlign w:val="center"/>
          </w:tcPr>
          <w:p w14:paraId="714EB608" w14:textId="77777777" w:rsidR="00E97F0A" w:rsidRPr="00CB032B" w:rsidRDefault="00E97F0A" w:rsidP="000D779C">
            <w:pPr>
              <w:widowControl/>
              <w:jc w:val="center"/>
              <w:rPr>
                <w:color w:val="000000"/>
                <w:sz w:val="22"/>
                <w:szCs w:val="22"/>
              </w:rPr>
            </w:pPr>
            <w:r w:rsidRPr="00CB032B">
              <w:rPr>
                <w:color w:val="000000"/>
                <w:sz w:val="22"/>
                <w:szCs w:val="22"/>
              </w:rPr>
              <w:t xml:space="preserve">3 486,57 </w:t>
            </w:r>
            <w:r w:rsidRPr="00CB032B">
              <w:rPr>
                <w:color w:val="000000"/>
                <w:sz w:val="22"/>
                <w:szCs w:val="22"/>
                <w:vertAlign w:val="superscript"/>
              </w:rPr>
              <w:t>2</w:t>
            </w:r>
          </w:p>
        </w:tc>
        <w:tc>
          <w:tcPr>
            <w:tcW w:w="1417" w:type="dxa"/>
            <w:shd w:val="clear" w:color="auto" w:fill="auto"/>
            <w:vAlign w:val="center"/>
          </w:tcPr>
          <w:p w14:paraId="73AA336F" w14:textId="77777777" w:rsidR="00E97F0A" w:rsidRPr="00CB032B" w:rsidRDefault="00E97F0A" w:rsidP="000D779C">
            <w:pPr>
              <w:widowControl/>
              <w:jc w:val="center"/>
              <w:rPr>
                <w:color w:val="000000"/>
                <w:sz w:val="22"/>
                <w:szCs w:val="22"/>
              </w:rPr>
            </w:pPr>
            <w:r w:rsidRPr="00CB032B">
              <w:rPr>
                <w:color w:val="000000"/>
                <w:sz w:val="22"/>
                <w:szCs w:val="22"/>
              </w:rPr>
              <w:t xml:space="preserve">3 967,72 </w:t>
            </w:r>
            <w:r w:rsidRPr="00CB032B">
              <w:rPr>
                <w:color w:val="000000"/>
                <w:sz w:val="22"/>
                <w:szCs w:val="22"/>
                <w:vertAlign w:val="superscript"/>
              </w:rPr>
              <w:t>3</w:t>
            </w:r>
          </w:p>
        </w:tc>
        <w:tc>
          <w:tcPr>
            <w:tcW w:w="546" w:type="dxa"/>
            <w:shd w:val="clear" w:color="auto" w:fill="auto"/>
            <w:noWrap/>
            <w:vAlign w:val="center"/>
          </w:tcPr>
          <w:p w14:paraId="63842421" w14:textId="77777777" w:rsidR="00E97F0A" w:rsidRPr="002944CA" w:rsidRDefault="00E97F0A" w:rsidP="000D779C">
            <w:pPr>
              <w:widowControl/>
              <w:jc w:val="center"/>
              <w:rPr>
                <w:sz w:val="22"/>
                <w:szCs w:val="22"/>
              </w:rPr>
            </w:pPr>
            <w:r w:rsidRPr="002944CA">
              <w:rPr>
                <w:sz w:val="22"/>
                <w:szCs w:val="22"/>
              </w:rPr>
              <w:t>-</w:t>
            </w:r>
          </w:p>
        </w:tc>
        <w:tc>
          <w:tcPr>
            <w:tcW w:w="720" w:type="dxa"/>
            <w:vAlign w:val="center"/>
          </w:tcPr>
          <w:p w14:paraId="5F6AFB19" w14:textId="77777777" w:rsidR="00E97F0A" w:rsidRPr="002944CA" w:rsidRDefault="00E97F0A" w:rsidP="000D779C">
            <w:pPr>
              <w:widowControl/>
              <w:jc w:val="center"/>
              <w:rPr>
                <w:sz w:val="22"/>
                <w:szCs w:val="22"/>
              </w:rPr>
            </w:pPr>
            <w:r w:rsidRPr="002944CA">
              <w:rPr>
                <w:sz w:val="22"/>
                <w:szCs w:val="22"/>
              </w:rPr>
              <w:t>-</w:t>
            </w:r>
          </w:p>
        </w:tc>
        <w:tc>
          <w:tcPr>
            <w:tcW w:w="720" w:type="dxa"/>
            <w:vAlign w:val="center"/>
          </w:tcPr>
          <w:p w14:paraId="262FEA9D" w14:textId="77777777" w:rsidR="00E97F0A" w:rsidRPr="002944CA" w:rsidRDefault="00E97F0A" w:rsidP="000D779C">
            <w:pPr>
              <w:widowControl/>
              <w:jc w:val="center"/>
              <w:rPr>
                <w:sz w:val="22"/>
                <w:szCs w:val="22"/>
              </w:rPr>
            </w:pPr>
            <w:r w:rsidRPr="002944CA">
              <w:rPr>
                <w:sz w:val="22"/>
                <w:szCs w:val="22"/>
              </w:rPr>
              <w:t>-</w:t>
            </w:r>
          </w:p>
        </w:tc>
        <w:tc>
          <w:tcPr>
            <w:tcW w:w="540" w:type="dxa"/>
            <w:vAlign w:val="center"/>
          </w:tcPr>
          <w:p w14:paraId="17485E88" w14:textId="77777777" w:rsidR="00E97F0A" w:rsidRPr="002944CA" w:rsidRDefault="00E97F0A" w:rsidP="000D779C">
            <w:pPr>
              <w:widowControl/>
              <w:jc w:val="center"/>
              <w:rPr>
                <w:sz w:val="22"/>
                <w:szCs w:val="22"/>
              </w:rPr>
            </w:pPr>
            <w:r w:rsidRPr="002944CA">
              <w:rPr>
                <w:sz w:val="22"/>
                <w:szCs w:val="22"/>
              </w:rPr>
              <w:t>-</w:t>
            </w:r>
          </w:p>
        </w:tc>
        <w:tc>
          <w:tcPr>
            <w:tcW w:w="720" w:type="dxa"/>
            <w:shd w:val="clear" w:color="auto" w:fill="auto"/>
            <w:noWrap/>
            <w:vAlign w:val="center"/>
          </w:tcPr>
          <w:p w14:paraId="4E5F448C" w14:textId="77777777" w:rsidR="00E97F0A" w:rsidRPr="002944CA" w:rsidRDefault="00E97F0A" w:rsidP="000D779C">
            <w:pPr>
              <w:jc w:val="center"/>
              <w:rPr>
                <w:sz w:val="22"/>
                <w:szCs w:val="22"/>
              </w:rPr>
            </w:pPr>
            <w:r w:rsidRPr="002944CA">
              <w:rPr>
                <w:sz w:val="22"/>
                <w:szCs w:val="22"/>
              </w:rPr>
              <w:t>-</w:t>
            </w:r>
          </w:p>
        </w:tc>
      </w:tr>
      <w:tr w:rsidR="00E97F0A" w:rsidRPr="002944CA" w14:paraId="5B8275D5" w14:textId="77777777" w:rsidTr="000D779C">
        <w:trPr>
          <w:trHeight w:val="340"/>
        </w:trPr>
        <w:tc>
          <w:tcPr>
            <w:tcW w:w="474" w:type="dxa"/>
            <w:vMerge/>
            <w:shd w:val="clear" w:color="auto" w:fill="auto"/>
            <w:noWrap/>
            <w:vAlign w:val="center"/>
          </w:tcPr>
          <w:p w14:paraId="172BFE38" w14:textId="77777777" w:rsidR="00E97F0A" w:rsidRPr="002944CA" w:rsidRDefault="00E97F0A" w:rsidP="000D779C">
            <w:pPr>
              <w:jc w:val="center"/>
              <w:rPr>
                <w:sz w:val="22"/>
                <w:szCs w:val="22"/>
              </w:rPr>
            </w:pPr>
          </w:p>
        </w:tc>
        <w:tc>
          <w:tcPr>
            <w:tcW w:w="1902" w:type="dxa"/>
            <w:vMerge/>
            <w:shd w:val="clear" w:color="auto" w:fill="auto"/>
            <w:vAlign w:val="center"/>
          </w:tcPr>
          <w:p w14:paraId="0DC45C2D" w14:textId="77777777" w:rsidR="00E97F0A" w:rsidRPr="002944CA" w:rsidRDefault="00E97F0A" w:rsidP="000D779C">
            <w:pPr>
              <w:widowControl/>
              <w:rPr>
                <w:sz w:val="22"/>
                <w:szCs w:val="22"/>
              </w:rPr>
            </w:pPr>
          </w:p>
        </w:tc>
        <w:tc>
          <w:tcPr>
            <w:tcW w:w="1134" w:type="dxa"/>
            <w:vMerge/>
            <w:shd w:val="clear" w:color="auto" w:fill="auto"/>
            <w:vAlign w:val="center"/>
          </w:tcPr>
          <w:p w14:paraId="4110D5CE" w14:textId="77777777" w:rsidR="00E97F0A" w:rsidRPr="002944CA" w:rsidRDefault="00E97F0A" w:rsidP="000D779C">
            <w:pPr>
              <w:widowControl/>
              <w:jc w:val="center"/>
              <w:rPr>
                <w:sz w:val="22"/>
                <w:szCs w:val="22"/>
              </w:rPr>
            </w:pPr>
          </w:p>
        </w:tc>
        <w:tc>
          <w:tcPr>
            <w:tcW w:w="709" w:type="dxa"/>
            <w:shd w:val="clear" w:color="auto" w:fill="auto"/>
            <w:noWrap/>
            <w:vAlign w:val="center"/>
          </w:tcPr>
          <w:p w14:paraId="3DE7272A" w14:textId="77777777" w:rsidR="00E97F0A" w:rsidRPr="002944CA" w:rsidRDefault="00E97F0A" w:rsidP="000D779C">
            <w:pPr>
              <w:jc w:val="center"/>
              <w:rPr>
                <w:sz w:val="22"/>
                <w:szCs w:val="22"/>
              </w:rPr>
            </w:pPr>
            <w:r w:rsidRPr="002944CA">
              <w:rPr>
                <w:sz w:val="22"/>
                <w:szCs w:val="22"/>
              </w:rPr>
              <w:t>2026</w:t>
            </w:r>
          </w:p>
        </w:tc>
        <w:tc>
          <w:tcPr>
            <w:tcW w:w="1418" w:type="dxa"/>
            <w:shd w:val="clear" w:color="auto" w:fill="auto"/>
            <w:noWrap/>
            <w:vAlign w:val="center"/>
          </w:tcPr>
          <w:p w14:paraId="67D63C3D" w14:textId="77777777" w:rsidR="00E97F0A" w:rsidRPr="00CB032B" w:rsidRDefault="00E97F0A" w:rsidP="000D779C">
            <w:pPr>
              <w:widowControl/>
              <w:jc w:val="center"/>
              <w:rPr>
                <w:color w:val="000000"/>
                <w:sz w:val="22"/>
                <w:szCs w:val="22"/>
              </w:rPr>
            </w:pPr>
            <w:r w:rsidRPr="00CB032B">
              <w:rPr>
                <w:color w:val="000000"/>
                <w:sz w:val="22"/>
                <w:szCs w:val="22"/>
              </w:rPr>
              <w:t xml:space="preserve">3 967,72 </w:t>
            </w:r>
            <w:r w:rsidRPr="00CB032B">
              <w:rPr>
                <w:color w:val="000000"/>
                <w:sz w:val="22"/>
                <w:szCs w:val="22"/>
                <w:vertAlign w:val="superscript"/>
              </w:rPr>
              <w:t>3</w:t>
            </w:r>
          </w:p>
        </w:tc>
        <w:tc>
          <w:tcPr>
            <w:tcW w:w="1417" w:type="dxa"/>
            <w:shd w:val="clear" w:color="auto" w:fill="auto"/>
            <w:vAlign w:val="center"/>
          </w:tcPr>
          <w:p w14:paraId="20D1E307" w14:textId="77777777" w:rsidR="00E97F0A" w:rsidRPr="00CB032B" w:rsidRDefault="00E97F0A" w:rsidP="000D779C">
            <w:pPr>
              <w:widowControl/>
              <w:jc w:val="center"/>
              <w:rPr>
                <w:color w:val="000000"/>
                <w:sz w:val="22"/>
                <w:szCs w:val="22"/>
              </w:rPr>
            </w:pPr>
            <w:r w:rsidRPr="00CB032B">
              <w:rPr>
                <w:color w:val="000000"/>
                <w:sz w:val="22"/>
                <w:szCs w:val="22"/>
              </w:rPr>
              <w:t xml:space="preserve">4 181,98 </w:t>
            </w:r>
            <w:r w:rsidRPr="00CB032B">
              <w:rPr>
                <w:color w:val="000000"/>
                <w:sz w:val="22"/>
                <w:szCs w:val="22"/>
                <w:vertAlign w:val="superscript"/>
              </w:rPr>
              <w:t>4</w:t>
            </w:r>
          </w:p>
        </w:tc>
        <w:tc>
          <w:tcPr>
            <w:tcW w:w="546" w:type="dxa"/>
            <w:shd w:val="clear" w:color="auto" w:fill="auto"/>
            <w:noWrap/>
            <w:vAlign w:val="center"/>
          </w:tcPr>
          <w:p w14:paraId="2EFF487A" w14:textId="77777777" w:rsidR="00E97F0A" w:rsidRPr="002944CA" w:rsidRDefault="00E97F0A" w:rsidP="000D779C">
            <w:pPr>
              <w:widowControl/>
              <w:jc w:val="center"/>
              <w:rPr>
                <w:sz w:val="22"/>
                <w:szCs w:val="22"/>
              </w:rPr>
            </w:pPr>
            <w:r w:rsidRPr="002944CA">
              <w:rPr>
                <w:sz w:val="22"/>
                <w:szCs w:val="22"/>
              </w:rPr>
              <w:t>-</w:t>
            </w:r>
          </w:p>
        </w:tc>
        <w:tc>
          <w:tcPr>
            <w:tcW w:w="720" w:type="dxa"/>
            <w:vAlign w:val="center"/>
          </w:tcPr>
          <w:p w14:paraId="128C4E5C" w14:textId="77777777" w:rsidR="00E97F0A" w:rsidRPr="002944CA" w:rsidRDefault="00E97F0A" w:rsidP="000D779C">
            <w:pPr>
              <w:widowControl/>
              <w:jc w:val="center"/>
              <w:rPr>
                <w:sz w:val="22"/>
                <w:szCs w:val="22"/>
              </w:rPr>
            </w:pPr>
            <w:r w:rsidRPr="002944CA">
              <w:rPr>
                <w:sz w:val="22"/>
                <w:szCs w:val="22"/>
              </w:rPr>
              <w:t>-</w:t>
            </w:r>
          </w:p>
        </w:tc>
        <w:tc>
          <w:tcPr>
            <w:tcW w:w="720" w:type="dxa"/>
            <w:vAlign w:val="center"/>
          </w:tcPr>
          <w:p w14:paraId="2BA6D153" w14:textId="77777777" w:rsidR="00E97F0A" w:rsidRPr="002944CA" w:rsidRDefault="00E97F0A" w:rsidP="000D779C">
            <w:pPr>
              <w:widowControl/>
              <w:jc w:val="center"/>
              <w:rPr>
                <w:sz w:val="22"/>
                <w:szCs w:val="22"/>
              </w:rPr>
            </w:pPr>
            <w:r w:rsidRPr="002944CA">
              <w:rPr>
                <w:sz w:val="22"/>
                <w:szCs w:val="22"/>
              </w:rPr>
              <w:t>-</w:t>
            </w:r>
          </w:p>
        </w:tc>
        <w:tc>
          <w:tcPr>
            <w:tcW w:w="540" w:type="dxa"/>
            <w:vAlign w:val="center"/>
          </w:tcPr>
          <w:p w14:paraId="39B935F1" w14:textId="77777777" w:rsidR="00E97F0A" w:rsidRPr="002944CA" w:rsidRDefault="00E97F0A" w:rsidP="000D779C">
            <w:pPr>
              <w:widowControl/>
              <w:jc w:val="center"/>
              <w:rPr>
                <w:sz w:val="22"/>
                <w:szCs w:val="22"/>
              </w:rPr>
            </w:pPr>
            <w:r w:rsidRPr="002944CA">
              <w:rPr>
                <w:sz w:val="22"/>
                <w:szCs w:val="22"/>
              </w:rPr>
              <w:t>-</w:t>
            </w:r>
          </w:p>
        </w:tc>
        <w:tc>
          <w:tcPr>
            <w:tcW w:w="720" w:type="dxa"/>
            <w:shd w:val="clear" w:color="auto" w:fill="auto"/>
            <w:noWrap/>
            <w:vAlign w:val="center"/>
          </w:tcPr>
          <w:p w14:paraId="115741C2" w14:textId="77777777" w:rsidR="00E97F0A" w:rsidRPr="002944CA" w:rsidRDefault="00E97F0A" w:rsidP="000D779C">
            <w:pPr>
              <w:jc w:val="center"/>
              <w:rPr>
                <w:sz w:val="22"/>
                <w:szCs w:val="22"/>
              </w:rPr>
            </w:pPr>
            <w:r w:rsidRPr="002944CA">
              <w:rPr>
                <w:sz w:val="22"/>
                <w:szCs w:val="22"/>
              </w:rPr>
              <w:t>-</w:t>
            </w:r>
          </w:p>
        </w:tc>
      </w:tr>
      <w:tr w:rsidR="00E97F0A" w:rsidRPr="002944CA" w14:paraId="59C55F6E" w14:textId="77777777" w:rsidTr="000D779C">
        <w:trPr>
          <w:trHeight w:val="340"/>
        </w:trPr>
        <w:tc>
          <w:tcPr>
            <w:tcW w:w="474" w:type="dxa"/>
            <w:vMerge/>
            <w:shd w:val="clear" w:color="auto" w:fill="auto"/>
            <w:noWrap/>
            <w:vAlign w:val="center"/>
          </w:tcPr>
          <w:p w14:paraId="36EF5BB9" w14:textId="77777777" w:rsidR="00E97F0A" w:rsidRPr="002944CA" w:rsidRDefault="00E97F0A" w:rsidP="000D779C">
            <w:pPr>
              <w:jc w:val="center"/>
              <w:rPr>
                <w:sz w:val="22"/>
                <w:szCs w:val="22"/>
              </w:rPr>
            </w:pPr>
          </w:p>
        </w:tc>
        <w:tc>
          <w:tcPr>
            <w:tcW w:w="1902" w:type="dxa"/>
            <w:vMerge/>
            <w:shd w:val="clear" w:color="auto" w:fill="auto"/>
            <w:vAlign w:val="center"/>
          </w:tcPr>
          <w:p w14:paraId="179E9EE7" w14:textId="77777777" w:rsidR="00E97F0A" w:rsidRPr="002944CA" w:rsidRDefault="00E97F0A" w:rsidP="000D779C">
            <w:pPr>
              <w:widowControl/>
              <w:rPr>
                <w:sz w:val="22"/>
                <w:szCs w:val="22"/>
              </w:rPr>
            </w:pPr>
          </w:p>
        </w:tc>
        <w:tc>
          <w:tcPr>
            <w:tcW w:w="1134" w:type="dxa"/>
            <w:vMerge/>
            <w:shd w:val="clear" w:color="auto" w:fill="auto"/>
            <w:vAlign w:val="center"/>
          </w:tcPr>
          <w:p w14:paraId="3B42BD77" w14:textId="77777777" w:rsidR="00E97F0A" w:rsidRPr="002944CA" w:rsidRDefault="00E97F0A" w:rsidP="000D779C">
            <w:pPr>
              <w:widowControl/>
              <w:jc w:val="center"/>
              <w:rPr>
                <w:sz w:val="22"/>
                <w:szCs w:val="22"/>
              </w:rPr>
            </w:pPr>
          </w:p>
        </w:tc>
        <w:tc>
          <w:tcPr>
            <w:tcW w:w="709" w:type="dxa"/>
            <w:shd w:val="clear" w:color="auto" w:fill="auto"/>
            <w:noWrap/>
            <w:vAlign w:val="center"/>
          </w:tcPr>
          <w:p w14:paraId="0A6B44E4" w14:textId="77777777" w:rsidR="00E97F0A" w:rsidRPr="002944CA" w:rsidRDefault="00E97F0A" w:rsidP="000D779C">
            <w:pPr>
              <w:jc w:val="center"/>
              <w:rPr>
                <w:sz w:val="22"/>
                <w:szCs w:val="22"/>
              </w:rPr>
            </w:pPr>
            <w:r w:rsidRPr="002944CA">
              <w:rPr>
                <w:sz w:val="22"/>
                <w:szCs w:val="22"/>
              </w:rPr>
              <w:t>2027</w:t>
            </w:r>
          </w:p>
        </w:tc>
        <w:tc>
          <w:tcPr>
            <w:tcW w:w="1418" w:type="dxa"/>
            <w:shd w:val="clear" w:color="auto" w:fill="auto"/>
            <w:noWrap/>
            <w:vAlign w:val="center"/>
          </w:tcPr>
          <w:p w14:paraId="503E9D51" w14:textId="77777777" w:rsidR="00E97F0A" w:rsidRPr="00CB032B" w:rsidRDefault="00E97F0A" w:rsidP="000D779C">
            <w:pPr>
              <w:widowControl/>
              <w:jc w:val="center"/>
              <w:rPr>
                <w:color w:val="000000"/>
                <w:sz w:val="22"/>
                <w:szCs w:val="22"/>
              </w:rPr>
            </w:pPr>
            <w:r w:rsidRPr="00CB032B">
              <w:rPr>
                <w:color w:val="000000"/>
                <w:sz w:val="22"/>
                <w:szCs w:val="22"/>
              </w:rPr>
              <w:t xml:space="preserve">4 181,98 </w:t>
            </w:r>
            <w:r w:rsidRPr="00CB032B">
              <w:rPr>
                <w:color w:val="000000"/>
                <w:sz w:val="22"/>
                <w:szCs w:val="22"/>
                <w:vertAlign w:val="superscript"/>
              </w:rPr>
              <w:t>4</w:t>
            </w:r>
          </w:p>
        </w:tc>
        <w:tc>
          <w:tcPr>
            <w:tcW w:w="1417" w:type="dxa"/>
            <w:shd w:val="clear" w:color="auto" w:fill="auto"/>
            <w:vAlign w:val="center"/>
          </w:tcPr>
          <w:p w14:paraId="0D261900" w14:textId="77777777" w:rsidR="00E97F0A" w:rsidRPr="00CB032B" w:rsidRDefault="00E97F0A" w:rsidP="000D779C">
            <w:pPr>
              <w:widowControl/>
              <w:jc w:val="center"/>
              <w:rPr>
                <w:color w:val="000000"/>
                <w:sz w:val="22"/>
                <w:szCs w:val="22"/>
              </w:rPr>
            </w:pPr>
            <w:r w:rsidRPr="00CB032B">
              <w:rPr>
                <w:color w:val="000000"/>
                <w:sz w:val="22"/>
                <w:szCs w:val="22"/>
              </w:rPr>
              <w:t xml:space="preserve">4 382,72 </w:t>
            </w:r>
            <w:r w:rsidRPr="00CB032B">
              <w:rPr>
                <w:color w:val="000000"/>
                <w:sz w:val="22"/>
                <w:szCs w:val="22"/>
                <w:vertAlign w:val="superscript"/>
              </w:rPr>
              <w:t>5</w:t>
            </w:r>
          </w:p>
        </w:tc>
        <w:tc>
          <w:tcPr>
            <w:tcW w:w="546" w:type="dxa"/>
            <w:shd w:val="clear" w:color="auto" w:fill="auto"/>
            <w:noWrap/>
            <w:vAlign w:val="center"/>
          </w:tcPr>
          <w:p w14:paraId="0999D00C" w14:textId="77777777" w:rsidR="00E97F0A" w:rsidRPr="002944CA" w:rsidRDefault="00E97F0A" w:rsidP="000D779C">
            <w:pPr>
              <w:widowControl/>
              <w:jc w:val="center"/>
              <w:rPr>
                <w:sz w:val="22"/>
                <w:szCs w:val="22"/>
              </w:rPr>
            </w:pPr>
            <w:r w:rsidRPr="002944CA">
              <w:rPr>
                <w:sz w:val="22"/>
                <w:szCs w:val="22"/>
              </w:rPr>
              <w:t>-</w:t>
            </w:r>
          </w:p>
        </w:tc>
        <w:tc>
          <w:tcPr>
            <w:tcW w:w="720" w:type="dxa"/>
            <w:vAlign w:val="center"/>
          </w:tcPr>
          <w:p w14:paraId="6CCF14EE" w14:textId="77777777" w:rsidR="00E97F0A" w:rsidRPr="002944CA" w:rsidRDefault="00E97F0A" w:rsidP="000D779C">
            <w:pPr>
              <w:widowControl/>
              <w:jc w:val="center"/>
              <w:rPr>
                <w:sz w:val="22"/>
                <w:szCs w:val="22"/>
              </w:rPr>
            </w:pPr>
            <w:r w:rsidRPr="002944CA">
              <w:rPr>
                <w:sz w:val="22"/>
                <w:szCs w:val="22"/>
              </w:rPr>
              <w:t>-</w:t>
            </w:r>
          </w:p>
        </w:tc>
        <w:tc>
          <w:tcPr>
            <w:tcW w:w="720" w:type="dxa"/>
            <w:vAlign w:val="center"/>
          </w:tcPr>
          <w:p w14:paraId="5F62CD9E" w14:textId="77777777" w:rsidR="00E97F0A" w:rsidRPr="002944CA" w:rsidRDefault="00E97F0A" w:rsidP="000D779C">
            <w:pPr>
              <w:widowControl/>
              <w:jc w:val="center"/>
              <w:rPr>
                <w:sz w:val="22"/>
                <w:szCs w:val="22"/>
              </w:rPr>
            </w:pPr>
            <w:r w:rsidRPr="002944CA">
              <w:rPr>
                <w:sz w:val="22"/>
                <w:szCs w:val="22"/>
              </w:rPr>
              <w:t>-</w:t>
            </w:r>
          </w:p>
        </w:tc>
        <w:tc>
          <w:tcPr>
            <w:tcW w:w="540" w:type="dxa"/>
            <w:vAlign w:val="center"/>
          </w:tcPr>
          <w:p w14:paraId="6C771A9C" w14:textId="77777777" w:rsidR="00E97F0A" w:rsidRPr="002944CA" w:rsidRDefault="00E97F0A" w:rsidP="000D779C">
            <w:pPr>
              <w:widowControl/>
              <w:jc w:val="center"/>
              <w:rPr>
                <w:sz w:val="22"/>
                <w:szCs w:val="22"/>
              </w:rPr>
            </w:pPr>
            <w:r w:rsidRPr="002944CA">
              <w:rPr>
                <w:sz w:val="22"/>
                <w:szCs w:val="22"/>
              </w:rPr>
              <w:t>-</w:t>
            </w:r>
          </w:p>
        </w:tc>
        <w:tc>
          <w:tcPr>
            <w:tcW w:w="720" w:type="dxa"/>
            <w:shd w:val="clear" w:color="auto" w:fill="auto"/>
            <w:noWrap/>
            <w:vAlign w:val="center"/>
          </w:tcPr>
          <w:p w14:paraId="3044C850" w14:textId="77777777" w:rsidR="00E97F0A" w:rsidRPr="002944CA" w:rsidRDefault="00E97F0A" w:rsidP="000D779C">
            <w:pPr>
              <w:jc w:val="center"/>
              <w:rPr>
                <w:sz w:val="22"/>
                <w:szCs w:val="22"/>
              </w:rPr>
            </w:pPr>
            <w:r w:rsidRPr="002944CA">
              <w:rPr>
                <w:sz w:val="22"/>
                <w:szCs w:val="22"/>
              </w:rPr>
              <w:t>-</w:t>
            </w:r>
          </w:p>
        </w:tc>
      </w:tr>
      <w:tr w:rsidR="00E97F0A" w:rsidRPr="002944CA" w14:paraId="485DEB6B" w14:textId="77777777" w:rsidTr="000D779C">
        <w:trPr>
          <w:trHeight w:val="340"/>
        </w:trPr>
        <w:tc>
          <w:tcPr>
            <w:tcW w:w="474" w:type="dxa"/>
            <w:vMerge/>
            <w:shd w:val="clear" w:color="auto" w:fill="auto"/>
            <w:noWrap/>
            <w:vAlign w:val="center"/>
          </w:tcPr>
          <w:p w14:paraId="03EAEBE9" w14:textId="77777777" w:rsidR="00E97F0A" w:rsidRPr="002944CA" w:rsidRDefault="00E97F0A" w:rsidP="000D779C">
            <w:pPr>
              <w:jc w:val="center"/>
              <w:rPr>
                <w:sz w:val="22"/>
                <w:szCs w:val="22"/>
              </w:rPr>
            </w:pPr>
          </w:p>
        </w:tc>
        <w:tc>
          <w:tcPr>
            <w:tcW w:w="1902" w:type="dxa"/>
            <w:vMerge/>
            <w:shd w:val="clear" w:color="auto" w:fill="auto"/>
            <w:vAlign w:val="center"/>
          </w:tcPr>
          <w:p w14:paraId="6669012A" w14:textId="77777777" w:rsidR="00E97F0A" w:rsidRPr="002944CA" w:rsidRDefault="00E97F0A" w:rsidP="000D779C">
            <w:pPr>
              <w:widowControl/>
              <w:rPr>
                <w:sz w:val="22"/>
                <w:szCs w:val="22"/>
              </w:rPr>
            </w:pPr>
          </w:p>
        </w:tc>
        <w:tc>
          <w:tcPr>
            <w:tcW w:w="1134" w:type="dxa"/>
            <w:vMerge/>
            <w:shd w:val="clear" w:color="auto" w:fill="auto"/>
            <w:vAlign w:val="center"/>
          </w:tcPr>
          <w:p w14:paraId="655E98F3" w14:textId="77777777" w:rsidR="00E97F0A" w:rsidRPr="002944CA" w:rsidRDefault="00E97F0A" w:rsidP="000D779C">
            <w:pPr>
              <w:widowControl/>
              <w:jc w:val="center"/>
              <w:rPr>
                <w:sz w:val="22"/>
                <w:szCs w:val="22"/>
              </w:rPr>
            </w:pPr>
          </w:p>
        </w:tc>
        <w:tc>
          <w:tcPr>
            <w:tcW w:w="709" w:type="dxa"/>
            <w:shd w:val="clear" w:color="auto" w:fill="auto"/>
            <w:noWrap/>
            <w:vAlign w:val="center"/>
          </w:tcPr>
          <w:p w14:paraId="791E834E" w14:textId="77777777" w:rsidR="00E97F0A" w:rsidRPr="002944CA" w:rsidRDefault="00E97F0A" w:rsidP="000D779C">
            <w:pPr>
              <w:jc w:val="center"/>
              <w:rPr>
                <w:sz w:val="22"/>
                <w:szCs w:val="22"/>
              </w:rPr>
            </w:pPr>
            <w:r w:rsidRPr="002944CA">
              <w:rPr>
                <w:sz w:val="22"/>
                <w:szCs w:val="22"/>
              </w:rPr>
              <w:t>2028</w:t>
            </w:r>
          </w:p>
        </w:tc>
        <w:tc>
          <w:tcPr>
            <w:tcW w:w="1418" w:type="dxa"/>
            <w:shd w:val="clear" w:color="auto" w:fill="auto"/>
            <w:noWrap/>
            <w:vAlign w:val="center"/>
          </w:tcPr>
          <w:p w14:paraId="22A05028" w14:textId="77777777" w:rsidR="00E97F0A" w:rsidRPr="00CB032B" w:rsidRDefault="00E97F0A" w:rsidP="000D779C">
            <w:pPr>
              <w:widowControl/>
              <w:jc w:val="center"/>
              <w:rPr>
                <w:color w:val="000000"/>
                <w:sz w:val="22"/>
                <w:szCs w:val="22"/>
              </w:rPr>
            </w:pPr>
            <w:r w:rsidRPr="00CB032B">
              <w:rPr>
                <w:color w:val="000000"/>
                <w:sz w:val="22"/>
                <w:szCs w:val="22"/>
              </w:rPr>
              <w:t xml:space="preserve">4 382,72 </w:t>
            </w:r>
            <w:r w:rsidRPr="00CB032B">
              <w:rPr>
                <w:color w:val="000000"/>
                <w:sz w:val="22"/>
                <w:szCs w:val="22"/>
                <w:vertAlign w:val="superscript"/>
              </w:rPr>
              <w:t>5</w:t>
            </w:r>
          </w:p>
        </w:tc>
        <w:tc>
          <w:tcPr>
            <w:tcW w:w="1417" w:type="dxa"/>
            <w:shd w:val="clear" w:color="auto" w:fill="auto"/>
            <w:vAlign w:val="center"/>
          </w:tcPr>
          <w:p w14:paraId="7B2FDC14" w14:textId="77777777" w:rsidR="00E97F0A" w:rsidRPr="00CB032B" w:rsidRDefault="00E97F0A" w:rsidP="000D779C">
            <w:pPr>
              <w:widowControl/>
              <w:jc w:val="center"/>
              <w:rPr>
                <w:color w:val="000000"/>
                <w:sz w:val="22"/>
                <w:szCs w:val="22"/>
              </w:rPr>
            </w:pPr>
            <w:r w:rsidRPr="00CB032B">
              <w:rPr>
                <w:color w:val="000000"/>
                <w:sz w:val="22"/>
                <w:szCs w:val="22"/>
              </w:rPr>
              <w:t xml:space="preserve">4 593,09 </w:t>
            </w:r>
            <w:r w:rsidRPr="00CB032B">
              <w:rPr>
                <w:color w:val="000000"/>
                <w:sz w:val="22"/>
                <w:szCs w:val="22"/>
                <w:vertAlign w:val="superscript"/>
              </w:rPr>
              <w:t>6</w:t>
            </w:r>
          </w:p>
        </w:tc>
        <w:tc>
          <w:tcPr>
            <w:tcW w:w="546" w:type="dxa"/>
            <w:shd w:val="clear" w:color="auto" w:fill="auto"/>
            <w:noWrap/>
            <w:vAlign w:val="center"/>
          </w:tcPr>
          <w:p w14:paraId="761AEB64" w14:textId="77777777" w:rsidR="00E97F0A" w:rsidRPr="002944CA" w:rsidRDefault="00E97F0A" w:rsidP="000D779C">
            <w:pPr>
              <w:widowControl/>
              <w:jc w:val="center"/>
              <w:rPr>
                <w:sz w:val="22"/>
                <w:szCs w:val="22"/>
              </w:rPr>
            </w:pPr>
            <w:r w:rsidRPr="002944CA">
              <w:rPr>
                <w:sz w:val="22"/>
                <w:szCs w:val="22"/>
              </w:rPr>
              <w:t>-</w:t>
            </w:r>
          </w:p>
        </w:tc>
        <w:tc>
          <w:tcPr>
            <w:tcW w:w="720" w:type="dxa"/>
            <w:vAlign w:val="center"/>
          </w:tcPr>
          <w:p w14:paraId="01C54C8D" w14:textId="77777777" w:rsidR="00E97F0A" w:rsidRPr="002944CA" w:rsidRDefault="00E97F0A" w:rsidP="000D779C">
            <w:pPr>
              <w:widowControl/>
              <w:jc w:val="center"/>
              <w:rPr>
                <w:sz w:val="22"/>
                <w:szCs w:val="22"/>
              </w:rPr>
            </w:pPr>
            <w:r w:rsidRPr="002944CA">
              <w:rPr>
                <w:sz w:val="22"/>
                <w:szCs w:val="22"/>
              </w:rPr>
              <w:t>-</w:t>
            </w:r>
          </w:p>
        </w:tc>
        <w:tc>
          <w:tcPr>
            <w:tcW w:w="720" w:type="dxa"/>
            <w:vAlign w:val="center"/>
          </w:tcPr>
          <w:p w14:paraId="09165C06" w14:textId="77777777" w:rsidR="00E97F0A" w:rsidRPr="002944CA" w:rsidRDefault="00E97F0A" w:rsidP="000D779C">
            <w:pPr>
              <w:widowControl/>
              <w:jc w:val="center"/>
              <w:rPr>
                <w:sz w:val="22"/>
                <w:szCs w:val="22"/>
              </w:rPr>
            </w:pPr>
            <w:r w:rsidRPr="002944CA">
              <w:rPr>
                <w:sz w:val="22"/>
                <w:szCs w:val="22"/>
              </w:rPr>
              <w:t>-</w:t>
            </w:r>
          </w:p>
        </w:tc>
        <w:tc>
          <w:tcPr>
            <w:tcW w:w="540" w:type="dxa"/>
            <w:vAlign w:val="center"/>
          </w:tcPr>
          <w:p w14:paraId="39D4F865" w14:textId="77777777" w:rsidR="00E97F0A" w:rsidRPr="002944CA" w:rsidRDefault="00E97F0A" w:rsidP="000D779C">
            <w:pPr>
              <w:widowControl/>
              <w:jc w:val="center"/>
              <w:rPr>
                <w:sz w:val="22"/>
                <w:szCs w:val="22"/>
              </w:rPr>
            </w:pPr>
            <w:r w:rsidRPr="002944CA">
              <w:rPr>
                <w:sz w:val="22"/>
                <w:szCs w:val="22"/>
              </w:rPr>
              <w:t>-</w:t>
            </w:r>
          </w:p>
        </w:tc>
        <w:tc>
          <w:tcPr>
            <w:tcW w:w="720" w:type="dxa"/>
            <w:shd w:val="clear" w:color="auto" w:fill="auto"/>
            <w:noWrap/>
            <w:vAlign w:val="center"/>
          </w:tcPr>
          <w:p w14:paraId="3A4A1D97" w14:textId="77777777" w:rsidR="00E97F0A" w:rsidRPr="002944CA" w:rsidRDefault="00E97F0A" w:rsidP="000D779C">
            <w:pPr>
              <w:jc w:val="center"/>
              <w:rPr>
                <w:sz w:val="22"/>
                <w:szCs w:val="22"/>
              </w:rPr>
            </w:pPr>
            <w:r w:rsidRPr="002944CA">
              <w:rPr>
                <w:sz w:val="22"/>
                <w:szCs w:val="22"/>
              </w:rPr>
              <w:t>-</w:t>
            </w:r>
          </w:p>
        </w:tc>
      </w:tr>
      <w:bookmarkEnd w:id="2"/>
    </w:tbl>
    <w:p w14:paraId="561D3F3D" w14:textId="77777777" w:rsidR="00E97F0A" w:rsidRPr="002944CA" w:rsidRDefault="00E97F0A" w:rsidP="00E97F0A">
      <w:pPr>
        <w:widowControl/>
        <w:autoSpaceDE w:val="0"/>
        <w:autoSpaceDN w:val="0"/>
        <w:adjustRightInd w:val="0"/>
        <w:ind w:right="-283" w:firstLine="567"/>
        <w:jc w:val="both"/>
        <w:rPr>
          <w:sz w:val="22"/>
          <w:szCs w:val="22"/>
        </w:rPr>
      </w:pPr>
    </w:p>
    <w:p w14:paraId="3B0FD90F" w14:textId="77777777" w:rsidR="00E97F0A" w:rsidRPr="002944CA" w:rsidRDefault="00E97F0A" w:rsidP="00E97F0A">
      <w:pPr>
        <w:widowControl/>
        <w:autoSpaceDE w:val="0"/>
        <w:autoSpaceDN w:val="0"/>
        <w:adjustRightInd w:val="0"/>
        <w:ind w:firstLine="540"/>
        <w:jc w:val="both"/>
        <w:outlineLvl w:val="3"/>
        <w:rPr>
          <w:sz w:val="22"/>
          <w:szCs w:val="22"/>
        </w:rPr>
      </w:pPr>
      <w:r w:rsidRPr="002944CA">
        <w:rPr>
          <w:sz w:val="22"/>
          <w:szCs w:val="22"/>
        </w:rPr>
        <w:t xml:space="preserve">* Выделяется в целях реализации </w:t>
      </w:r>
      <w:hyperlink r:id="rId9" w:history="1">
        <w:r w:rsidRPr="002944CA">
          <w:rPr>
            <w:sz w:val="22"/>
            <w:szCs w:val="22"/>
          </w:rPr>
          <w:t>пункта 6 статьи 168</w:t>
        </w:r>
      </w:hyperlink>
      <w:r w:rsidRPr="002944CA">
        <w:rPr>
          <w:sz w:val="22"/>
          <w:szCs w:val="22"/>
        </w:rPr>
        <w:t xml:space="preserve"> Налогового кодекса Российской Федерации (часть вторая).</w:t>
      </w:r>
    </w:p>
    <w:p w14:paraId="6A06DC61" w14:textId="77777777" w:rsidR="00E97F0A" w:rsidRPr="00E97F0A" w:rsidRDefault="00E97F0A" w:rsidP="00E97F0A">
      <w:pPr>
        <w:widowControl/>
        <w:autoSpaceDE w:val="0"/>
        <w:autoSpaceDN w:val="0"/>
        <w:adjustRightInd w:val="0"/>
        <w:ind w:firstLine="540"/>
        <w:jc w:val="both"/>
        <w:outlineLvl w:val="3"/>
        <w:rPr>
          <w:sz w:val="22"/>
          <w:szCs w:val="22"/>
        </w:rPr>
      </w:pPr>
    </w:p>
    <w:tbl>
      <w:tblPr>
        <w:tblW w:w="0" w:type="auto"/>
        <w:tblLook w:val="04A0" w:firstRow="1" w:lastRow="0" w:firstColumn="1" w:lastColumn="0" w:noHBand="0" w:noVBand="1"/>
      </w:tblPr>
      <w:tblGrid>
        <w:gridCol w:w="5069"/>
        <w:gridCol w:w="5070"/>
      </w:tblGrid>
      <w:tr w:rsidR="00E97F0A" w:rsidRPr="00E97F0A" w14:paraId="0B155ECE" w14:textId="77777777" w:rsidTr="000D779C">
        <w:tc>
          <w:tcPr>
            <w:tcW w:w="5069" w:type="dxa"/>
            <w:shd w:val="clear" w:color="auto" w:fill="auto"/>
          </w:tcPr>
          <w:p w14:paraId="24415D77" w14:textId="77777777" w:rsidR="00E97F0A" w:rsidRPr="00E97F0A" w:rsidRDefault="00E97F0A" w:rsidP="000D779C">
            <w:pPr>
              <w:widowControl/>
              <w:autoSpaceDE w:val="0"/>
              <w:autoSpaceDN w:val="0"/>
              <w:adjustRightInd w:val="0"/>
              <w:rPr>
                <w:sz w:val="22"/>
                <w:szCs w:val="22"/>
              </w:rPr>
            </w:pPr>
            <w:r w:rsidRPr="00E97F0A">
              <w:rPr>
                <w:sz w:val="22"/>
                <w:szCs w:val="22"/>
                <w:vertAlign w:val="superscript"/>
              </w:rPr>
              <w:t xml:space="preserve">1 </w:t>
            </w:r>
            <w:r w:rsidRPr="00E97F0A">
              <w:rPr>
                <w:sz w:val="22"/>
                <w:szCs w:val="22"/>
              </w:rPr>
              <w:t xml:space="preserve">Тариф без учета НДС – 2 597,90 руб./Гкал </w:t>
            </w:r>
          </w:p>
          <w:p w14:paraId="7AAB6B1B" w14:textId="77777777" w:rsidR="00E97F0A" w:rsidRPr="00E97F0A" w:rsidRDefault="00E97F0A" w:rsidP="000D779C">
            <w:pPr>
              <w:widowControl/>
              <w:autoSpaceDE w:val="0"/>
              <w:autoSpaceDN w:val="0"/>
              <w:adjustRightInd w:val="0"/>
              <w:rPr>
                <w:sz w:val="22"/>
                <w:szCs w:val="22"/>
              </w:rPr>
            </w:pPr>
            <w:r w:rsidRPr="00E97F0A">
              <w:rPr>
                <w:sz w:val="22"/>
                <w:szCs w:val="22"/>
                <w:vertAlign w:val="superscript"/>
              </w:rPr>
              <w:t>2</w:t>
            </w:r>
            <w:r w:rsidRPr="00E97F0A">
              <w:rPr>
                <w:sz w:val="22"/>
                <w:szCs w:val="22"/>
              </w:rPr>
              <w:t xml:space="preserve"> Тариф без учета НДС </w:t>
            </w:r>
            <w:proofErr w:type="gramStart"/>
            <w:r w:rsidRPr="00E97F0A">
              <w:rPr>
                <w:sz w:val="22"/>
                <w:szCs w:val="22"/>
              </w:rPr>
              <w:t>-  2</w:t>
            </w:r>
            <w:proofErr w:type="gramEnd"/>
            <w:r w:rsidRPr="00E97F0A">
              <w:rPr>
                <w:sz w:val="22"/>
                <w:szCs w:val="22"/>
              </w:rPr>
              <w:t xml:space="preserve"> 905,48 руб./Гкал</w:t>
            </w:r>
          </w:p>
          <w:p w14:paraId="1D38D296" w14:textId="77777777" w:rsidR="00E97F0A" w:rsidRPr="00E97F0A" w:rsidRDefault="00E97F0A" w:rsidP="000D779C">
            <w:pPr>
              <w:widowControl/>
              <w:autoSpaceDE w:val="0"/>
              <w:autoSpaceDN w:val="0"/>
              <w:adjustRightInd w:val="0"/>
              <w:rPr>
                <w:sz w:val="22"/>
                <w:szCs w:val="22"/>
              </w:rPr>
            </w:pPr>
            <w:r w:rsidRPr="00E97F0A">
              <w:rPr>
                <w:sz w:val="22"/>
                <w:szCs w:val="22"/>
                <w:vertAlign w:val="superscript"/>
              </w:rPr>
              <w:t>3</w:t>
            </w:r>
            <w:r w:rsidRPr="00E97F0A">
              <w:rPr>
                <w:sz w:val="22"/>
                <w:szCs w:val="22"/>
              </w:rPr>
              <w:t xml:space="preserve"> Тариф без учета НДС – 3 306,43 руб./Гкал</w:t>
            </w:r>
          </w:p>
          <w:p w14:paraId="27F38E00" w14:textId="77777777" w:rsidR="00E97F0A" w:rsidRPr="00E97F0A" w:rsidRDefault="00E97F0A" w:rsidP="000D779C">
            <w:pPr>
              <w:widowControl/>
              <w:autoSpaceDE w:val="0"/>
              <w:autoSpaceDN w:val="0"/>
              <w:adjustRightInd w:val="0"/>
              <w:outlineLvl w:val="3"/>
              <w:rPr>
                <w:sz w:val="22"/>
                <w:szCs w:val="22"/>
              </w:rPr>
            </w:pPr>
            <w:r w:rsidRPr="00E97F0A">
              <w:rPr>
                <w:sz w:val="22"/>
                <w:szCs w:val="22"/>
                <w:vertAlign w:val="superscript"/>
              </w:rPr>
              <w:t>4</w:t>
            </w:r>
            <w:r w:rsidRPr="00E97F0A">
              <w:rPr>
                <w:sz w:val="22"/>
                <w:szCs w:val="22"/>
              </w:rPr>
              <w:t xml:space="preserve"> Тариф без учета НДС – 3 484,98 руб./Гкал</w:t>
            </w:r>
          </w:p>
        </w:tc>
        <w:tc>
          <w:tcPr>
            <w:tcW w:w="5070" w:type="dxa"/>
            <w:shd w:val="clear" w:color="auto" w:fill="auto"/>
          </w:tcPr>
          <w:p w14:paraId="459B50BE" w14:textId="77777777" w:rsidR="00E97F0A" w:rsidRPr="00E97F0A" w:rsidRDefault="00E97F0A" w:rsidP="000D779C">
            <w:pPr>
              <w:widowControl/>
              <w:autoSpaceDE w:val="0"/>
              <w:autoSpaceDN w:val="0"/>
              <w:adjustRightInd w:val="0"/>
              <w:ind w:firstLine="540"/>
              <w:jc w:val="both"/>
              <w:rPr>
                <w:sz w:val="22"/>
                <w:szCs w:val="22"/>
              </w:rPr>
            </w:pPr>
            <w:r w:rsidRPr="00E97F0A">
              <w:rPr>
                <w:sz w:val="22"/>
                <w:szCs w:val="22"/>
                <w:vertAlign w:val="superscript"/>
              </w:rPr>
              <w:t xml:space="preserve">5 </w:t>
            </w:r>
            <w:r w:rsidRPr="00E97F0A">
              <w:rPr>
                <w:sz w:val="22"/>
                <w:szCs w:val="22"/>
              </w:rPr>
              <w:t>Тариф без учета НДС – 3 652,27 руб./Гкал</w:t>
            </w:r>
          </w:p>
          <w:p w14:paraId="72757272" w14:textId="77777777" w:rsidR="00E97F0A" w:rsidRPr="00E97F0A" w:rsidRDefault="00E97F0A" w:rsidP="000D779C">
            <w:pPr>
              <w:widowControl/>
              <w:autoSpaceDE w:val="0"/>
              <w:autoSpaceDN w:val="0"/>
              <w:adjustRightInd w:val="0"/>
              <w:ind w:firstLine="540"/>
              <w:jc w:val="both"/>
              <w:rPr>
                <w:sz w:val="22"/>
                <w:szCs w:val="22"/>
              </w:rPr>
            </w:pPr>
            <w:r w:rsidRPr="00E97F0A">
              <w:rPr>
                <w:sz w:val="22"/>
                <w:szCs w:val="22"/>
                <w:vertAlign w:val="superscript"/>
              </w:rPr>
              <w:t>6</w:t>
            </w:r>
            <w:r w:rsidRPr="00E97F0A">
              <w:rPr>
                <w:sz w:val="22"/>
                <w:szCs w:val="22"/>
              </w:rPr>
              <w:t xml:space="preserve"> Тариф без учета НДС – 3 827,58 руб./Гкал</w:t>
            </w:r>
          </w:p>
          <w:p w14:paraId="1EB46F0F" w14:textId="77777777" w:rsidR="00E97F0A" w:rsidRPr="00E97F0A" w:rsidRDefault="00E97F0A" w:rsidP="000D779C">
            <w:pPr>
              <w:widowControl/>
              <w:autoSpaceDE w:val="0"/>
              <w:autoSpaceDN w:val="0"/>
              <w:adjustRightInd w:val="0"/>
              <w:ind w:firstLine="540"/>
              <w:jc w:val="both"/>
              <w:rPr>
                <w:sz w:val="22"/>
                <w:szCs w:val="22"/>
              </w:rPr>
            </w:pPr>
          </w:p>
        </w:tc>
      </w:tr>
    </w:tbl>
    <w:p w14:paraId="3C7D5EEA" w14:textId="77777777" w:rsidR="00E97F0A" w:rsidRPr="00E97F0A" w:rsidRDefault="00E97F0A" w:rsidP="006D73C0">
      <w:pPr>
        <w:widowControl/>
        <w:tabs>
          <w:tab w:val="left" w:pos="851"/>
        </w:tabs>
        <w:autoSpaceDE w:val="0"/>
        <w:autoSpaceDN w:val="0"/>
        <w:adjustRightInd w:val="0"/>
        <w:jc w:val="both"/>
        <w:rPr>
          <w:kern w:val="16"/>
          <w:sz w:val="22"/>
          <w:szCs w:val="22"/>
        </w:rPr>
      </w:pPr>
    </w:p>
    <w:p w14:paraId="06118651" w14:textId="1BBBE402" w:rsidR="006D73C0" w:rsidRPr="00E97F0A" w:rsidRDefault="006D73C0" w:rsidP="006D73C0">
      <w:pPr>
        <w:widowControl/>
        <w:tabs>
          <w:tab w:val="left" w:pos="851"/>
        </w:tabs>
        <w:autoSpaceDE w:val="0"/>
        <w:autoSpaceDN w:val="0"/>
        <w:adjustRightInd w:val="0"/>
        <w:ind w:firstLine="567"/>
        <w:jc w:val="both"/>
        <w:rPr>
          <w:kern w:val="16"/>
          <w:sz w:val="22"/>
          <w:szCs w:val="22"/>
        </w:rPr>
      </w:pPr>
      <w:r w:rsidRPr="00E97F0A">
        <w:rPr>
          <w:kern w:val="16"/>
          <w:sz w:val="22"/>
          <w:szCs w:val="22"/>
        </w:rPr>
        <w:t>3.</w:t>
      </w:r>
      <w:r w:rsidRPr="00E97F0A">
        <w:rPr>
          <w:kern w:val="16"/>
          <w:sz w:val="22"/>
          <w:szCs w:val="22"/>
        </w:rPr>
        <w:tab/>
        <w:t>Постановление вступает в силу после дня его официального опубликования.</w:t>
      </w:r>
    </w:p>
    <w:p w14:paraId="35FEE008" w14:textId="77777777" w:rsidR="006D73C0" w:rsidRPr="00E97F0A" w:rsidRDefault="006D73C0" w:rsidP="00DA2CD9">
      <w:pPr>
        <w:widowControl/>
        <w:autoSpaceDE w:val="0"/>
        <w:autoSpaceDN w:val="0"/>
        <w:adjustRightInd w:val="0"/>
        <w:ind w:firstLine="567"/>
        <w:jc w:val="both"/>
        <w:rPr>
          <w:kern w:val="16"/>
          <w:sz w:val="22"/>
          <w:szCs w:val="22"/>
        </w:rPr>
      </w:pPr>
    </w:p>
    <w:p w14:paraId="3DFEFBC2" w14:textId="77777777" w:rsidR="0081660A" w:rsidRPr="00E97F0A" w:rsidRDefault="0081660A" w:rsidP="00DA2CD9">
      <w:pPr>
        <w:pStyle w:val="a4"/>
        <w:tabs>
          <w:tab w:val="left" w:pos="993"/>
        </w:tabs>
        <w:ind w:left="709"/>
        <w:jc w:val="both"/>
        <w:rPr>
          <w:b/>
          <w:bCs/>
          <w:sz w:val="22"/>
          <w:szCs w:val="22"/>
        </w:rPr>
      </w:pPr>
      <w:r w:rsidRPr="00E97F0A">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97F0A" w:rsidRPr="00E97F0A" w14:paraId="0ACE8051" w14:textId="77777777" w:rsidTr="00EB63B8">
        <w:tc>
          <w:tcPr>
            <w:tcW w:w="959" w:type="dxa"/>
          </w:tcPr>
          <w:p w14:paraId="7A0D1CE3" w14:textId="77777777" w:rsidR="0081660A" w:rsidRPr="00E97F0A" w:rsidRDefault="0081660A" w:rsidP="00DA2CD9">
            <w:pPr>
              <w:tabs>
                <w:tab w:val="left" w:pos="4020"/>
              </w:tabs>
              <w:jc w:val="center"/>
              <w:rPr>
                <w:sz w:val="22"/>
                <w:szCs w:val="22"/>
              </w:rPr>
            </w:pPr>
            <w:r w:rsidRPr="00E97F0A">
              <w:rPr>
                <w:sz w:val="22"/>
                <w:szCs w:val="22"/>
              </w:rPr>
              <w:t>№ п/п</w:t>
            </w:r>
          </w:p>
        </w:tc>
        <w:tc>
          <w:tcPr>
            <w:tcW w:w="2391" w:type="dxa"/>
          </w:tcPr>
          <w:p w14:paraId="641A2161" w14:textId="77777777" w:rsidR="0081660A" w:rsidRPr="00E97F0A" w:rsidRDefault="0081660A" w:rsidP="00DA2CD9">
            <w:pPr>
              <w:tabs>
                <w:tab w:val="left" w:pos="4020"/>
              </w:tabs>
              <w:rPr>
                <w:sz w:val="22"/>
                <w:szCs w:val="22"/>
              </w:rPr>
            </w:pPr>
            <w:r w:rsidRPr="00E97F0A">
              <w:rPr>
                <w:sz w:val="22"/>
                <w:szCs w:val="22"/>
              </w:rPr>
              <w:t>Члены правления</w:t>
            </w:r>
          </w:p>
        </w:tc>
        <w:tc>
          <w:tcPr>
            <w:tcW w:w="3493" w:type="dxa"/>
          </w:tcPr>
          <w:p w14:paraId="597F7C40" w14:textId="77777777" w:rsidR="0081660A" w:rsidRPr="00E97F0A" w:rsidRDefault="0081660A" w:rsidP="00DA2CD9">
            <w:pPr>
              <w:tabs>
                <w:tab w:val="left" w:pos="4020"/>
              </w:tabs>
              <w:jc w:val="center"/>
              <w:rPr>
                <w:sz w:val="22"/>
                <w:szCs w:val="22"/>
              </w:rPr>
            </w:pPr>
            <w:r w:rsidRPr="00E97F0A">
              <w:rPr>
                <w:sz w:val="22"/>
                <w:szCs w:val="22"/>
              </w:rPr>
              <w:t>Результаты голосования</w:t>
            </w:r>
          </w:p>
        </w:tc>
      </w:tr>
      <w:tr w:rsidR="00E97F0A" w:rsidRPr="00E97F0A" w14:paraId="7AA0DC57" w14:textId="77777777" w:rsidTr="00EB63B8">
        <w:tc>
          <w:tcPr>
            <w:tcW w:w="959" w:type="dxa"/>
          </w:tcPr>
          <w:p w14:paraId="2F1D4778" w14:textId="77777777" w:rsidR="0081660A" w:rsidRPr="00E97F0A" w:rsidRDefault="0081660A" w:rsidP="00DA2CD9">
            <w:pPr>
              <w:tabs>
                <w:tab w:val="left" w:pos="4020"/>
              </w:tabs>
              <w:jc w:val="center"/>
              <w:rPr>
                <w:sz w:val="22"/>
                <w:szCs w:val="22"/>
              </w:rPr>
            </w:pPr>
            <w:r w:rsidRPr="00E97F0A">
              <w:rPr>
                <w:sz w:val="22"/>
                <w:szCs w:val="22"/>
              </w:rPr>
              <w:t>1.</w:t>
            </w:r>
          </w:p>
        </w:tc>
        <w:tc>
          <w:tcPr>
            <w:tcW w:w="2391" w:type="dxa"/>
          </w:tcPr>
          <w:p w14:paraId="114B883C" w14:textId="77777777" w:rsidR="0081660A" w:rsidRPr="00E97F0A" w:rsidRDefault="0081660A" w:rsidP="00DA2CD9">
            <w:pPr>
              <w:tabs>
                <w:tab w:val="left" w:pos="4020"/>
              </w:tabs>
              <w:rPr>
                <w:sz w:val="22"/>
                <w:szCs w:val="22"/>
              </w:rPr>
            </w:pPr>
            <w:r w:rsidRPr="00E97F0A">
              <w:rPr>
                <w:sz w:val="22"/>
                <w:szCs w:val="22"/>
              </w:rPr>
              <w:t>Морева Е.Н.</w:t>
            </w:r>
          </w:p>
        </w:tc>
        <w:tc>
          <w:tcPr>
            <w:tcW w:w="3493" w:type="dxa"/>
          </w:tcPr>
          <w:p w14:paraId="19B61DC5" w14:textId="77777777" w:rsidR="0081660A" w:rsidRPr="00E97F0A" w:rsidRDefault="0081660A" w:rsidP="00DA2CD9">
            <w:pPr>
              <w:jc w:val="center"/>
              <w:rPr>
                <w:sz w:val="22"/>
                <w:szCs w:val="22"/>
              </w:rPr>
            </w:pPr>
            <w:r w:rsidRPr="00E97F0A">
              <w:rPr>
                <w:sz w:val="22"/>
                <w:szCs w:val="22"/>
              </w:rPr>
              <w:t>за</w:t>
            </w:r>
          </w:p>
        </w:tc>
      </w:tr>
      <w:tr w:rsidR="00E97F0A" w:rsidRPr="00E97F0A" w14:paraId="3F52DB16" w14:textId="77777777" w:rsidTr="00EB63B8">
        <w:tc>
          <w:tcPr>
            <w:tcW w:w="959" w:type="dxa"/>
          </w:tcPr>
          <w:p w14:paraId="0831E447" w14:textId="77777777" w:rsidR="0081660A" w:rsidRPr="00E97F0A" w:rsidRDefault="0081660A" w:rsidP="00DA2CD9">
            <w:pPr>
              <w:tabs>
                <w:tab w:val="left" w:pos="4020"/>
              </w:tabs>
              <w:jc w:val="center"/>
              <w:rPr>
                <w:sz w:val="22"/>
                <w:szCs w:val="22"/>
              </w:rPr>
            </w:pPr>
            <w:r w:rsidRPr="00E97F0A">
              <w:rPr>
                <w:sz w:val="22"/>
                <w:szCs w:val="22"/>
              </w:rPr>
              <w:t>2.</w:t>
            </w:r>
          </w:p>
        </w:tc>
        <w:tc>
          <w:tcPr>
            <w:tcW w:w="2391" w:type="dxa"/>
          </w:tcPr>
          <w:p w14:paraId="7D0F3634" w14:textId="77777777" w:rsidR="0081660A" w:rsidRPr="00E97F0A" w:rsidRDefault="0081660A" w:rsidP="00DA2CD9">
            <w:pPr>
              <w:tabs>
                <w:tab w:val="left" w:pos="4020"/>
              </w:tabs>
              <w:rPr>
                <w:sz w:val="22"/>
                <w:szCs w:val="22"/>
              </w:rPr>
            </w:pPr>
            <w:r w:rsidRPr="00E97F0A">
              <w:rPr>
                <w:sz w:val="22"/>
                <w:szCs w:val="22"/>
              </w:rPr>
              <w:t>Бугаева С.Е.</w:t>
            </w:r>
          </w:p>
        </w:tc>
        <w:tc>
          <w:tcPr>
            <w:tcW w:w="3493" w:type="dxa"/>
          </w:tcPr>
          <w:p w14:paraId="4B9F74DB" w14:textId="77777777" w:rsidR="0081660A" w:rsidRPr="00E97F0A" w:rsidRDefault="0081660A" w:rsidP="00DA2CD9">
            <w:pPr>
              <w:jc w:val="center"/>
              <w:rPr>
                <w:sz w:val="22"/>
                <w:szCs w:val="22"/>
              </w:rPr>
            </w:pPr>
            <w:r w:rsidRPr="00E97F0A">
              <w:rPr>
                <w:sz w:val="22"/>
                <w:szCs w:val="22"/>
              </w:rPr>
              <w:t>за</w:t>
            </w:r>
          </w:p>
        </w:tc>
      </w:tr>
      <w:tr w:rsidR="00E97F0A" w:rsidRPr="00E97F0A" w14:paraId="5E24E888" w14:textId="77777777" w:rsidTr="00EB63B8">
        <w:tc>
          <w:tcPr>
            <w:tcW w:w="959" w:type="dxa"/>
          </w:tcPr>
          <w:p w14:paraId="68ABB98D" w14:textId="77777777" w:rsidR="0081660A" w:rsidRPr="00E97F0A" w:rsidRDefault="0081660A" w:rsidP="00DA2CD9">
            <w:pPr>
              <w:tabs>
                <w:tab w:val="left" w:pos="4020"/>
              </w:tabs>
              <w:jc w:val="center"/>
              <w:rPr>
                <w:sz w:val="22"/>
                <w:szCs w:val="22"/>
              </w:rPr>
            </w:pPr>
            <w:r w:rsidRPr="00E97F0A">
              <w:rPr>
                <w:sz w:val="22"/>
                <w:szCs w:val="22"/>
              </w:rPr>
              <w:t>3.</w:t>
            </w:r>
          </w:p>
        </w:tc>
        <w:tc>
          <w:tcPr>
            <w:tcW w:w="2391" w:type="dxa"/>
          </w:tcPr>
          <w:p w14:paraId="1EFA38E8" w14:textId="77777777" w:rsidR="0081660A" w:rsidRPr="00E97F0A" w:rsidRDefault="0081660A" w:rsidP="00DA2CD9">
            <w:pPr>
              <w:tabs>
                <w:tab w:val="left" w:pos="4020"/>
              </w:tabs>
              <w:rPr>
                <w:sz w:val="22"/>
                <w:szCs w:val="22"/>
              </w:rPr>
            </w:pPr>
            <w:r w:rsidRPr="00E97F0A">
              <w:rPr>
                <w:sz w:val="22"/>
                <w:szCs w:val="22"/>
              </w:rPr>
              <w:t>Гущина Н.Б.</w:t>
            </w:r>
          </w:p>
        </w:tc>
        <w:tc>
          <w:tcPr>
            <w:tcW w:w="3493" w:type="dxa"/>
          </w:tcPr>
          <w:p w14:paraId="0065D83A" w14:textId="77777777" w:rsidR="0081660A" w:rsidRPr="00E97F0A" w:rsidRDefault="0081660A" w:rsidP="00DA2CD9">
            <w:pPr>
              <w:jc w:val="center"/>
              <w:rPr>
                <w:sz w:val="22"/>
                <w:szCs w:val="22"/>
              </w:rPr>
            </w:pPr>
            <w:r w:rsidRPr="00E97F0A">
              <w:rPr>
                <w:sz w:val="22"/>
                <w:szCs w:val="22"/>
              </w:rPr>
              <w:t>за</w:t>
            </w:r>
          </w:p>
        </w:tc>
      </w:tr>
      <w:tr w:rsidR="00E97F0A" w:rsidRPr="00E97F0A" w14:paraId="21FEB70B" w14:textId="77777777" w:rsidTr="00EB63B8">
        <w:tc>
          <w:tcPr>
            <w:tcW w:w="959" w:type="dxa"/>
          </w:tcPr>
          <w:p w14:paraId="48F9A3D7" w14:textId="77777777" w:rsidR="0081660A" w:rsidRPr="00E97F0A" w:rsidRDefault="0081660A" w:rsidP="00DA2CD9">
            <w:pPr>
              <w:tabs>
                <w:tab w:val="left" w:pos="4020"/>
              </w:tabs>
              <w:jc w:val="center"/>
              <w:rPr>
                <w:sz w:val="22"/>
                <w:szCs w:val="22"/>
              </w:rPr>
            </w:pPr>
            <w:r w:rsidRPr="00E97F0A">
              <w:rPr>
                <w:sz w:val="22"/>
                <w:szCs w:val="22"/>
              </w:rPr>
              <w:t>4.</w:t>
            </w:r>
          </w:p>
        </w:tc>
        <w:tc>
          <w:tcPr>
            <w:tcW w:w="2391" w:type="dxa"/>
          </w:tcPr>
          <w:p w14:paraId="2C0F4FB1" w14:textId="77777777" w:rsidR="0081660A" w:rsidRPr="00E97F0A" w:rsidRDefault="0081660A" w:rsidP="00DA2CD9">
            <w:pPr>
              <w:tabs>
                <w:tab w:val="left" w:pos="4020"/>
              </w:tabs>
              <w:rPr>
                <w:sz w:val="22"/>
                <w:szCs w:val="22"/>
              </w:rPr>
            </w:pPr>
            <w:r w:rsidRPr="00E97F0A">
              <w:rPr>
                <w:sz w:val="22"/>
                <w:szCs w:val="22"/>
              </w:rPr>
              <w:t>Турбачкина Е.В.</w:t>
            </w:r>
          </w:p>
        </w:tc>
        <w:tc>
          <w:tcPr>
            <w:tcW w:w="3493" w:type="dxa"/>
          </w:tcPr>
          <w:p w14:paraId="6270F1F2" w14:textId="77777777" w:rsidR="0081660A" w:rsidRPr="00E97F0A" w:rsidRDefault="0081660A" w:rsidP="00DA2CD9">
            <w:pPr>
              <w:tabs>
                <w:tab w:val="left" w:pos="4020"/>
              </w:tabs>
              <w:jc w:val="center"/>
              <w:rPr>
                <w:sz w:val="22"/>
                <w:szCs w:val="22"/>
              </w:rPr>
            </w:pPr>
            <w:r w:rsidRPr="00E97F0A">
              <w:rPr>
                <w:sz w:val="22"/>
                <w:szCs w:val="22"/>
              </w:rPr>
              <w:t>за</w:t>
            </w:r>
          </w:p>
        </w:tc>
      </w:tr>
      <w:tr w:rsidR="00E97F0A" w:rsidRPr="00E97F0A" w14:paraId="679B55C7" w14:textId="77777777" w:rsidTr="00EB63B8">
        <w:tc>
          <w:tcPr>
            <w:tcW w:w="959" w:type="dxa"/>
          </w:tcPr>
          <w:p w14:paraId="43C0EA93" w14:textId="77777777" w:rsidR="0081660A" w:rsidRPr="00E97F0A" w:rsidRDefault="0081660A" w:rsidP="00DA2CD9">
            <w:pPr>
              <w:tabs>
                <w:tab w:val="left" w:pos="4020"/>
              </w:tabs>
              <w:jc w:val="center"/>
              <w:rPr>
                <w:sz w:val="22"/>
                <w:szCs w:val="22"/>
              </w:rPr>
            </w:pPr>
            <w:r w:rsidRPr="00E97F0A">
              <w:rPr>
                <w:sz w:val="22"/>
                <w:szCs w:val="22"/>
              </w:rPr>
              <w:t>5.</w:t>
            </w:r>
          </w:p>
        </w:tc>
        <w:tc>
          <w:tcPr>
            <w:tcW w:w="2391" w:type="dxa"/>
          </w:tcPr>
          <w:p w14:paraId="5AF3F17A" w14:textId="77777777" w:rsidR="0081660A" w:rsidRPr="00E97F0A" w:rsidRDefault="0081660A" w:rsidP="00DA2CD9">
            <w:pPr>
              <w:tabs>
                <w:tab w:val="left" w:pos="4020"/>
              </w:tabs>
              <w:rPr>
                <w:sz w:val="22"/>
                <w:szCs w:val="22"/>
              </w:rPr>
            </w:pPr>
            <w:r w:rsidRPr="00E97F0A">
              <w:rPr>
                <w:sz w:val="22"/>
                <w:szCs w:val="22"/>
              </w:rPr>
              <w:t>Полозов И.Г.</w:t>
            </w:r>
          </w:p>
        </w:tc>
        <w:tc>
          <w:tcPr>
            <w:tcW w:w="3493" w:type="dxa"/>
          </w:tcPr>
          <w:p w14:paraId="5B83BA9F" w14:textId="77777777" w:rsidR="0081660A" w:rsidRPr="00E97F0A" w:rsidRDefault="0081660A" w:rsidP="00DA2CD9">
            <w:pPr>
              <w:tabs>
                <w:tab w:val="left" w:pos="4020"/>
              </w:tabs>
              <w:jc w:val="center"/>
              <w:rPr>
                <w:sz w:val="22"/>
                <w:szCs w:val="22"/>
              </w:rPr>
            </w:pPr>
            <w:r w:rsidRPr="00E97F0A">
              <w:rPr>
                <w:sz w:val="22"/>
                <w:szCs w:val="22"/>
              </w:rPr>
              <w:t>за</w:t>
            </w:r>
          </w:p>
        </w:tc>
      </w:tr>
      <w:tr w:rsidR="00E97F0A" w:rsidRPr="00E97F0A" w14:paraId="06E336A7" w14:textId="77777777" w:rsidTr="00EB63B8">
        <w:tc>
          <w:tcPr>
            <w:tcW w:w="959" w:type="dxa"/>
          </w:tcPr>
          <w:p w14:paraId="4D36A256" w14:textId="77777777" w:rsidR="0081660A" w:rsidRPr="00E97F0A" w:rsidRDefault="0081660A" w:rsidP="00DA2CD9">
            <w:pPr>
              <w:tabs>
                <w:tab w:val="left" w:pos="4020"/>
              </w:tabs>
              <w:jc w:val="center"/>
              <w:rPr>
                <w:sz w:val="22"/>
                <w:szCs w:val="22"/>
              </w:rPr>
            </w:pPr>
            <w:r w:rsidRPr="00E97F0A">
              <w:rPr>
                <w:sz w:val="22"/>
                <w:szCs w:val="22"/>
              </w:rPr>
              <w:t>6.</w:t>
            </w:r>
          </w:p>
        </w:tc>
        <w:tc>
          <w:tcPr>
            <w:tcW w:w="2391" w:type="dxa"/>
          </w:tcPr>
          <w:p w14:paraId="43FE9E6D" w14:textId="77777777" w:rsidR="0081660A" w:rsidRPr="00E97F0A" w:rsidRDefault="0081660A" w:rsidP="00DA2CD9">
            <w:pPr>
              <w:tabs>
                <w:tab w:val="left" w:pos="4020"/>
              </w:tabs>
              <w:rPr>
                <w:sz w:val="22"/>
                <w:szCs w:val="22"/>
              </w:rPr>
            </w:pPr>
            <w:r w:rsidRPr="00E97F0A">
              <w:rPr>
                <w:sz w:val="22"/>
                <w:szCs w:val="22"/>
              </w:rPr>
              <w:t>Коннова Е.А.</w:t>
            </w:r>
          </w:p>
        </w:tc>
        <w:tc>
          <w:tcPr>
            <w:tcW w:w="3493" w:type="dxa"/>
          </w:tcPr>
          <w:p w14:paraId="1A1085A1" w14:textId="77777777" w:rsidR="0081660A" w:rsidRPr="00E97F0A" w:rsidRDefault="0081660A" w:rsidP="00DA2CD9">
            <w:pPr>
              <w:tabs>
                <w:tab w:val="left" w:pos="4020"/>
              </w:tabs>
              <w:jc w:val="center"/>
              <w:rPr>
                <w:sz w:val="22"/>
                <w:szCs w:val="22"/>
              </w:rPr>
            </w:pPr>
            <w:r w:rsidRPr="00E97F0A">
              <w:rPr>
                <w:sz w:val="22"/>
                <w:szCs w:val="22"/>
              </w:rPr>
              <w:t>за</w:t>
            </w:r>
          </w:p>
        </w:tc>
      </w:tr>
      <w:tr w:rsidR="00E97F0A" w:rsidRPr="00E97F0A" w14:paraId="024B6870" w14:textId="77777777" w:rsidTr="00EB63B8">
        <w:tc>
          <w:tcPr>
            <w:tcW w:w="959" w:type="dxa"/>
          </w:tcPr>
          <w:p w14:paraId="55B44AE1" w14:textId="77777777" w:rsidR="0081660A" w:rsidRPr="00E97F0A" w:rsidRDefault="0081660A" w:rsidP="00DA2CD9">
            <w:pPr>
              <w:tabs>
                <w:tab w:val="left" w:pos="4020"/>
              </w:tabs>
              <w:jc w:val="center"/>
              <w:rPr>
                <w:sz w:val="22"/>
                <w:szCs w:val="22"/>
              </w:rPr>
            </w:pPr>
            <w:r w:rsidRPr="00E97F0A">
              <w:rPr>
                <w:sz w:val="22"/>
                <w:szCs w:val="22"/>
              </w:rPr>
              <w:t>7.</w:t>
            </w:r>
          </w:p>
        </w:tc>
        <w:tc>
          <w:tcPr>
            <w:tcW w:w="2391" w:type="dxa"/>
          </w:tcPr>
          <w:p w14:paraId="00A98C02" w14:textId="77777777" w:rsidR="0081660A" w:rsidRPr="00E97F0A" w:rsidRDefault="0081660A" w:rsidP="00DA2CD9">
            <w:pPr>
              <w:tabs>
                <w:tab w:val="left" w:pos="4020"/>
              </w:tabs>
              <w:rPr>
                <w:sz w:val="22"/>
                <w:szCs w:val="22"/>
              </w:rPr>
            </w:pPr>
            <w:r w:rsidRPr="00E97F0A">
              <w:rPr>
                <w:sz w:val="22"/>
                <w:szCs w:val="22"/>
              </w:rPr>
              <w:t>Агапова О.П.</w:t>
            </w:r>
          </w:p>
        </w:tc>
        <w:tc>
          <w:tcPr>
            <w:tcW w:w="3493" w:type="dxa"/>
          </w:tcPr>
          <w:p w14:paraId="036CDC48" w14:textId="77777777" w:rsidR="0081660A" w:rsidRPr="00E97F0A" w:rsidRDefault="0081660A" w:rsidP="00DA2CD9">
            <w:pPr>
              <w:tabs>
                <w:tab w:val="left" w:pos="4020"/>
              </w:tabs>
              <w:jc w:val="center"/>
              <w:rPr>
                <w:sz w:val="22"/>
                <w:szCs w:val="22"/>
              </w:rPr>
            </w:pPr>
            <w:r w:rsidRPr="00E97F0A">
              <w:rPr>
                <w:sz w:val="22"/>
                <w:szCs w:val="22"/>
              </w:rPr>
              <w:t>за</w:t>
            </w:r>
          </w:p>
        </w:tc>
      </w:tr>
    </w:tbl>
    <w:p w14:paraId="21F24B19" w14:textId="77777777" w:rsidR="0081660A" w:rsidRPr="00E97F0A" w:rsidRDefault="0081660A" w:rsidP="00DA2CD9">
      <w:pPr>
        <w:pStyle w:val="24"/>
        <w:widowControl/>
        <w:ind w:left="709" w:firstLine="0"/>
        <w:rPr>
          <w:sz w:val="22"/>
          <w:szCs w:val="22"/>
        </w:rPr>
      </w:pPr>
      <w:r w:rsidRPr="00E97F0A">
        <w:rPr>
          <w:sz w:val="22"/>
          <w:szCs w:val="22"/>
        </w:rPr>
        <w:t>Итого: за – 7, против – 0, воздержался – 0, отсутствуют – 0.</w:t>
      </w:r>
    </w:p>
    <w:p w14:paraId="378449EF" w14:textId="77777777" w:rsidR="00515D36" w:rsidRPr="00E97F0A" w:rsidRDefault="00515D36" w:rsidP="00515D36">
      <w:pPr>
        <w:widowControl/>
        <w:ind w:firstLine="567"/>
        <w:jc w:val="both"/>
        <w:rPr>
          <w:sz w:val="22"/>
          <w:szCs w:val="22"/>
        </w:rPr>
      </w:pPr>
    </w:p>
    <w:p w14:paraId="1EB2AAC2" w14:textId="77777777" w:rsidR="00C27B38" w:rsidRPr="00E97F0A" w:rsidRDefault="00C27B38" w:rsidP="00DA2CD9">
      <w:pPr>
        <w:widowControl/>
        <w:rPr>
          <w:sz w:val="22"/>
          <w:szCs w:val="22"/>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E97F0A" w:rsidRPr="00E97F0A" w14:paraId="64FEF027" w14:textId="77777777" w:rsidTr="00EB63B8">
        <w:trPr>
          <w:trHeight w:val="371"/>
        </w:trPr>
        <w:tc>
          <w:tcPr>
            <w:tcW w:w="6352" w:type="dxa"/>
            <w:vAlign w:val="bottom"/>
            <w:hideMark/>
          </w:tcPr>
          <w:p w14:paraId="536A0690" w14:textId="77777777" w:rsidR="0044273A" w:rsidRPr="00E97F0A" w:rsidRDefault="0044273A" w:rsidP="00DA2CD9">
            <w:pPr>
              <w:rPr>
                <w:sz w:val="22"/>
                <w:szCs w:val="22"/>
              </w:rPr>
            </w:pPr>
            <w:r w:rsidRPr="00E97F0A">
              <w:rPr>
                <w:sz w:val="22"/>
                <w:szCs w:val="22"/>
              </w:rPr>
              <w:t>Ответственный секретарь Правления</w:t>
            </w:r>
          </w:p>
        </w:tc>
        <w:tc>
          <w:tcPr>
            <w:tcW w:w="1553" w:type="dxa"/>
            <w:vAlign w:val="center"/>
          </w:tcPr>
          <w:p w14:paraId="258AA080" w14:textId="77777777" w:rsidR="0044273A" w:rsidRPr="00E97F0A" w:rsidRDefault="0044273A" w:rsidP="00DA2CD9">
            <w:pPr>
              <w:tabs>
                <w:tab w:val="left" w:pos="4020"/>
              </w:tabs>
              <w:jc w:val="center"/>
              <w:rPr>
                <w:sz w:val="22"/>
                <w:szCs w:val="22"/>
              </w:rPr>
            </w:pPr>
          </w:p>
        </w:tc>
        <w:tc>
          <w:tcPr>
            <w:tcW w:w="2452" w:type="dxa"/>
            <w:vAlign w:val="bottom"/>
            <w:hideMark/>
          </w:tcPr>
          <w:p w14:paraId="523C0E57" w14:textId="68ACB1C1" w:rsidR="0044273A" w:rsidRPr="00E97F0A" w:rsidRDefault="00E73D34" w:rsidP="00DA2CD9">
            <w:pPr>
              <w:tabs>
                <w:tab w:val="left" w:pos="4020"/>
              </w:tabs>
              <w:jc w:val="right"/>
              <w:rPr>
                <w:sz w:val="22"/>
                <w:szCs w:val="22"/>
              </w:rPr>
            </w:pPr>
            <w:r w:rsidRPr="00E97F0A">
              <w:rPr>
                <w:sz w:val="22"/>
                <w:szCs w:val="22"/>
              </w:rPr>
              <w:t>Е.Н. Карика</w:t>
            </w:r>
          </w:p>
        </w:tc>
      </w:tr>
      <w:tr w:rsidR="00E97F0A" w:rsidRPr="00E97F0A" w14:paraId="0C328104" w14:textId="77777777" w:rsidTr="00EB63B8">
        <w:trPr>
          <w:trHeight w:val="245"/>
        </w:trPr>
        <w:tc>
          <w:tcPr>
            <w:tcW w:w="6352" w:type="dxa"/>
            <w:vAlign w:val="bottom"/>
          </w:tcPr>
          <w:p w14:paraId="234FEC20" w14:textId="77777777" w:rsidR="0044273A" w:rsidRPr="00E97F0A" w:rsidRDefault="0044273A" w:rsidP="00DA2CD9">
            <w:pPr>
              <w:rPr>
                <w:b/>
                <w:sz w:val="22"/>
                <w:szCs w:val="22"/>
              </w:rPr>
            </w:pPr>
            <w:r w:rsidRPr="00E97F0A">
              <w:rPr>
                <w:b/>
                <w:sz w:val="22"/>
                <w:szCs w:val="22"/>
              </w:rPr>
              <w:t>Члены правления:</w:t>
            </w:r>
          </w:p>
        </w:tc>
        <w:tc>
          <w:tcPr>
            <w:tcW w:w="1553" w:type="dxa"/>
            <w:vAlign w:val="center"/>
          </w:tcPr>
          <w:p w14:paraId="4C2246F0" w14:textId="77777777" w:rsidR="0044273A" w:rsidRPr="00E97F0A" w:rsidRDefault="0044273A" w:rsidP="00DA2CD9">
            <w:pPr>
              <w:tabs>
                <w:tab w:val="left" w:pos="4020"/>
              </w:tabs>
              <w:jc w:val="center"/>
              <w:rPr>
                <w:sz w:val="22"/>
                <w:szCs w:val="22"/>
              </w:rPr>
            </w:pPr>
          </w:p>
        </w:tc>
        <w:tc>
          <w:tcPr>
            <w:tcW w:w="2452" w:type="dxa"/>
            <w:vAlign w:val="bottom"/>
          </w:tcPr>
          <w:p w14:paraId="5A0851AF" w14:textId="77777777" w:rsidR="0044273A" w:rsidRPr="00E97F0A" w:rsidRDefault="0044273A" w:rsidP="00DA2CD9">
            <w:pPr>
              <w:tabs>
                <w:tab w:val="left" w:pos="4020"/>
              </w:tabs>
              <w:jc w:val="right"/>
              <w:rPr>
                <w:sz w:val="22"/>
                <w:szCs w:val="22"/>
              </w:rPr>
            </w:pPr>
          </w:p>
        </w:tc>
      </w:tr>
      <w:tr w:rsidR="00E97F0A" w:rsidRPr="00E97F0A" w14:paraId="4E808630" w14:textId="77777777" w:rsidTr="00EB63B8">
        <w:trPr>
          <w:trHeight w:val="547"/>
        </w:trPr>
        <w:tc>
          <w:tcPr>
            <w:tcW w:w="6352" w:type="dxa"/>
            <w:vAlign w:val="bottom"/>
          </w:tcPr>
          <w:p w14:paraId="088C3326" w14:textId="77777777" w:rsidR="0044273A" w:rsidRPr="00E97F0A" w:rsidRDefault="0044273A" w:rsidP="00DA2CD9">
            <w:pPr>
              <w:rPr>
                <w:sz w:val="22"/>
                <w:szCs w:val="22"/>
              </w:rPr>
            </w:pPr>
            <w:r w:rsidRPr="00E97F0A">
              <w:rPr>
                <w:sz w:val="22"/>
                <w:szCs w:val="22"/>
              </w:rPr>
              <w:t>Первый заместитель директора Департамента энергетики и тарифов Ивановской области</w:t>
            </w:r>
          </w:p>
        </w:tc>
        <w:tc>
          <w:tcPr>
            <w:tcW w:w="1553" w:type="dxa"/>
          </w:tcPr>
          <w:p w14:paraId="0592F13B" w14:textId="77777777" w:rsidR="0044273A" w:rsidRPr="00E97F0A" w:rsidRDefault="0044273A" w:rsidP="00DA2CD9">
            <w:pPr>
              <w:tabs>
                <w:tab w:val="left" w:pos="4020"/>
              </w:tabs>
              <w:jc w:val="center"/>
              <w:rPr>
                <w:sz w:val="22"/>
                <w:szCs w:val="22"/>
              </w:rPr>
            </w:pPr>
          </w:p>
        </w:tc>
        <w:tc>
          <w:tcPr>
            <w:tcW w:w="2452" w:type="dxa"/>
            <w:vAlign w:val="bottom"/>
          </w:tcPr>
          <w:p w14:paraId="713D0F4A" w14:textId="77777777" w:rsidR="0044273A" w:rsidRPr="00E97F0A" w:rsidRDefault="0044273A" w:rsidP="00DA2CD9">
            <w:pPr>
              <w:tabs>
                <w:tab w:val="left" w:pos="4020"/>
              </w:tabs>
              <w:jc w:val="right"/>
              <w:rPr>
                <w:sz w:val="22"/>
                <w:szCs w:val="22"/>
              </w:rPr>
            </w:pPr>
            <w:r w:rsidRPr="00E97F0A">
              <w:rPr>
                <w:sz w:val="22"/>
                <w:szCs w:val="22"/>
              </w:rPr>
              <w:t>С.Е. Бугаева</w:t>
            </w:r>
          </w:p>
        </w:tc>
      </w:tr>
      <w:tr w:rsidR="00E97F0A" w:rsidRPr="00E97F0A" w14:paraId="773475BF" w14:textId="77777777" w:rsidTr="00EB63B8">
        <w:trPr>
          <w:trHeight w:val="547"/>
        </w:trPr>
        <w:tc>
          <w:tcPr>
            <w:tcW w:w="6352" w:type="dxa"/>
            <w:vAlign w:val="bottom"/>
          </w:tcPr>
          <w:p w14:paraId="33A8C677" w14:textId="77777777" w:rsidR="0044273A" w:rsidRPr="00E97F0A" w:rsidRDefault="0044273A" w:rsidP="00DA2CD9">
            <w:pPr>
              <w:rPr>
                <w:sz w:val="22"/>
                <w:szCs w:val="22"/>
              </w:rPr>
            </w:pPr>
            <w:r w:rsidRPr="00E97F0A">
              <w:rPr>
                <w:sz w:val="22"/>
                <w:szCs w:val="22"/>
              </w:rPr>
              <w:t>Заместитель директора Департамента энергетики и тарифов Ивановской области, статс-секретарь</w:t>
            </w:r>
          </w:p>
        </w:tc>
        <w:tc>
          <w:tcPr>
            <w:tcW w:w="1553" w:type="dxa"/>
          </w:tcPr>
          <w:p w14:paraId="6CD293B3" w14:textId="77777777" w:rsidR="0044273A" w:rsidRPr="00E97F0A" w:rsidRDefault="0044273A" w:rsidP="00DA2CD9">
            <w:pPr>
              <w:tabs>
                <w:tab w:val="left" w:pos="4020"/>
              </w:tabs>
              <w:jc w:val="center"/>
              <w:rPr>
                <w:sz w:val="22"/>
                <w:szCs w:val="22"/>
              </w:rPr>
            </w:pPr>
          </w:p>
        </w:tc>
        <w:tc>
          <w:tcPr>
            <w:tcW w:w="2452" w:type="dxa"/>
            <w:vAlign w:val="bottom"/>
          </w:tcPr>
          <w:p w14:paraId="65793D60" w14:textId="77777777" w:rsidR="0044273A" w:rsidRPr="00E97F0A" w:rsidRDefault="0044273A" w:rsidP="00DA2CD9">
            <w:pPr>
              <w:tabs>
                <w:tab w:val="left" w:pos="4020"/>
              </w:tabs>
              <w:jc w:val="right"/>
              <w:rPr>
                <w:sz w:val="22"/>
                <w:szCs w:val="22"/>
              </w:rPr>
            </w:pPr>
            <w:r w:rsidRPr="00E97F0A">
              <w:rPr>
                <w:sz w:val="22"/>
                <w:szCs w:val="22"/>
              </w:rPr>
              <w:t>Н.Б. Гущина</w:t>
            </w:r>
          </w:p>
        </w:tc>
      </w:tr>
      <w:tr w:rsidR="00E97F0A" w:rsidRPr="00E97F0A" w14:paraId="4BDC0311" w14:textId="77777777" w:rsidTr="00EB63B8">
        <w:trPr>
          <w:trHeight w:val="547"/>
        </w:trPr>
        <w:tc>
          <w:tcPr>
            <w:tcW w:w="6352" w:type="dxa"/>
            <w:vAlign w:val="bottom"/>
          </w:tcPr>
          <w:p w14:paraId="3296137A" w14:textId="77777777" w:rsidR="0044273A" w:rsidRPr="00E97F0A" w:rsidRDefault="0044273A" w:rsidP="00DA2CD9">
            <w:pPr>
              <w:rPr>
                <w:sz w:val="22"/>
                <w:szCs w:val="22"/>
              </w:rPr>
            </w:pPr>
            <w:r w:rsidRPr="00E97F0A">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42760929" w14:textId="77777777" w:rsidR="0044273A" w:rsidRPr="00E97F0A" w:rsidRDefault="0044273A" w:rsidP="00DA2CD9">
            <w:pPr>
              <w:tabs>
                <w:tab w:val="left" w:pos="4020"/>
              </w:tabs>
              <w:jc w:val="center"/>
              <w:rPr>
                <w:sz w:val="22"/>
                <w:szCs w:val="22"/>
              </w:rPr>
            </w:pPr>
          </w:p>
        </w:tc>
        <w:tc>
          <w:tcPr>
            <w:tcW w:w="2452" w:type="dxa"/>
            <w:vAlign w:val="bottom"/>
          </w:tcPr>
          <w:p w14:paraId="454A3B91" w14:textId="77777777" w:rsidR="0044273A" w:rsidRPr="00E97F0A" w:rsidRDefault="0044273A" w:rsidP="00DA2CD9">
            <w:pPr>
              <w:tabs>
                <w:tab w:val="left" w:pos="4020"/>
              </w:tabs>
              <w:jc w:val="right"/>
              <w:rPr>
                <w:sz w:val="22"/>
                <w:szCs w:val="22"/>
              </w:rPr>
            </w:pPr>
            <w:r w:rsidRPr="00E97F0A">
              <w:rPr>
                <w:sz w:val="22"/>
                <w:szCs w:val="22"/>
              </w:rPr>
              <w:t>Е.В. Турбачкина</w:t>
            </w:r>
          </w:p>
        </w:tc>
      </w:tr>
      <w:tr w:rsidR="00E97F0A" w:rsidRPr="00E97F0A" w14:paraId="7F183D3F" w14:textId="77777777" w:rsidTr="00EB63B8">
        <w:trPr>
          <w:trHeight w:val="559"/>
        </w:trPr>
        <w:tc>
          <w:tcPr>
            <w:tcW w:w="6352" w:type="dxa"/>
            <w:vAlign w:val="bottom"/>
            <w:hideMark/>
          </w:tcPr>
          <w:p w14:paraId="526E7166" w14:textId="77777777" w:rsidR="0044273A" w:rsidRPr="00E97F0A" w:rsidRDefault="0044273A" w:rsidP="00DA2CD9">
            <w:pPr>
              <w:rPr>
                <w:sz w:val="22"/>
                <w:szCs w:val="22"/>
              </w:rPr>
            </w:pPr>
            <w:r w:rsidRPr="00E97F0A">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7201482B" w14:textId="77777777" w:rsidR="0044273A" w:rsidRPr="00E97F0A" w:rsidRDefault="0044273A" w:rsidP="00DA2CD9">
            <w:pPr>
              <w:tabs>
                <w:tab w:val="left" w:pos="4020"/>
              </w:tabs>
              <w:jc w:val="center"/>
              <w:rPr>
                <w:sz w:val="22"/>
                <w:szCs w:val="22"/>
              </w:rPr>
            </w:pPr>
          </w:p>
        </w:tc>
        <w:tc>
          <w:tcPr>
            <w:tcW w:w="2452" w:type="dxa"/>
            <w:vAlign w:val="bottom"/>
          </w:tcPr>
          <w:p w14:paraId="363A8BF6" w14:textId="77777777" w:rsidR="0044273A" w:rsidRPr="00E97F0A" w:rsidRDefault="0044273A" w:rsidP="00DA2CD9">
            <w:pPr>
              <w:tabs>
                <w:tab w:val="left" w:pos="4020"/>
              </w:tabs>
              <w:jc w:val="right"/>
              <w:rPr>
                <w:sz w:val="22"/>
                <w:szCs w:val="22"/>
              </w:rPr>
            </w:pPr>
            <w:r w:rsidRPr="00E97F0A">
              <w:rPr>
                <w:sz w:val="22"/>
                <w:szCs w:val="22"/>
              </w:rPr>
              <w:t>Е.А. Коннова</w:t>
            </w:r>
          </w:p>
        </w:tc>
      </w:tr>
      <w:tr w:rsidR="00E97F0A" w:rsidRPr="00E97F0A" w14:paraId="6916F7A7" w14:textId="77777777" w:rsidTr="00EB63B8">
        <w:trPr>
          <w:trHeight w:val="553"/>
        </w:trPr>
        <w:tc>
          <w:tcPr>
            <w:tcW w:w="6352" w:type="dxa"/>
            <w:vAlign w:val="bottom"/>
            <w:hideMark/>
          </w:tcPr>
          <w:p w14:paraId="5FF294C4" w14:textId="77777777" w:rsidR="0044273A" w:rsidRPr="00E97F0A" w:rsidRDefault="0044273A" w:rsidP="00DA2CD9">
            <w:pPr>
              <w:rPr>
                <w:sz w:val="22"/>
                <w:szCs w:val="22"/>
              </w:rPr>
            </w:pPr>
            <w:r w:rsidRPr="00E97F0A">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78421F35" w14:textId="77777777" w:rsidR="0044273A" w:rsidRPr="00E97F0A" w:rsidRDefault="0044273A" w:rsidP="00DA2CD9">
            <w:pPr>
              <w:tabs>
                <w:tab w:val="left" w:pos="4020"/>
              </w:tabs>
              <w:jc w:val="center"/>
              <w:rPr>
                <w:sz w:val="22"/>
                <w:szCs w:val="22"/>
              </w:rPr>
            </w:pPr>
          </w:p>
        </w:tc>
        <w:tc>
          <w:tcPr>
            <w:tcW w:w="2452" w:type="dxa"/>
            <w:vAlign w:val="bottom"/>
          </w:tcPr>
          <w:p w14:paraId="1BB425B3" w14:textId="77777777" w:rsidR="0044273A" w:rsidRPr="00E97F0A" w:rsidRDefault="0044273A" w:rsidP="00DA2CD9">
            <w:pPr>
              <w:tabs>
                <w:tab w:val="left" w:pos="4020"/>
              </w:tabs>
              <w:jc w:val="right"/>
              <w:rPr>
                <w:sz w:val="22"/>
                <w:szCs w:val="22"/>
              </w:rPr>
            </w:pPr>
            <w:r w:rsidRPr="00E97F0A">
              <w:rPr>
                <w:sz w:val="22"/>
                <w:szCs w:val="22"/>
              </w:rPr>
              <w:t>И.Г. Полозов</w:t>
            </w:r>
          </w:p>
        </w:tc>
      </w:tr>
      <w:tr w:rsidR="00E97F0A" w:rsidRPr="00E97F0A" w14:paraId="7F8AF4C0" w14:textId="77777777" w:rsidTr="00EB63B8">
        <w:trPr>
          <w:trHeight w:val="799"/>
        </w:trPr>
        <w:tc>
          <w:tcPr>
            <w:tcW w:w="6352" w:type="dxa"/>
            <w:vAlign w:val="bottom"/>
            <w:hideMark/>
          </w:tcPr>
          <w:p w14:paraId="3127A147" w14:textId="77777777" w:rsidR="0044273A" w:rsidRPr="00E97F0A" w:rsidRDefault="0044273A" w:rsidP="00DA2CD9">
            <w:pPr>
              <w:rPr>
                <w:sz w:val="22"/>
                <w:szCs w:val="22"/>
              </w:rPr>
            </w:pPr>
            <w:r w:rsidRPr="00E97F0A">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5862F1F0" w14:textId="77777777" w:rsidR="0044273A" w:rsidRPr="00E97F0A" w:rsidRDefault="0044273A" w:rsidP="00DA2CD9">
            <w:pPr>
              <w:tabs>
                <w:tab w:val="left" w:pos="4020"/>
              </w:tabs>
              <w:jc w:val="center"/>
              <w:rPr>
                <w:sz w:val="22"/>
                <w:szCs w:val="22"/>
              </w:rPr>
            </w:pPr>
          </w:p>
        </w:tc>
        <w:tc>
          <w:tcPr>
            <w:tcW w:w="2452" w:type="dxa"/>
            <w:vAlign w:val="bottom"/>
          </w:tcPr>
          <w:p w14:paraId="66E87986" w14:textId="77777777" w:rsidR="0044273A" w:rsidRPr="00E97F0A" w:rsidRDefault="0044273A" w:rsidP="00DA2CD9">
            <w:pPr>
              <w:tabs>
                <w:tab w:val="left" w:pos="4020"/>
              </w:tabs>
              <w:jc w:val="right"/>
              <w:rPr>
                <w:sz w:val="22"/>
                <w:szCs w:val="22"/>
              </w:rPr>
            </w:pPr>
            <w:r w:rsidRPr="00E97F0A">
              <w:rPr>
                <w:sz w:val="22"/>
                <w:szCs w:val="22"/>
              </w:rPr>
              <w:t>О.П. Агапова</w:t>
            </w:r>
          </w:p>
        </w:tc>
      </w:tr>
      <w:tr w:rsidR="00E97F0A" w:rsidRPr="00E97F0A" w14:paraId="41E41026" w14:textId="77777777" w:rsidTr="00EB63B8">
        <w:trPr>
          <w:trHeight w:val="541"/>
        </w:trPr>
        <w:tc>
          <w:tcPr>
            <w:tcW w:w="6352" w:type="dxa"/>
            <w:vAlign w:val="bottom"/>
            <w:hideMark/>
          </w:tcPr>
          <w:p w14:paraId="10DC593F" w14:textId="77777777" w:rsidR="0044273A" w:rsidRPr="00E97F0A" w:rsidRDefault="0044273A" w:rsidP="00DA2CD9">
            <w:pPr>
              <w:rPr>
                <w:sz w:val="22"/>
                <w:szCs w:val="22"/>
              </w:rPr>
            </w:pPr>
            <w:r w:rsidRPr="00E97F0A">
              <w:rPr>
                <w:sz w:val="22"/>
                <w:szCs w:val="22"/>
              </w:rPr>
              <w:t>Главный специалист-эксперт отдела антимонопольного контроля и контроля органов власти Управления Федеральной антимонопольной службы России по Ивановской области</w:t>
            </w:r>
          </w:p>
        </w:tc>
        <w:tc>
          <w:tcPr>
            <w:tcW w:w="1553" w:type="dxa"/>
          </w:tcPr>
          <w:p w14:paraId="70588426" w14:textId="77777777" w:rsidR="0044273A" w:rsidRPr="00E97F0A" w:rsidRDefault="0044273A" w:rsidP="00DA2CD9">
            <w:pPr>
              <w:tabs>
                <w:tab w:val="left" w:pos="4020"/>
              </w:tabs>
              <w:jc w:val="center"/>
              <w:rPr>
                <w:sz w:val="22"/>
                <w:szCs w:val="22"/>
              </w:rPr>
            </w:pPr>
          </w:p>
        </w:tc>
        <w:tc>
          <w:tcPr>
            <w:tcW w:w="2452" w:type="dxa"/>
            <w:vAlign w:val="bottom"/>
          </w:tcPr>
          <w:p w14:paraId="0ED2A3D6" w14:textId="77777777" w:rsidR="0044273A" w:rsidRPr="00E97F0A" w:rsidRDefault="0044273A" w:rsidP="00DA2CD9">
            <w:pPr>
              <w:tabs>
                <w:tab w:val="left" w:pos="4020"/>
              </w:tabs>
              <w:jc w:val="right"/>
              <w:rPr>
                <w:sz w:val="22"/>
                <w:szCs w:val="22"/>
              </w:rPr>
            </w:pPr>
            <w:r w:rsidRPr="00E97F0A">
              <w:rPr>
                <w:sz w:val="22"/>
                <w:szCs w:val="22"/>
              </w:rPr>
              <w:t>З.Б. Виднова</w:t>
            </w:r>
          </w:p>
        </w:tc>
      </w:tr>
    </w:tbl>
    <w:p w14:paraId="4B8759D2" w14:textId="77777777" w:rsidR="00A81060" w:rsidRPr="00554366" w:rsidRDefault="00A81060" w:rsidP="00DA2CD9">
      <w:pPr>
        <w:widowControl/>
        <w:rPr>
          <w:color w:val="FF0000"/>
          <w:sz w:val="22"/>
          <w:szCs w:val="22"/>
        </w:rPr>
      </w:pPr>
    </w:p>
    <w:sectPr w:rsidR="00A81060" w:rsidRPr="00554366" w:rsidSect="0019799D">
      <w:headerReference w:type="default" r:id="rId10"/>
      <w:pgSz w:w="11906" w:h="16838"/>
      <w:pgMar w:top="567" w:right="567" w:bottom="567"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F99DB" w14:textId="77777777" w:rsidR="00416C49" w:rsidRDefault="00416C49" w:rsidP="00510D4D">
      <w:r>
        <w:separator/>
      </w:r>
    </w:p>
  </w:endnote>
  <w:endnote w:type="continuationSeparator" w:id="0">
    <w:p w14:paraId="4B500EF9" w14:textId="77777777" w:rsidR="00416C49" w:rsidRDefault="00416C49"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A1F6D" w14:textId="77777777" w:rsidR="00416C49" w:rsidRDefault="00416C49" w:rsidP="00510D4D">
      <w:r>
        <w:separator/>
      </w:r>
    </w:p>
  </w:footnote>
  <w:footnote w:type="continuationSeparator" w:id="0">
    <w:p w14:paraId="3D19EEA2" w14:textId="77777777" w:rsidR="00416C49" w:rsidRDefault="00416C49"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648887"/>
      <w:docPartObj>
        <w:docPartGallery w:val="Page Numbers (Top of Page)"/>
        <w:docPartUnique/>
      </w:docPartObj>
    </w:sdtPr>
    <w:sdtEndPr/>
    <w:sdtContent>
      <w:p w14:paraId="318D7799" w14:textId="77777777" w:rsidR="00AB0579" w:rsidRDefault="00AB0579">
        <w:pPr>
          <w:pStyle w:val="a7"/>
          <w:jc w:val="right"/>
        </w:pPr>
        <w:r>
          <w:fldChar w:fldCharType="begin"/>
        </w:r>
        <w:r>
          <w:instrText>PAGE   \* MERGEFORMAT</w:instrText>
        </w:r>
        <w:r>
          <w:fldChar w:fldCharType="separate"/>
        </w:r>
        <w:r>
          <w:rPr>
            <w:noProof/>
          </w:rPr>
          <w:t>2</w:t>
        </w:r>
        <w:r>
          <w:rPr>
            <w:noProof/>
          </w:rPr>
          <w:fldChar w:fldCharType="end"/>
        </w:r>
      </w:p>
    </w:sdtContent>
  </w:sdt>
  <w:p w14:paraId="1B31EB33" w14:textId="77777777" w:rsidR="00AB0579" w:rsidRDefault="00AB0579">
    <w:pPr>
      <w:pStyle w:val="a7"/>
    </w:pPr>
  </w:p>
  <w:p w14:paraId="6518BA00" w14:textId="77777777" w:rsidR="00AB0579" w:rsidRDefault="00AB05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109B"/>
    <w:multiLevelType w:val="hybridMultilevel"/>
    <w:tmpl w:val="7D3E1DBE"/>
    <w:lvl w:ilvl="0" w:tplc="2FD8C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45855CB"/>
    <w:multiLevelType w:val="hybridMultilevel"/>
    <w:tmpl w:val="C552926E"/>
    <w:lvl w:ilvl="0" w:tplc="E6A277C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15:restartNumberingAfterBreak="0">
    <w:nsid w:val="0B2712D4"/>
    <w:multiLevelType w:val="hybridMultilevel"/>
    <w:tmpl w:val="046A8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487749"/>
    <w:multiLevelType w:val="hybridMultilevel"/>
    <w:tmpl w:val="5C4AF0DA"/>
    <w:lvl w:ilvl="0" w:tplc="F66E619E">
      <w:start w:val="1"/>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4" w15:restartNumberingAfterBreak="0">
    <w:nsid w:val="140F40F4"/>
    <w:multiLevelType w:val="hybridMultilevel"/>
    <w:tmpl w:val="13F60B7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5602CB4"/>
    <w:multiLevelType w:val="hybridMultilevel"/>
    <w:tmpl w:val="1E227CA8"/>
    <w:lvl w:ilvl="0" w:tplc="B406FFF4">
      <w:start w:val="1"/>
      <w:numFmt w:val="decimal"/>
      <w:lvlText w:val="%1."/>
      <w:lvlJc w:val="left"/>
      <w:pPr>
        <w:ind w:left="1620" w:hanging="360"/>
      </w:pPr>
      <w:rPr>
        <w:b w:val="0"/>
        <w:sz w:val="22"/>
        <w:szCs w:val="22"/>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15:restartNumberingAfterBreak="0">
    <w:nsid w:val="16CE0215"/>
    <w:multiLevelType w:val="hybridMultilevel"/>
    <w:tmpl w:val="855EED66"/>
    <w:lvl w:ilvl="0" w:tplc="71FC4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A055CF8"/>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1A8210DF"/>
    <w:multiLevelType w:val="hybridMultilevel"/>
    <w:tmpl w:val="553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C4364ED"/>
    <w:multiLevelType w:val="hybridMultilevel"/>
    <w:tmpl w:val="5FDCDB42"/>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CB5C03"/>
    <w:multiLevelType w:val="hybridMultilevel"/>
    <w:tmpl w:val="5888AF74"/>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B537BE"/>
    <w:multiLevelType w:val="hybridMultilevel"/>
    <w:tmpl w:val="D4BCBB8C"/>
    <w:lvl w:ilvl="0" w:tplc="7F08F00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15:restartNumberingAfterBreak="0">
    <w:nsid w:val="27D72B60"/>
    <w:multiLevelType w:val="hybridMultilevel"/>
    <w:tmpl w:val="2E18A584"/>
    <w:lvl w:ilvl="0" w:tplc="019C3204">
      <w:start w:val="4"/>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13" w15:restartNumberingAfterBreak="0">
    <w:nsid w:val="29992030"/>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4" w15:restartNumberingAfterBreak="0">
    <w:nsid w:val="2D6C39D9"/>
    <w:multiLevelType w:val="hybridMultilevel"/>
    <w:tmpl w:val="EA126C7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C542FF"/>
    <w:multiLevelType w:val="hybridMultilevel"/>
    <w:tmpl w:val="B24A4338"/>
    <w:lvl w:ilvl="0" w:tplc="39607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1AD6E84"/>
    <w:multiLevelType w:val="hybridMultilevel"/>
    <w:tmpl w:val="DF7AE8BA"/>
    <w:lvl w:ilvl="0" w:tplc="FF4822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73C2485"/>
    <w:multiLevelType w:val="hybridMultilevel"/>
    <w:tmpl w:val="E2F0B1B0"/>
    <w:lvl w:ilvl="0" w:tplc="60E4A1FC">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7BE2CFD"/>
    <w:multiLevelType w:val="hybridMultilevel"/>
    <w:tmpl w:val="1E227CA8"/>
    <w:lvl w:ilvl="0" w:tplc="FFFFFFFF">
      <w:start w:val="1"/>
      <w:numFmt w:val="decimal"/>
      <w:lvlText w:val="%1."/>
      <w:lvlJc w:val="left"/>
      <w:pPr>
        <w:ind w:left="1620" w:hanging="360"/>
      </w:pPr>
      <w:rPr>
        <w:b w:val="0"/>
        <w:sz w:val="22"/>
        <w:szCs w:val="22"/>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9" w15:restartNumberingAfterBreak="0">
    <w:nsid w:val="3B9C0E98"/>
    <w:multiLevelType w:val="hybridMultilevel"/>
    <w:tmpl w:val="3EAEE58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20" w15:restartNumberingAfterBreak="0">
    <w:nsid w:val="3DDD7B42"/>
    <w:multiLevelType w:val="hybridMultilevel"/>
    <w:tmpl w:val="178CC398"/>
    <w:lvl w:ilvl="0" w:tplc="FC0AA96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EDC43B6"/>
    <w:multiLevelType w:val="hybridMultilevel"/>
    <w:tmpl w:val="9BE65D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A72920"/>
    <w:multiLevelType w:val="hybridMultilevel"/>
    <w:tmpl w:val="B9C68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2553A9"/>
    <w:multiLevelType w:val="hybridMultilevel"/>
    <w:tmpl w:val="EB607A78"/>
    <w:lvl w:ilvl="0" w:tplc="E41EEA64">
      <w:start w:val="1"/>
      <w:numFmt w:val="decimal"/>
      <w:lvlText w:val="%1."/>
      <w:lvlJc w:val="left"/>
      <w:pPr>
        <w:ind w:left="1620" w:hanging="360"/>
      </w:pPr>
      <w:rPr>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4" w15:restartNumberingAfterBreak="0">
    <w:nsid w:val="48F763C2"/>
    <w:multiLevelType w:val="hybridMultilevel"/>
    <w:tmpl w:val="A76454E8"/>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E7574F"/>
    <w:multiLevelType w:val="hybridMultilevel"/>
    <w:tmpl w:val="1F5EDE72"/>
    <w:lvl w:ilvl="0" w:tplc="B5A6232A">
      <w:start w:val="1"/>
      <w:numFmt w:val="decimal"/>
      <w:lvlText w:val="%1."/>
      <w:lvlJc w:val="left"/>
      <w:pPr>
        <w:ind w:left="390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7" w15:restartNumberingAfterBreak="0">
    <w:nsid w:val="515A2825"/>
    <w:multiLevelType w:val="hybridMultilevel"/>
    <w:tmpl w:val="98AC98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55920718"/>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9" w15:restartNumberingAfterBreak="0">
    <w:nsid w:val="5CFE53BC"/>
    <w:multiLevelType w:val="hybridMultilevel"/>
    <w:tmpl w:val="EE46B8AE"/>
    <w:lvl w:ilvl="0" w:tplc="E4808E5C">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0" w15:restartNumberingAfterBreak="0">
    <w:nsid w:val="5D5970A2"/>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1" w15:restartNumberingAfterBreak="0">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67963B1B"/>
    <w:multiLevelType w:val="hybridMultilevel"/>
    <w:tmpl w:val="E440F868"/>
    <w:lvl w:ilvl="0" w:tplc="44665D6A">
      <w:start w:val="1"/>
      <w:numFmt w:val="decimal"/>
      <w:lvlText w:val="%1."/>
      <w:lvlJc w:val="left"/>
      <w:pPr>
        <w:ind w:left="2295" w:hanging="1395"/>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2D0528"/>
    <w:multiLevelType w:val="hybridMultilevel"/>
    <w:tmpl w:val="19D461E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73DFD"/>
    <w:multiLevelType w:val="hybridMultilevel"/>
    <w:tmpl w:val="C97E986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DFC1A46"/>
    <w:multiLevelType w:val="hybridMultilevel"/>
    <w:tmpl w:val="4B4E3D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1564668"/>
    <w:multiLevelType w:val="hybridMultilevel"/>
    <w:tmpl w:val="AADC5AA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76654901"/>
    <w:multiLevelType w:val="hybridMultilevel"/>
    <w:tmpl w:val="5844B73C"/>
    <w:lvl w:ilvl="0" w:tplc="02A0EF16">
      <w:start w:val="2"/>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78AB1726"/>
    <w:multiLevelType w:val="hybridMultilevel"/>
    <w:tmpl w:val="D1F89E66"/>
    <w:lvl w:ilvl="0" w:tplc="9A88E278">
      <w:start w:val="1"/>
      <w:numFmt w:val="decimal"/>
      <w:lvlText w:val="%1."/>
      <w:lvlJc w:val="left"/>
      <w:pPr>
        <w:ind w:left="927" w:hanging="360"/>
      </w:pPr>
      <w:rPr>
        <w:rFonts w:eastAsia="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A4F7601"/>
    <w:multiLevelType w:val="hybridMultilevel"/>
    <w:tmpl w:val="B8D454AE"/>
    <w:lvl w:ilvl="0" w:tplc="69684EEE">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F425CA"/>
    <w:multiLevelType w:val="hybridMultilevel"/>
    <w:tmpl w:val="FACC2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F7B6C10"/>
    <w:multiLevelType w:val="hybridMultilevel"/>
    <w:tmpl w:val="03F6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544104762">
    <w:abstractNumId w:val="26"/>
  </w:num>
  <w:num w:numId="2" w16cid:durableId="1164128529">
    <w:abstractNumId w:val="2"/>
  </w:num>
  <w:num w:numId="3" w16cid:durableId="1408334445">
    <w:abstractNumId w:val="13"/>
  </w:num>
  <w:num w:numId="4" w16cid:durableId="1073434631">
    <w:abstractNumId w:val="35"/>
  </w:num>
  <w:num w:numId="5" w16cid:durableId="260068563">
    <w:abstractNumId w:val="37"/>
  </w:num>
  <w:num w:numId="6" w16cid:durableId="1767775194">
    <w:abstractNumId w:val="19"/>
  </w:num>
  <w:num w:numId="7" w16cid:durableId="763115209">
    <w:abstractNumId w:val="36"/>
  </w:num>
  <w:num w:numId="8" w16cid:durableId="49617496">
    <w:abstractNumId w:val="27"/>
  </w:num>
  <w:num w:numId="9" w16cid:durableId="1084840551">
    <w:abstractNumId w:val="1"/>
  </w:num>
  <w:num w:numId="10" w16cid:durableId="975717822">
    <w:abstractNumId w:val="31"/>
  </w:num>
  <w:num w:numId="11" w16cid:durableId="1487553634">
    <w:abstractNumId w:val="21"/>
  </w:num>
  <w:num w:numId="12" w16cid:durableId="1522625747">
    <w:abstractNumId w:val="4"/>
  </w:num>
  <w:num w:numId="13" w16cid:durableId="53627692">
    <w:abstractNumId w:val="41"/>
  </w:num>
  <w:num w:numId="14" w16cid:durableId="846090770">
    <w:abstractNumId w:val="29"/>
  </w:num>
  <w:num w:numId="15" w16cid:durableId="1589315469">
    <w:abstractNumId w:val="3"/>
  </w:num>
  <w:num w:numId="16" w16cid:durableId="1689067405">
    <w:abstractNumId w:val="33"/>
  </w:num>
  <w:num w:numId="17" w16cid:durableId="636767415">
    <w:abstractNumId w:val="12"/>
  </w:num>
  <w:num w:numId="18" w16cid:durableId="1770618543">
    <w:abstractNumId w:val="8"/>
  </w:num>
  <w:num w:numId="19" w16cid:durableId="480586246">
    <w:abstractNumId w:val="32"/>
  </w:num>
  <w:num w:numId="20" w16cid:durableId="443112963">
    <w:abstractNumId w:val="23"/>
  </w:num>
  <w:num w:numId="21" w16cid:durableId="62140723">
    <w:abstractNumId w:val="0"/>
  </w:num>
  <w:num w:numId="22" w16cid:durableId="1588032892">
    <w:abstractNumId w:val="40"/>
  </w:num>
  <w:num w:numId="23" w16cid:durableId="1186674108">
    <w:abstractNumId w:val="30"/>
  </w:num>
  <w:num w:numId="24" w16cid:durableId="1610771383">
    <w:abstractNumId w:val="25"/>
  </w:num>
  <w:num w:numId="25" w16cid:durableId="751700185">
    <w:abstractNumId w:val="39"/>
  </w:num>
  <w:num w:numId="26" w16cid:durableId="1769883532">
    <w:abstractNumId w:val="14"/>
  </w:num>
  <w:num w:numId="27" w16cid:durableId="931280144">
    <w:abstractNumId w:val="24"/>
  </w:num>
  <w:num w:numId="28" w16cid:durableId="1026828069">
    <w:abstractNumId w:val="9"/>
  </w:num>
  <w:num w:numId="29" w16cid:durableId="1191265133">
    <w:abstractNumId w:val="34"/>
  </w:num>
  <w:num w:numId="30" w16cid:durableId="1284458691">
    <w:abstractNumId w:val="10"/>
  </w:num>
  <w:num w:numId="31" w16cid:durableId="1294562207">
    <w:abstractNumId w:val="28"/>
  </w:num>
  <w:num w:numId="32" w16cid:durableId="1843468530">
    <w:abstractNumId w:val="7"/>
  </w:num>
  <w:num w:numId="33" w16cid:durableId="645819033">
    <w:abstractNumId w:val="11"/>
  </w:num>
  <w:num w:numId="34" w16cid:durableId="484132731">
    <w:abstractNumId w:val="20"/>
  </w:num>
  <w:num w:numId="35" w16cid:durableId="875116614">
    <w:abstractNumId w:val="5"/>
  </w:num>
  <w:num w:numId="36" w16cid:durableId="454832249">
    <w:abstractNumId w:val="16"/>
  </w:num>
  <w:num w:numId="37" w16cid:durableId="1740130765">
    <w:abstractNumId w:val="18"/>
  </w:num>
  <w:num w:numId="38" w16cid:durableId="1963338715">
    <w:abstractNumId w:val="6"/>
  </w:num>
  <w:num w:numId="39" w16cid:durableId="337974299">
    <w:abstractNumId w:val="22"/>
  </w:num>
  <w:num w:numId="40" w16cid:durableId="1541745985">
    <w:abstractNumId w:val="38"/>
  </w:num>
  <w:num w:numId="41" w16cid:durableId="1785032408">
    <w:abstractNumId w:val="17"/>
  </w:num>
  <w:num w:numId="42" w16cid:durableId="212638200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95C"/>
    <w:rsid w:val="0000078D"/>
    <w:rsid w:val="00003BB3"/>
    <w:rsid w:val="000047E6"/>
    <w:rsid w:val="000070FF"/>
    <w:rsid w:val="000074C7"/>
    <w:rsid w:val="00010875"/>
    <w:rsid w:val="00011A40"/>
    <w:rsid w:val="000127BB"/>
    <w:rsid w:val="00013429"/>
    <w:rsid w:val="000142F5"/>
    <w:rsid w:val="00014BDF"/>
    <w:rsid w:val="000168A3"/>
    <w:rsid w:val="0001735F"/>
    <w:rsid w:val="000206F5"/>
    <w:rsid w:val="00021AB6"/>
    <w:rsid w:val="00021D64"/>
    <w:rsid w:val="00022359"/>
    <w:rsid w:val="00027516"/>
    <w:rsid w:val="0003041F"/>
    <w:rsid w:val="000308D6"/>
    <w:rsid w:val="0003102F"/>
    <w:rsid w:val="00033E97"/>
    <w:rsid w:val="00035F48"/>
    <w:rsid w:val="000364D8"/>
    <w:rsid w:val="00044259"/>
    <w:rsid w:val="000512E4"/>
    <w:rsid w:val="0005218C"/>
    <w:rsid w:val="0005377A"/>
    <w:rsid w:val="00053FE0"/>
    <w:rsid w:val="00054215"/>
    <w:rsid w:val="00055D37"/>
    <w:rsid w:val="00057289"/>
    <w:rsid w:val="000579CF"/>
    <w:rsid w:val="00060452"/>
    <w:rsid w:val="000620D4"/>
    <w:rsid w:val="000626D7"/>
    <w:rsid w:val="000628B2"/>
    <w:rsid w:val="00062D8F"/>
    <w:rsid w:val="00063F8F"/>
    <w:rsid w:val="00065FC8"/>
    <w:rsid w:val="000711B7"/>
    <w:rsid w:val="00074964"/>
    <w:rsid w:val="00076365"/>
    <w:rsid w:val="000769E5"/>
    <w:rsid w:val="00077E77"/>
    <w:rsid w:val="000800F5"/>
    <w:rsid w:val="000805B1"/>
    <w:rsid w:val="00081E50"/>
    <w:rsid w:val="000827D2"/>
    <w:rsid w:val="00084C4E"/>
    <w:rsid w:val="00085524"/>
    <w:rsid w:val="00086A24"/>
    <w:rsid w:val="00087306"/>
    <w:rsid w:val="0008799A"/>
    <w:rsid w:val="0009147F"/>
    <w:rsid w:val="00092FA3"/>
    <w:rsid w:val="00094EB6"/>
    <w:rsid w:val="00096B7C"/>
    <w:rsid w:val="00096F95"/>
    <w:rsid w:val="000A1671"/>
    <w:rsid w:val="000A1A5C"/>
    <w:rsid w:val="000A203F"/>
    <w:rsid w:val="000A2810"/>
    <w:rsid w:val="000A5960"/>
    <w:rsid w:val="000A6012"/>
    <w:rsid w:val="000A6BAC"/>
    <w:rsid w:val="000B066F"/>
    <w:rsid w:val="000B0BD4"/>
    <w:rsid w:val="000B0EB3"/>
    <w:rsid w:val="000B187F"/>
    <w:rsid w:val="000B205F"/>
    <w:rsid w:val="000B4FB0"/>
    <w:rsid w:val="000B73A1"/>
    <w:rsid w:val="000B73EA"/>
    <w:rsid w:val="000C11DB"/>
    <w:rsid w:val="000C29A8"/>
    <w:rsid w:val="000C44A5"/>
    <w:rsid w:val="000C65AB"/>
    <w:rsid w:val="000C7BC2"/>
    <w:rsid w:val="000D1748"/>
    <w:rsid w:val="000D3556"/>
    <w:rsid w:val="000D460D"/>
    <w:rsid w:val="000D55D3"/>
    <w:rsid w:val="000D6800"/>
    <w:rsid w:val="000E18F5"/>
    <w:rsid w:val="000E39F5"/>
    <w:rsid w:val="000E3F26"/>
    <w:rsid w:val="000E4782"/>
    <w:rsid w:val="000E540B"/>
    <w:rsid w:val="000E63B3"/>
    <w:rsid w:val="000E6A7C"/>
    <w:rsid w:val="000F0C64"/>
    <w:rsid w:val="000F1425"/>
    <w:rsid w:val="000F1A82"/>
    <w:rsid w:val="000F2AA3"/>
    <w:rsid w:val="000F31F0"/>
    <w:rsid w:val="000F4424"/>
    <w:rsid w:val="000F6F17"/>
    <w:rsid w:val="000F73E1"/>
    <w:rsid w:val="001017D4"/>
    <w:rsid w:val="00101DA9"/>
    <w:rsid w:val="00104576"/>
    <w:rsid w:val="00104F9D"/>
    <w:rsid w:val="00105E08"/>
    <w:rsid w:val="00107B13"/>
    <w:rsid w:val="00112A73"/>
    <w:rsid w:val="00113BF9"/>
    <w:rsid w:val="00114BCD"/>
    <w:rsid w:val="00115E53"/>
    <w:rsid w:val="0011666E"/>
    <w:rsid w:val="00116AE1"/>
    <w:rsid w:val="00117401"/>
    <w:rsid w:val="0011788C"/>
    <w:rsid w:val="00117A04"/>
    <w:rsid w:val="001208B9"/>
    <w:rsid w:val="001209D1"/>
    <w:rsid w:val="001209FA"/>
    <w:rsid w:val="00121FA8"/>
    <w:rsid w:val="00122228"/>
    <w:rsid w:val="00123543"/>
    <w:rsid w:val="001256A6"/>
    <w:rsid w:val="001269DB"/>
    <w:rsid w:val="00126A58"/>
    <w:rsid w:val="00126DD2"/>
    <w:rsid w:val="0012721E"/>
    <w:rsid w:val="00131287"/>
    <w:rsid w:val="00134A60"/>
    <w:rsid w:val="00135404"/>
    <w:rsid w:val="001358FE"/>
    <w:rsid w:val="001360AC"/>
    <w:rsid w:val="00136A09"/>
    <w:rsid w:val="00136D1F"/>
    <w:rsid w:val="00137C29"/>
    <w:rsid w:val="00137FA7"/>
    <w:rsid w:val="00141888"/>
    <w:rsid w:val="00141DD1"/>
    <w:rsid w:val="00142B97"/>
    <w:rsid w:val="00144792"/>
    <w:rsid w:val="001448E5"/>
    <w:rsid w:val="00146AEA"/>
    <w:rsid w:val="00146D34"/>
    <w:rsid w:val="00146DF2"/>
    <w:rsid w:val="00147F8F"/>
    <w:rsid w:val="0015212A"/>
    <w:rsid w:val="00153152"/>
    <w:rsid w:val="00153D1F"/>
    <w:rsid w:val="00153EE5"/>
    <w:rsid w:val="001556FF"/>
    <w:rsid w:val="00156113"/>
    <w:rsid w:val="00156FB6"/>
    <w:rsid w:val="00157F14"/>
    <w:rsid w:val="00161047"/>
    <w:rsid w:val="001611EA"/>
    <w:rsid w:val="001616D2"/>
    <w:rsid w:val="00162680"/>
    <w:rsid w:val="001627C1"/>
    <w:rsid w:val="0016580E"/>
    <w:rsid w:val="00165CDE"/>
    <w:rsid w:val="001678BA"/>
    <w:rsid w:val="0016798E"/>
    <w:rsid w:val="0017073C"/>
    <w:rsid w:val="001711B2"/>
    <w:rsid w:val="001722BD"/>
    <w:rsid w:val="0017469F"/>
    <w:rsid w:val="001757F0"/>
    <w:rsid w:val="0017677B"/>
    <w:rsid w:val="00176BDB"/>
    <w:rsid w:val="00177064"/>
    <w:rsid w:val="00177507"/>
    <w:rsid w:val="00177840"/>
    <w:rsid w:val="00177B3E"/>
    <w:rsid w:val="00180487"/>
    <w:rsid w:val="00182C26"/>
    <w:rsid w:val="00185156"/>
    <w:rsid w:val="00187137"/>
    <w:rsid w:val="00187C87"/>
    <w:rsid w:val="00191D9A"/>
    <w:rsid w:val="001921DC"/>
    <w:rsid w:val="0019389D"/>
    <w:rsid w:val="001940E4"/>
    <w:rsid w:val="0019799D"/>
    <w:rsid w:val="001A0A58"/>
    <w:rsid w:val="001A3E6B"/>
    <w:rsid w:val="001A453E"/>
    <w:rsid w:val="001A46EC"/>
    <w:rsid w:val="001A486E"/>
    <w:rsid w:val="001A52ED"/>
    <w:rsid w:val="001B2343"/>
    <w:rsid w:val="001B317A"/>
    <w:rsid w:val="001B4E25"/>
    <w:rsid w:val="001B57BE"/>
    <w:rsid w:val="001B7329"/>
    <w:rsid w:val="001C1843"/>
    <w:rsid w:val="001C4F66"/>
    <w:rsid w:val="001C5181"/>
    <w:rsid w:val="001C5311"/>
    <w:rsid w:val="001C6213"/>
    <w:rsid w:val="001C6E88"/>
    <w:rsid w:val="001C798C"/>
    <w:rsid w:val="001D23EB"/>
    <w:rsid w:val="001D6060"/>
    <w:rsid w:val="001D7B72"/>
    <w:rsid w:val="001D7E5E"/>
    <w:rsid w:val="001E03E1"/>
    <w:rsid w:val="001E2EB5"/>
    <w:rsid w:val="001E4406"/>
    <w:rsid w:val="001E482D"/>
    <w:rsid w:val="001E5655"/>
    <w:rsid w:val="001E6045"/>
    <w:rsid w:val="001E6D20"/>
    <w:rsid w:val="001E7394"/>
    <w:rsid w:val="001F2796"/>
    <w:rsid w:val="001F46BB"/>
    <w:rsid w:val="001F61F5"/>
    <w:rsid w:val="00200815"/>
    <w:rsid w:val="0020162F"/>
    <w:rsid w:val="002022D0"/>
    <w:rsid w:val="0020561A"/>
    <w:rsid w:val="00205732"/>
    <w:rsid w:val="00205DD5"/>
    <w:rsid w:val="00206EAF"/>
    <w:rsid w:val="0020779C"/>
    <w:rsid w:val="00212BE7"/>
    <w:rsid w:val="00213131"/>
    <w:rsid w:val="00215190"/>
    <w:rsid w:val="00216605"/>
    <w:rsid w:val="002172F3"/>
    <w:rsid w:val="0022116D"/>
    <w:rsid w:val="0022197D"/>
    <w:rsid w:val="00222BDD"/>
    <w:rsid w:val="00222EA1"/>
    <w:rsid w:val="00223093"/>
    <w:rsid w:val="00224106"/>
    <w:rsid w:val="002257BA"/>
    <w:rsid w:val="002262E1"/>
    <w:rsid w:val="002274AE"/>
    <w:rsid w:val="00230652"/>
    <w:rsid w:val="00230928"/>
    <w:rsid w:val="00233F93"/>
    <w:rsid w:val="002346DA"/>
    <w:rsid w:val="0023604B"/>
    <w:rsid w:val="00236283"/>
    <w:rsid w:val="00236B32"/>
    <w:rsid w:val="002375DF"/>
    <w:rsid w:val="00237DDF"/>
    <w:rsid w:val="00240BAF"/>
    <w:rsid w:val="002416CC"/>
    <w:rsid w:val="00242266"/>
    <w:rsid w:val="00244CD8"/>
    <w:rsid w:val="00245049"/>
    <w:rsid w:val="00246C3B"/>
    <w:rsid w:val="00246F9D"/>
    <w:rsid w:val="0025044C"/>
    <w:rsid w:val="00251ECC"/>
    <w:rsid w:val="00252182"/>
    <w:rsid w:val="002521C2"/>
    <w:rsid w:val="00253BBB"/>
    <w:rsid w:val="002543D2"/>
    <w:rsid w:val="00254D2B"/>
    <w:rsid w:val="00254EBE"/>
    <w:rsid w:val="00255A3E"/>
    <w:rsid w:val="00255CDB"/>
    <w:rsid w:val="00257737"/>
    <w:rsid w:val="00257B2C"/>
    <w:rsid w:val="00263B8F"/>
    <w:rsid w:val="00264741"/>
    <w:rsid w:val="0026627F"/>
    <w:rsid w:val="002666C2"/>
    <w:rsid w:val="002709EB"/>
    <w:rsid w:val="00271327"/>
    <w:rsid w:val="00272C26"/>
    <w:rsid w:val="00272F26"/>
    <w:rsid w:val="0027591F"/>
    <w:rsid w:val="00275AD4"/>
    <w:rsid w:val="002802BE"/>
    <w:rsid w:val="00280783"/>
    <w:rsid w:val="00280E9F"/>
    <w:rsid w:val="00281253"/>
    <w:rsid w:val="002824AC"/>
    <w:rsid w:val="00283C30"/>
    <w:rsid w:val="002842D1"/>
    <w:rsid w:val="00284C1E"/>
    <w:rsid w:val="00284CF2"/>
    <w:rsid w:val="00286847"/>
    <w:rsid w:val="00286AAE"/>
    <w:rsid w:val="00287227"/>
    <w:rsid w:val="00287542"/>
    <w:rsid w:val="00287671"/>
    <w:rsid w:val="00292E51"/>
    <w:rsid w:val="00293594"/>
    <w:rsid w:val="00293A5F"/>
    <w:rsid w:val="00294C0B"/>
    <w:rsid w:val="00295953"/>
    <w:rsid w:val="002961CD"/>
    <w:rsid w:val="00296A11"/>
    <w:rsid w:val="00297C1B"/>
    <w:rsid w:val="002A0C43"/>
    <w:rsid w:val="002A1EC0"/>
    <w:rsid w:val="002A2339"/>
    <w:rsid w:val="002A40C4"/>
    <w:rsid w:val="002A46B9"/>
    <w:rsid w:val="002A55C3"/>
    <w:rsid w:val="002A5DFF"/>
    <w:rsid w:val="002A66D2"/>
    <w:rsid w:val="002A67F0"/>
    <w:rsid w:val="002B4A79"/>
    <w:rsid w:val="002B692C"/>
    <w:rsid w:val="002C08F3"/>
    <w:rsid w:val="002C2E64"/>
    <w:rsid w:val="002C7355"/>
    <w:rsid w:val="002D0417"/>
    <w:rsid w:val="002D15E7"/>
    <w:rsid w:val="002D1A87"/>
    <w:rsid w:val="002D2931"/>
    <w:rsid w:val="002D2F24"/>
    <w:rsid w:val="002D362C"/>
    <w:rsid w:val="002D4033"/>
    <w:rsid w:val="002D5533"/>
    <w:rsid w:val="002D66B4"/>
    <w:rsid w:val="002D6C44"/>
    <w:rsid w:val="002D6F71"/>
    <w:rsid w:val="002D70AA"/>
    <w:rsid w:val="002E10CF"/>
    <w:rsid w:val="002E33D0"/>
    <w:rsid w:val="002E5A5B"/>
    <w:rsid w:val="002F03FB"/>
    <w:rsid w:val="002F2DAC"/>
    <w:rsid w:val="002F358F"/>
    <w:rsid w:val="002F3D26"/>
    <w:rsid w:val="002F5B8A"/>
    <w:rsid w:val="003005C6"/>
    <w:rsid w:val="00301478"/>
    <w:rsid w:val="003016E3"/>
    <w:rsid w:val="00301708"/>
    <w:rsid w:val="003055FC"/>
    <w:rsid w:val="0030597F"/>
    <w:rsid w:val="00306201"/>
    <w:rsid w:val="003071AB"/>
    <w:rsid w:val="003078BF"/>
    <w:rsid w:val="00307B06"/>
    <w:rsid w:val="00310260"/>
    <w:rsid w:val="003102BC"/>
    <w:rsid w:val="00311AD8"/>
    <w:rsid w:val="00311FBC"/>
    <w:rsid w:val="00315072"/>
    <w:rsid w:val="0031662E"/>
    <w:rsid w:val="00316877"/>
    <w:rsid w:val="00316AB4"/>
    <w:rsid w:val="00316ABB"/>
    <w:rsid w:val="00316EB5"/>
    <w:rsid w:val="003213BE"/>
    <w:rsid w:val="00321C33"/>
    <w:rsid w:val="003222C8"/>
    <w:rsid w:val="00323BFA"/>
    <w:rsid w:val="003242B9"/>
    <w:rsid w:val="00324BB0"/>
    <w:rsid w:val="00324BB7"/>
    <w:rsid w:val="00325F43"/>
    <w:rsid w:val="003275A0"/>
    <w:rsid w:val="00327CF2"/>
    <w:rsid w:val="003327E8"/>
    <w:rsid w:val="00333D89"/>
    <w:rsid w:val="00334ABE"/>
    <w:rsid w:val="003371BA"/>
    <w:rsid w:val="00340943"/>
    <w:rsid w:val="00341D5B"/>
    <w:rsid w:val="00343584"/>
    <w:rsid w:val="00343EE5"/>
    <w:rsid w:val="003443EF"/>
    <w:rsid w:val="00344EB8"/>
    <w:rsid w:val="00344F3C"/>
    <w:rsid w:val="00346F2B"/>
    <w:rsid w:val="003470BA"/>
    <w:rsid w:val="0034779A"/>
    <w:rsid w:val="003506E0"/>
    <w:rsid w:val="00350F54"/>
    <w:rsid w:val="00350FE8"/>
    <w:rsid w:val="003515FF"/>
    <w:rsid w:val="00353F27"/>
    <w:rsid w:val="0035457C"/>
    <w:rsid w:val="003546A6"/>
    <w:rsid w:val="00354DDB"/>
    <w:rsid w:val="003554FA"/>
    <w:rsid w:val="003600D8"/>
    <w:rsid w:val="003612DF"/>
    <w:rsid w:val="00361F12"/>
    <w:rsid w:val="00362D1C"/>
    <w:rsid w:val="00365579"/>
    <w:rsid w:val="003662E1"/>
    <w:rsid w:val="00367582"/>
    <w:rsid w:val="00367A45"/>
    <w:rsid w:val="00370C00"/>
    <w:rsid w:val="00371467"/>
    <w:rsid w:val="0037202F"/>
    <w:rsid w:val="00374500"/>
    <w:rsid w:val="003758BB"/>
    <w:rsid w:val="00377F35"/>
    <w:rsid w:val="00380224"/>
    <w:rsid w:val="003822B7"/>
    <w:rsid w:val="00382A42"/>
    <w:rsid w:val="00384125"/>
    <w:rsid w:val="00384B95"/>
    <w:rsid w:val="0038523C"/>
    <w:rsid w:val="003868B1"/>
    <w:rsid w:val="00386A1B"/>
    <w:rsid w:val="003906C5"/>
    <w:rsid w:val="00393DD8"/>
    <w:rsid w:val="0039571A"/>
    <w:rsid w:val="00395A3F"/>
    <w:rsid w:val="0039727E"/>
    <w:rsid w:val="00397C28"/>
    <w:rsid w:val="003A1185"/>
    <w:rsid w:val="003A43E9"/>
    <w:rsid w:val="003A4CA6"/>
    <w:rsid w:val="003A4CA9"/>
    <w:rsid w:val="003A688D"/>
    <w:rsid w:val="003B1637"/>
    <w:rsid w:val="003B187C"/>
    <w:rsid w:val="003B2702"/>
    <w:rsid w:val="003B2E27"/>
    <w:rsid w:val="003B5300"/>
    <w:rsid w:val="003B5C52"/>
    <w:rsid w:val="003B6155"/>
    <w:rsid w:val="003B61CB"/>
    <w:rsid w:val="003B63F9"/>
    <w:rsid w:val="003B6781"/>
    <w:rsid w:val="003B7E90"/>
    <w:rsid w:val="003C03F4"/>
    <w:rsid w:val="003C1707"/>
    <w:rsid w:val="003C28AC"/>
    <w:rsid w:val="003C3394"/>
    <w:rsid w:val="003C4EEB"/>
    <w:rsid w:val="003C5191"/>
    <w:rsid w:val="003C7E49"/>
    <w:rsid w:val="003D0CAB"/>
    <w:rsid w:val="003D0DE5"/>
    <w:rsid w:val="003D1AA1"/>
    <w:rsid w:val="003D3143"/>
    <w:rsid w:val="003D4E18"/>
    <w:rsid w:val="003D544E"/>
    <w:rsid w:val="003D6EAE"/>
    <w:rsid w:val="003E0A42"/>
    <w:rsid w:val="003E178D"/>
    <w:rsid w:val="003E2735"/>
    <w:rsid w:val="003E2E9F"/>
    <w:rsid w:val="003E3046"/>
    <w:rsid w:val="003E3ABC"/>
    <w:rsid w:val="003E3F62"/>
    <w:rsid w:val="003E4B17"/>
    <w:rsid w:val="003E4D86"/>
    <w:rsid w:val="003E4F3F"/>
    <w:rsid w:val="003E550E"/>
    <w:rsid w:val="003E59D5"/>
    <w:rsid w:val="003E59F7"/>
    <w:rsid w:val="003E611C"/>
    <w:rsid w:val="003E640B"/>
    <w:rsid w:val="003E6F55"/>
    <w:rsid w:val="003E7B37"/>
    <w:rsid w:val="003E7D03"/>
    <w:rsid w:val="003E7FE3"/>
    <w:rsid w:val="003E7FF3"/>
    <w:rsid w:val="003F058C"/>
    <w:rsid w:val="003F1527"/>
    <w:rsid w:val="003F1F2D"/>
    <w:rsid w:val="003F262E"/>
    <w:rsid w:val="003F2B87"/>
    <w:rsid w:val="003F39F7"/>
    <w:rsid w:val="003F41C0"/>
    <w:rsid w:val="003F4825"/>
    <w:rsid w:val="003F541F"/>
    <w:rsid w:val="003F6DA3"/>
    <w:rsid w:val="0040257F"/>
    <w:rsid w:val="0040427E"/>
    <w:rsid w:val="00405939"/>
    <w:rsid w:val="00405AED"/>
    <w:rsid w:val="00405C71"/>
    <w:rsid w:val="0040688C"/>
    <w:rsid w:val="00413F44"/>
    <w:rsid w:val="00416C49"/>
    <w:rsid w:val="004170D5"/>
    <w:rsid w:val="004202D2"/>
    <w:rsid w:val="004206C7"/>
    <w:rsid w:val="00420D0E"/>
    <w:rsid w:val="00421D81"/>
    <w:rsid w:val="0042216B"/>
    <w:rsid w:val="004229D1"/>
    <w:rsid w:val="00422EF3"/>
    <w:rsid w:val="00424403"/>
    <w:rsid w:val="004256DA"/>
    <w:rsid w:val="004266B0"/>
    <w:rsid w:val="00426F07"/>
    <w:rsid w:val="00430C6B"/>
    <w:rsid w:val="00430E3D"/>
    <w:rsid w:val="00431CF4"/>
    <w:rsid w:val="00433D0D"/>
    <w:rsid w:val="00434AA8"/>
    <w:rsid w:val="004355D8"/>
    <w:rsid w:val="004367EB"/>
    <w:rsid w:val="00437901"/>
    <w:rsid w:val="00437A10"/>
    <w:rsid w:val="0044273A"/>
    <w:rsid w:val="00442C26"/>
    <w:rsid w:val="00443914"/>
    <w:rsid w:val="0044399B"/>
    <w:rsid w:val="0044644D"/>
    <w:rsid w:val="0044714D"/>
    <w:rsid w:val="00447814"/>
    <w:rsid w:val="004502C4"/>
    <w:rsid w:val="0045085B"/>
    <w:rsid w:val="00450C21"/>
    <w:rsid w:val="00451261"/>
    <w:rsid w:val="004517B3"/>
    <w:rsid w:val="00454030"/>
    <w:rsid w:val="00455891"/>
    <w:rsid w:val="00456419"/>
    <w:rsid w:val="00456F18"/>
    <w:rsid w:val="004579E2"/>
    <w:rsid w:val="00457B5D"/>
    <w:rsid w:val="0046033A"/>
    <w:rsid w:val="00460E37"/>
    <w:rsid w:val="00462D75"/>
    <w:rsid w:val="004650ED"/>
    <w:rsid w:val="00470FE1"/>
    <w:rsid w:val="00472374"/>
    <w:rsid w:val="0047268F"/>
    <w:rsid w:val="00472C27"/>
    <w:rsid w:val="00473DE5"/>
    <w:rsid w:val="0047560B"/>
    <w:rsid w:val="0048276E"/>
    <w:rsid w:val="00483D35"/>
    <w:rsid w:val="004840A3"/>
    <w:rsid w:val="00484FB1"/>
    <w:rsid w:val="004852CC"/>
    <w:rsid w:val="004859DD"/>
    <w:rsid w:val="00491F86"/>
    <w:rsid w:val="004925F1"/>
    <w:rsid w:val="00492FA3"/>
    <w:rsid w:val="004946F5"/>
    <w:rsid w:val="0049652F"/>
    <w:rsid w:val="00496BE0"/>
    <w:rsid w:val="004A00CA"/>
    <w:rsid w:val="004A0289"/>
    <w:rsid w:val="004A2B85"/>
    <w:rsid w:val="004A39D6"/>
    <w:rsid w:val="004A3CA1"/>
    <w:rsid w:val="004A45BE"/>
    <w:rsid w:val="004A47AE"/>
    <w:rsid w:val="004A5DB6"/>
    <w:rsid w:val="004A6124"/>
    <w:rsid w:val="004A6BBF"/>
    <w:rsid w:val="004A6EE9"/>
    <w:rsid w:val="004A7A56"/>
    <w:rsid w:val="004B0140"/>
    <w:rsid w:val="004B43BC"/>
    <w:rsid w:val="004B4524"/>
    <w:rsid w:val="004B6BD9"/>
    <w:rsid w:val="004C0CF8"/>
    <w:rsid w:val="004C1B9C"/>
    <w:rsid w:val="004C230C"/>
    <w:rsid w:val="004C2B4A"/>
    <w:rsid w:val="004C3BB1"/>
    <w:rsid w:val="004C4FF3"/>
    <w:rsid w:val="004C569B"/>
    <w:rsid w:val="004C6440"/>
    <w:rsid w:val="004C6880"/>
    <w:rsid w:val="004C6DAA"/>
    <w:rsid w:val="004C7233"/>
    <w:rsid w:val="004C786E"/>
    <w:rsid w:val="004D2FAA"/>
    <w:rsid w:val="004D648C"/>
    <w:rsid w:val="004D6C29"/>
    <w:rsid w:val="004E0A50"/>
    <w:rsid w:val="004E174E"/>
    <w:rsid w:val="004E2397"/>
    <w:rsid w:val="004E25D3"/>
    <w:rsid w:val="004E297F"/>
    <w:rsid w:val="004E2DEC"/>
    <w:rsid w:val="004E455E"/>
    <w:rsid w:val="004E5066"/>
    <w:rsid w:val="004E5458"/>
    <w:rsid w:val="004E5618"/>
    <w:rsid w:val="004E5906"/>
    <w:rsid w:val="004E5F3F"/>
    <w:rsid w:val="004E634B"/>
    <w:rsid w:val="004E6C4B"/>
    <w:rsid w:val="004F0018"/>
    <w:rsid w:val="004F1814"/>
    <w:rsid w:val="004F1FE3"/>
    <w:rsid w:val="004F3FE3"/>
    <w:rsid w:val="004F41F5"/>
    <w:rsid w:val="004F542D"/>
    <w:rsid w:val="004F799F"/>
    <w:rsid w:val="004F7FF0"/>
    <w:rsid w:val="00500946"/>
    <w:rsid w:val="00501D51"/>
    <w:rsid w:val="00502F01"/>
    <w:rsid w:val="00506BC1"/>
    <w:rsid w:val="00506E59"/>
    <w:rsid w:val="00507734"/>
    <w:rsid w:val="00510AE1"/>
    <w:rsid w:val="00510D4D"/>
    <w:rsid w:val="00511B86"/>
    <w:rsid w:val="00511C2F"/>
    <w:rsid w:val="00513184"/>
    <w:rsid w:val="005133DD"/>
    <w:rsid w:val="00515D36"/>
    <w:rsid w:val="005179ED"/>
    <w:rsid w:val="0052115C"/>
    <w:rsid w:val="00521709"/>
    <w:rsid w:val="0052321B"/>
    <w:rsid w:val="00523599"/>
    <w:rsid w:val="0052606A"/>
    <w:rsid w:val="00527EB0"/>
    <w:rsid w:val="00530833"/>
    <w:rsid w:val="00530C73"/>
    <w:rsid w:val="005313D8"/>
    <w:rsid w:val="0053350E"/>
    <w:rsid w:val="005358CE"/>
    <w:rsid w:val="005407F0"/>
    <w:rsid w:val="0054092D"/>
    <w:rsid w:val="0054098A"/>
    <w:rsid w:val="00541193"/>
    <w:rsid w:val="00541B24"/>
    <w:rsid w:val="00542F46"/>
    <w:rsid w:val="0054560E"/>
    <w:rsid w:val="00545B81"/>
    <w:rsid w:val="00545DC0"/>
    <w:rsid w:val="005462FE"/>
    <w:rsid w:val="00550ACF"/>
    <w:rsid w:val="005516C0"/>
    <w:rsid w:val="00551D62"/>
    <w:rsid w:val="00551D93"/>
    <w:rsid w:val="00552C9F"/>
    <w:rsid w:val="00554366"/>
    <w:rsid w:val="00554532"/>
    <w:rsid w:val="005554B3"/>
    <w:rsid w:val="00556100"/>
    <w:rsid w:val="005607C5"/>
    <w:rsid w:val="00560CB1"/>
    <w:rsid w:val="00561BD1"/>
    <w:rsid w:val="00562725"/>
    <w:rsid w:val="00566C58"/>
    <w:rsid w:val="00570007"/>
    <w:rsid w:val="005732A0"/>
    <w:rsid w:val="00575CCC"/>
    <w:rsid w:val="00576DEA"/>
    <w:rsid w:val="00580511"/>
    <w:rsid w:val="0058055F"/>
    <w:rsid w:val="00580AB4"/>
    <w:rsid w:val="00582559"/>
    <w:rsid w:val="00582AB6"/>
    <w:rsid w:val="00584DFA"/>
    <w:rsid w:val="00586D35"/>
    <w:rsid w:val="00587CCB"/>
    <w:rsid w:val="005919D4"/>
    <w:rsid w:val="00591ACE"/>
    <w:rsid w:val="005922D1"/>
    <w:rsid w:val="00592F8E"/>
    <w:rsid w:val="00593E70"/>
    <w:rsid w:val="00595D1C"/>
    <w:rsid w:val="005967BE"/>
    <w:rsid w:val="00597B87"/>
    <w:rsid w:val="00597C04"/>
    <w:rsid w:val="005A1469"/>
    <w:rsid w:val="005A1E0E"/>
    <w:rsid w:val="005A1E69"/>
    <w:rsid w:val="005A24CA"/>
    <w:rsid w:val="005A342B"/>
    <w:rsid w:val="005A41F6"/>
    <w:rsid w:val="005B01C4"/>
    <w:rsid w:val="005B0C46"/>
    <w:rsid w:val="005B0D3F"/>
    <w:rsid w:val="005B28B4"/>
    <w:rsid w:val="005B5140"/>
    <w:rsid w:val="005B6835"/>
    <w:rsid w:val="005C0873"/>
    <w:rsid w:val="005C3711"/>
    <w:rsid w:val="005C37D0"/>
    <w:rsid w:val="005C4570"/>
    <w:rsid w:val="005C52EE"/>
    <w:rsid w:val="005C5899"/>
    <w:rsid w:val="005C593A"/>
    <w:rsid w:val="005C5A63"/>
    <w:rsid w:val="005C61C8"/>
    <w:rsid w:val="005C76C1"/>
    <w:rsid w:val="005D13AB"/>
    <w:rsid w:val="005D56F2"/>
    <w:rsid w:val="005D6F9E"/>
    <w:rsid w:val="005D7DE8"/>
    <w:rsid w:val="005E064B"/>
    <w:rsid w:val="005E0CE1"/>
    <w:rsid w:val="005E23AE"/>
    <w:rsid w:val="005E5DF4"/>
    <w:rsid w:val="005F0D91"/>
    <w:rsid w:val="005F1F37"/>
    <w:rsid w:val="005F22A1"/>
    <w:rsid w:val="005F4B87"/>
    <w:rsid w:val="005F51C4"/>
    <w:rsid w:val="005F591F"/>
    <w:rsid w:val="005F5FB7"/>
    <w:rsid w:val="00600BE8"/>
    <w:rsid w:val="00601088"/>
    <w:rsid w:val="00601E5A"/>
    <w:rsid w:val="00602ECF"/>
    <w:rsid w:val="006032A8"/>
    <w:rsid w:val="00610BFB"/>
    <w:rsid w:val="00610D69"/>
    <w:rsid w:val="0061110D"/>
    <w:rsid w:val="0061227F"/>
    <w:rsid w:val="006142B0"/>
    <w:rsid w:val="00616D51"/>
    <w:rsid w:val="006215A9"/>
    <w:rsid w:val="00625307"/>
    <w:rsid w:val="00625356"/>
    <w:rsid w:val="00626B07"/>
    <w:rsid w:val="006274C0"/>
    <w:rsid w:val="00633066"/>
    <w:rsid w:val="00633E8B"/>
    <w:rsid w:val="00634C35"/>
    <w:rsid w:val="00635A20"/>
    <w:rsid w:val="00635B77"/>
    <w:rsid w:val="00636BAC"/>
    <w:rsid w:val="00641141"/>
    <w:rsid w:val="00641357"/>
    <w:rsid w:val="00641CBA"/>
    <w:rsid w:val="00642922"/>
    <w:rsid w:val="00643694"/>
    <w:rsid w:val="00643A8A"/>
    <w:rsid w:val="00644762"/>
    <w:rsid w:val="00651A9C"/>
    <w:rsid w:val="006540B1"/>
    <w:rsid w:val="00655803"/>
    <w:rsid w:val="00657101"/>
    <w:rsid w:val="00657E0F"/>
    <w:rsid w:val="00661D59"/>
    <w:rsid w:val="006625AB"/>
    <w:rsid w:val="006640BE"/>
    <w:rsid w:val="006656DB"/>
    <w:rsid w:val="00665E06"/>
    <w:rsid w:val="006663BD"/>
    <w:rsid w:val="00666978"/>
    <w:rsid w:val="00666DCA"/>
    <w:rsid w:val="00666E20"/>
    <w:rsid w:val="006715EC"/>
    <w:rsid w:val="00671F3E"/>
    <w:rsid w:val="00672E74"/>
    <w:rsid w:val="00672FDB"/>
    <w:rsid w:val="00674262"/>
    <w:rsid w:val="00674274"/>
    <w:rsid w:val="006745BD"/>
    <w:rsid w:val="0067533D"/>
    <w:rsid w:val="00675725"/>
    <w:rsid w:val="00676949"/>
    <w:rsid w:val="00676C85"/>
    <w:rsid w:val="00677F35"/>
    <w:rsid w:val="006801F5"/>
    <w:rsid w:val="00683A7D"/>
    <w:rsid w:val="00686BE8"/>
    <w:rsid w:val="00686E3F"/>
    <w:rsid w:val="006873FB"/>
    <w:rsid w:val="00690354"/>
    <w:rsid w:val="0069166B"/>
    <w:rsid w:val="0069184E"/>
    <w:rsid w:val="00691899"/>
    <w:rsid w:val="006920BB"/>
    <w:rsid w:val="00692C63"/>
    <w:rsid w:val="006935F5"/>
    <w:rsid w:val="00695331"/>
    <w:rsid w:val="00695C66"/>
    <w:rsid w:val="006968A0"/>
    <w:rsid w:val="00697472"/>
    <w:rsid w:val="006A25B3"/>
    <w:rsid w:val="006A26EB"/>
    <w:rsid w:val="006A4456"/>
    <w:rsid w:val="006A455B"/>
    <w:rsid w:val="006A4FB8"/>
    <w:rsid w:val="006A5312"/>
    <w:rsid w:val="006A5431"/>
    <w:rsid w:val="006A5652"/>
    <w:rsid w:val="006A5D19"/>
    <w:rsid w:val="006A6F79"/>
    <w:rsid w:val="006A6FD7"/>
    <w:rsid w:val="006B0526"/>
    <w:rsid w:val="006B09A1"/>
    <w:rsid w:val="006B09B8"/>
    <w:rsid w:val="006B1EB0"/>
    <w:rsid w:val="006B316F"/>
    <w:rsid w:val="006B44D3"/>
    <w:rsid w:val="006B4D7C"/>
    <w:rsid w:val="006B5B76"/>
    <w:rsid w:val="006B647A"/>
    <w:rsid w:val="006B6595"/>
    <w:rsid w:val="006B6D35"/>
    <w:rsid w:val="006B6D57"/>
    <w:rsid w:val="006B7E01"/>
    <w:rsid w:val="006C14AD"/>
    <w:rsid w:val="006C4B4B"/>
    <w:rsid w:val="006C64F7"/>
    <w:rsid w:val="006C677D"/>
    <w:rsid w:val="006D11D9"/>
    <w:rsid w:val="006D15EF"/>
    <w:rsid w:val="006D2335"/>
    <w:rsid w:val="006D276C"/>
    <w:rsid w:val="006D31F6"/>
    <w:rsid w:val="006D45FA"/>
    <w:rsid w:val="006D568A"/>
    <w:rsid w:val="006D6666"/>
    <w:rsid w:val="006D73C0"/>
    <w:rsid w:val="006E1FC9"/>
    <w:rsid w:val="006E2A3D"/>
    <w:rsid w:val="006E2B77"/>
    <w:rsid w:val="006E3E92"/>
    <w:rsid w:val="006E4710"/>
    <w:rsid w:val="006E5A77"/>
    <w:rsid w:val="006F03EA"/>
    <w:rsid w:val="006F113A"/>
    <w:rsid w:val="006F1B1A"/>
    <w:rsid w:val="006F576D"/>
    <w:rsid w:val="00700D25"/>
    <w:rsid w:val="007020E0"/>
    <w:rsid w:val="0070469F"/>
    <w:rsid w:val="00704F98"/>
    <w:rsid w:val="0070630D"/>
    <w:rsid w:val="0070719E"/>
    <w:rsid w:val="00707570"/>
    <w:rsid w:val="00711273"/>
    <w:rsid w:val="00712BE2"/>
    <w:rsid w:val="00715289"/>
    <w:rsid w:val="00715A5A"/>
    <w:rsid w:val="007173AD"/>
    <w:rsid w:val="00720288"/>
    <w:rsid w:val="007219BB"/>
    <w:rsid w:val="00722568"/>
    <w:rsid w:val="00723723"/>
    <w:rsid w:val="00725354"/>
    <w:rsid w:val="00725DE6"/>
    <w:rsid w:val="0072657A"/>
    <w:rsid w:val="0072729E"/>
    <w:rsid w:val="00730B75"/>
    <w:rsid w:val="00731872"/>
    <w:rsid w:val="0073256C"/>
    <w:rsid w:val="007329D7"/>
    <w:rsid w:val="007337F6"/>
    <w:rsid w:val="00733AA1"/>
    <w:rsid w:val="00733ADD"/>
    <w:rsid w:val="0073560D"/>
    <w:rsid w:val="0073573F"/>
    <w:rsid w:val="00735DED"/>
    <w:rsid w:val="00740CE0"/>
    <w:rsid w:val="00744472"/>
    <w:rsid w:val="00745249"/>
    <w:rsid w:val="007461F6"/>
    <w:rsid w:val="00746A74"/>
    <w:rsid w:val="00746FF5"/>
    <w:rsid w:val="007470B6"/>
    <w:rsid w:val="0075015D"/>
    <w:rsid w:val="00750F20"/>
    <w:rsid w:val="007512DA"/>
    <w:rsid w:val="007524F3"/>
    <w:rsid w:val="007543BC"/>
    <w:rsid w:val="0075592B"/>
    <w:rsid w:val="00755D76"/>
    <w:rsid w:val="0075752C"/>
    <w:rsid w:val="00757B92"/>
    <w:rsid w:val="0076095A"/>
    <w:rsid w:val="00761D60"/>
    <w:rsid w:val="00762643"/>
    <w:rsid w:val="00765527"/>
    <w:rsid w:val="00766C29"/>
    <w:rsid w:val="00766FBC"/>
    <w:rsid w:val="00767343"/>
    <w:rsid w:val="007718BA"/>
    <w:rsid w:val="0077275F"/>
    <w:rsid w:val="00772F35"/>
    <w:rsid w:val="00773B99"/>
    <w:rsid w:val="00774120"/>
    <w:rsid w:val="00776635"/>
    <w:rsid w:val="007772B7"/>
    <w:rsid w:val="0077767B"/>
    <w:rsid w:val="0077787A"/>
    <w:rsid w:val="007809E9"/>
    <w:rsid w:val="00781347"/>
    <w:rsid w:val="00781992"/>
    <w:rsid w:val="007825E0"/>
    <w:rsid w:val="0078308B"/>
    <w:rsid w:val="007832D7"/>
    <w:rsid w:val="007833A6"/>
    <w:rsid w:val="00791E9C"/>
    <w:rsid w:val="0079297D"/>
    <w:rsid w:val="00792CDA"/>
    <w:rsid w:val="00794CD5"/>
    <w:rsid w:val="00797289"/>
    <w:rsid w:val="00797FAB"/>
    <w:rsid w:val="007A30F1"/>
    <w:rsid w:val="007A3979"/>
    <w:rsid w:val="007A43C2"/>
    <w:rsid w:val="007A4832"/>
    <w:rsid w:val="007A5F98"/>
    <w:rsid w:val="007A64DB"/>
    <w:rsid w:val="007B4265"/>
    <w:rsid w:val="007B646F"/>
    <w:rsid w:val="007B69AC"/>
    <w:rsid w:val="007B7238"/>
    <w:rsid w:val="007C08CF"/>
    <w:rsid w:val="007C19D6"/>
    <w:rsid w:val="007C42FC"/>
    <w:rsid w:val="007C49EB"/>
    <w:rsid w:val="007C55D8"/>
    <w:rsid w:val="007C57F3"/>
    <w:rsid w:val="007C5A8E"/>
    <w:rsid w:val="007C65FB"/>
    <w:rsid w:val="007C729F"/>
    <w:rsid w:val="007D1231"/>
    <w:rsid w:val="007D560A"/>
    <w:rsid w:val="007E02FB"/>
    <w:rsid w:val="007E0674"/>
    <w:rsid w:val="007E0C20"/>
    <w:rsid w:val="007E0E49"/>
    <w:rsid w:val="007E40CF"/>
    <w:rsid w:val="007E41E9"/>
    <w:rsid w:val="007E4E44"/>
    <w:rsid w:val="007E517F"/>
    <w:rsid w:val="007E6917"/>
    <w:rsid w:val="007E6C46"/>
    <w:rsid w:val="007E7807"/>
    <w:rsid w:val="007E7A7D"/>
    <w:rsid w:val="007F293E"/>
    <w:rsid w:val="007F4D9E"/>
    <w:rsid w:val="007F52E2"/>
    <w:rsid w:val="007F5603"/>
    <w:rsid w:val="007F6F34"/>
    <w:rsid w:val="00801CE2"/>
    <w:rsid w:val="00803275"/>
    <w:rsid w:val="00807173"/>
    <w:rsid w:val="008079E9"/>
    <w:rsid w:val="00807E29"/>
    <w:rsid w:val="008105CB"/>
    <w:rsid w:val="00810A98"/>
    <w:rsid w:val="008129A7"/>
    <w:rsid w:val="00813278"/>
    <w:rsid w:val="0081397B"/>
    <w:rsid w:val="00814FA0"/>
    <w:rsid w:val="0081660A"/>
    <w:rsid w:val="00820C3C"/>
    <w:rsid w:val="00821D76"/>
    <w:rsid w:val="00822400"/>
    <w:rsid w:val="0082438E"/>
    <w:rsid w:val="00825091"/>
    <w:rsid w:val="0082544E"/>
    <w:rsid w:val="008271E2"/>
    <w:rsid w:val="00831A50"/>
    <w:rsid w:val="0083303A"/>
    <w:rsid w:val="0083320B"/>
    <w:rsid w:val="00833867"/>
    <w:rsid w:val="008357E3"/>
    <w:rsid w:val="0083733E"/>
    <w:rsid w:val="008378DF"/>
    <w:rsid w:val="0084181E"/>
    <w:rsid w:val="00842427"/>
    <w:rsid w:val="00842C42"/>
    <w:rsid w:val="00843703"/>
    <w:rsid w:val="008470E3"/>
    <w:rsid w:val="008516D0"/>
    <w:rsid w:val="0085201F"/>
    <w:rsid w:val="008527C9"/>
    <w:rsid w:val="00852B2A"/>
    <w:rsid w:val="00852F16"/>
    <w:rsid w:val="0085421A"/>
    <w:rsid w:val="008559CE"/>
    <w:rsid w:val="00864834"/>
    <w:rsid w:val="00870277"/>
    <w:rsid w:val="00871829"/>
    <w:rsid w:val="00871BCE"/>
    <w:rsid w:val="00871BEE"/>
    <w:rsid w:val="00874022"/>
    <w:rsid w:val="00874D1F"/>
    <w:rsid w:val="008770E6"/>
    <w:rsid w:val="00877B26"/>
    <w:rsid w:val="00880478"/>
    <w:rsid w:val="00880E8A"/>
    <w:rsid w:val="00881ACD"/>
    <w:rsid w:val="00882074"/>
    <w:rsid w:val="0088242C"/>
    <w:rsid w:val="0088285B"/>
    <w:rsid w:val="00882909"/>
    <w:rsid w:val="008834C7"/>
    <w:rsid w:val="00884513"/>
    <w:rsid w:val="008863FD"/>
    <w:rsid w:val="00886ED4"/>
    <w:rsid w:val="008902CF"/>
    <w:rsid w:val="0089183D"/>
    <w:rsid w:val="00892DD0"/>
    <w:rsid w:val="00893024"/>
    <w:rsid w:val="00893B13"/>
    <w:rsid w:val="00893EA6"/>
    <w:rsid w:val="00894163"/>
    <w:rsid w:val="008969DD"/>
    <w:rsid w:val="008975A5"/>
    <w:rsid w:val="008A1125"/>
    <w:rsid w:val="008A25F1"/>
    <w:rsid w:val="008A2EB1"/>
    <w:rsid w:val="008A34B1"/>
    <w:rsid w:val="008A43F6"/>
    <w:rsid w:val="008A4402"/>
    <w:rsid w:val="008A58D3"/>
    <w:rsid w:val="008A644B"/>
    <w:rsid w:val="008B2280"/>
    <w:rsid w:val="008B32E7"/>
    <w:rsid w:val="008B594F"/>
    <w:rsid w:val="008B5E81"/>
    <w:rsid w:val="008B64C6"/>
    <w:rsid w:val="008B7243"/>
    <w:rsid w:val="008C0178"/>
    <w:rsid w:val="008C0A34"/>
    <w:rsid w:val="008C3FC6"/>
    <w:rsid w:val="008C5180"/>
    <w:rsid w:val="008C53B1"/>
    <w:rsid w:val="008C6EA6"/>
    <w:rsid w:val="008C7AE3"/>
    <w:rsid w:val="008D02C6"/>
    <w:rsid w:val="008D4D14"/>
    <w:rsid w:val="008D596E"/>
    <w:rsid w:val="008D5FE1"/>
    <w:rsid w:val="008D652F"/>
    <w:rsid w:val="008D654B"/>
    <w:rsid w:val="008E11A0"/>
    <w:rsid w:val="008E11D4"/>
    <w:rsid w:val="008E217C"/>
    <w:rsid w:val="008E4C08"/>
    <w:rsid w:val="008E4E46"/>
    <w:rsid w:val="008E4ECC"/>
    <w:rsid w:val="008E4EF7"/>
    <w:rsid w:val="008E59FA"/>
    <w:rsid w:val="008E5D3B"/>
    <w:rsid w:val="008E79AB"/>
    <w:rsid w:val="008F0701"/>
    <w:rsid w:val="008F0D5C"/>
    <w:rsid w:val="008F0F3F"/>
    <w:rsid w:val="008F1EA2"/>
    <w:rsid w:val="008F3426"/>
    <w:rsid w:val="008F3BB8"/>
    <w:rsid w:val="008F5AE8"/>
    <w:rsid w:val="008F7FDA"/>
    <w:rsid w:val="0090074D"/>
    <w:rsid w:val="00900B60"/>
    <w:rsid w:val="00901267"/>
    <w:rsid w:val="00902DF0"/>
    <w:rsid w:val="009030BC"/>
    <w:rsid w:val="0090451D"/>
    <w:rsid w:val="00905080"/>
    <w:rsid w:val="00905445"/>
    <w:rsid w:val="00905455"/>
    <w:rsid w:val="009064C7"/>
    <w:rsid w:val="00907BAF"/>
    <w:rsid w:val="00910B54"/>
    <w:rsid w:val="00912B03"/>
    <w:rsid w:val="00914ED6"/>
    <w:rsid w:val="00915845"/>
    <w:rsid w:val="009164F9"/>
    <w:rsid w:val="0091661A"/>
    <w:rsid w:val="00916661"/>
    <w:rsid w:val="00916BC5"/>
    <w:rsid w:val="00916FEA"/>
    <w:rsid w:val="00917861"/>
    <w:rsid w:val="009179C2"/>
    <w:rsid w:val="009220F3"/>
    <w:rsid w:val="00922E4E"/>
    <w:rsid w:val="00923239"/>
    <w:rsid w:val="009279CE"/>
    <w:rsid w:val="00931A24"/>
    <w:rsid w:val="00932350"/>
    <w:rsid w:val="00932B0E"/>
    <w:rsid w:val="00933232"/>
    <w:rsid w:val="0093344C"/>
    <w:rsid w:val="00933838"/>
    <w:rsid w:val="00934013"/>
    <w:rsid w:val="00934E5A"/>
    <w:rsid w:val="0093779F"/>
    <w:rsid w:val="00941E97"/>
    <w:rsid w:val="00944B6B"/>
    <w:rsid w:val="00946A63"/>
    <w:rsid w:val="009471A5"/>
    <w:rsid w:val="00950560"/>
    <w:rsid w:val="00950EA0"/>
    <w:rsid w:val="00950FAD"/>
    <w:rsid w:val="00951704"/>
    <w:rsid w:val="009518C3"/>
    <w:rsid w:val="009545E1"/>
    <w:rsid w:val="0095467D"/>
    <w:rsid w:val="00954EE0"/>
    <w:rsid w:val="0095610A"/>
    <w:rsid w:val="009575B9"/>
    <w:rsid w:val="00961A92"/>
    <w:rsid w:val="00963451"/>
    <w:rsid w:val="00963498"/>
    <w:rsid w:val="00963A61"/>
    <w:rsid w:val="00964224"/>
    <w:rsid w:val="0096472F"/>
    <w:rsid w:val="00964C68"/>
    <w:rsid w:val="00965C05"/>
    <w:rsid w:val="0096625C"/>
    <w:rsid w:val="00967548"/>
    <w:rsid w:val="00967BA0"/>
    <w:rsid w:val="00972AC4"/>
    <w:rsid w:val="00975371"/>
    <w:rsid w:val="00975694"/>
    <w:rsid w:val="00975870"/>
    <w:rsid w:val="00975D04"/>
    <w:rsid w:val="0097745D"/>
    <w:rsid w:val="00977F7A"/>
    <w:rsid w:val="00980424"/>
    <w:rsid w:val="0098182D"/>
    <w:rsid w:val="00981F36"/>
    <w:rsid w:val="00982078"/>
    <w:rsid w:val="00982695"/>
    <w:rsid w:val="00985CBB"/>
    <w:rsid w:val="00986347"/>
    <w:rsid w:val="00987ED7"/>
    <w:rsid w:val="009919CA"/>
    <w:rsid w:val="00992D05"/>
    <w:rsid w:val="009931A1"/>
    <w:rsid w:val="009931B8"/>
    <w:rsid w:val="00994008"/>
    <w:rsid w:val="00995DDD"/>
    <w:rsid w:val="009A054A"/>
    <w:rsid w:val="009A1A23"/>
    <w:rsid w:val="009A200E"/>
    <w:rsid w:val="009A26C7"/>
    <w:rsid w:val="009A314A"/>
    <w:rsid w:val="009A3E6D"/>
    <w:rsid w:val="009A4C3B"/>
    <w:rsid w:val="009A5425"/>
    <w:rsid w:val="009B1DA0"/>
    <w:rsid w:val="009B2F7D"/>
    <w:rsid w:val="009B3477"/>
    <w:rsid w:val="009B7486"/>
    <w:rsid w:val="009C2148"/>
    <w:rsid w:val="009C2E1E"/>
    <w:rsid w:val="009C3C8E"/>
    <w:rsid w:val="009C4012"/>
    <w:rsid w:val="009C40D7"/>
    <w:rsid w:val="009C429E"/>
    <w:rsid w:val="009C61E9"/>
    <w:rsid w:val="009C62B7"/>
    <w:rsid w:val="009C72D4"/>
    <w:rsid w:val="009D1BB6"/>
    <w:rsid w:val="009D1DCD"/>
    <w:rsid w:val="009D224E"/>
    <w:rsid w:val="009D347F"/>
    <w:rsid w:val="009D5028"/>
    <w:rsid w:val="009D6C84"/>
    <w:rsid w:val="009D70DE"/>
    <w:rsid w:val="009D716F"/>
    <w:rsid w:val="009E0350"/>
    <w:rsid w:val="009E133D"/>
    <w:rsid w:val="009E151A"/>
    <w:rsid w:val="009E1F77"/>
    <w:rsid w:val="009E2E1F"/>
    <w:rsid w:val="009E2EF4"/>
    <w:rsid w:val="009E2F1C"/>
    <w:rsid w:val="009E370E"/>
    <w:rsid w:val="009E538F"/>
    <w:rsid w:val="009E7C06"/>
    <w:rsid w:val="009F0EFA"/>
    <w:rsid w:val="009F2164"/>
    <w:rsid w:val="009F28D5"/>
    <w:rsid w:val="009F317F"/>
    <w:rsid w:val="009F3B1D"/>
    <w:rsid w:val="009F468A"/>
    <w:rsid w:val="009F72DB"/>
    <w:rsid w:val="009F7D83"/>
    <w:rsid w:val="00A00E67"/>
    <w:rsid w:val="00A01DF3"/>
    <w:rsid w:val="00A01EBB"/>
    <w:rsid w:val="00A02020"/>
    <w:rsid w:val="00A03385"/>
    <w:rsid w:val="00A055C3"/>
    <w:rsid w:val="00A10503"/>
    <w:rsid w:val="00A11365"/>
    <w:rsid w:val="00A115FA"/>
    <w:rsid w:val="00A12055"/>
    <w:rsid w:val="00A13DF5"/>
    <w:rsid w:val="00A1515A"/>
    <w:rsid w:val="00A162E4"/>
    <w:rsid w:val="00A1640F"/>
    <w:rsid w:val="00A173DA"/>
    <w:rsid w:val="00A204D9"/>
    <w:rsid w:val="00A2324D"/>
    <w:rsid w:val="00A25A21"/>
    <w:rsid w:val="00A2644E"/>
    <w:rsid w:val="00A264F5"/>
    <w:rsid w:val="00A309DE"/>
    <w:rsid w:val="00A32BC6"/>
    <w:rsid w:val="00A33B1F"/>
    <w:rsid w:val="00A33D73"/>
    <w:rsid w:val="00A34A45"/>
    <w:rsid w:val="00A363F5"/>
    <w:rsid w:val="00A37C82"/>
    <w:rsid w:val="00A4036A"/>
    <w:rsid w:val="00A41752"/>
    <w:rsid w:val="00A422F5"/>
    <w:rsid w:val="00A42F67"/>
    <w:rsid w:val="00A45170"/>
    <w:rsid w:val="00A5070D"/>
    <w:rsid w:val="00A51E74"/>
    <w:rsid w:val="00A51FD7"/>
    <w:rsid w:val="00A52624"/>
    <w:rsid w:val="00A52A75"/>
    <w:rsid w:val="00A53457"/>
    <w:rsid w:val="00A5345B"/>
    <w:rsid w:val="00A53FC0"/>
    <w:rsid w:val="00A547B1"/>
    <w:rsid w:val="00A548BD"/>
    <w:rsid w:val="00A60787"/>
    <w:rsid w:val="00A6165E"/>
    <w:rsid w:val="00A61DAE"/>
    <w:rsid w:val="00A635B6"/>
    <w:rsid w:val="00A637E0"/>
    <w:rsid w:val="00A63BF7"/>
    <w:rsid w:val="00A663D4"/>
    <w:rsid w:val="00A667D2"/>
    <w:rsid w:val="00A66A05"/>
    <w:rsid w:val="00A675B7"/>
    <w:rsid w:val="00A7001F"/>
    <w:rsid w:val="00A7079C"/>
    <w:rsid w:val="00A70C3F"/>
    <w:rsid w:val="00A72BC6"/>
    <w:rsid w:val="00A7377E"/>
    <w:rsid w:val="00A74C42"/>
    <w:rsid w:val="00A753F2"/>
    <w:rsid w:val="00A76336"/>
    <w:rsid w:val="00A76551"/>
    <w:rsid w:val="00A76F61"/>
    <w:rsid w:val="00A77C30"/>
    <w:rsid w:val="00A81060"/>
    <w:rsid w:val="00A83CC3"/>
    <w:rsid w:val="00A83EB3"/>
    <w:rsid w:val="00A8424F"/>
    <w:rsid w:val="00A873F7"/>
    <w:rsid w:val="00A87BA8"/>
    <w:rsid w:val="00A9003C"/>
    <w:rsid w:val="00A904FA"/>
    <w:rsid w:val="00A91886"/>
    <w:rsid w:val="00A96032"/>
    <w:rsid w:val="00A9726B"/>
    <w:rsid w:val="00A9768C"/>
    <w:rsid w:val="00AA037F"/>
    <w:rsid w:val="00AA1B4D"/>
    <w:rsid w:val="00AA1F8B"/>
    <w:rsid w:val="00AA2A85"/>
    <w:rsid w:val="00AA38B8"/>
    <w:rsid w:val="00AA4455"/>
    <w:rsid w:val="00AA4545"/>
    <w:rsid w:val="00AA5A3D"/>
    <w:rsid w:val="00AA6179"/>
    <w:rsid w:val="00AA6353"/>
    <w:rsid w:val="00AB0579"/>
    <w:rsid w:val="00AB32A8"/>
    <w:rsid w:val="00AB3ECB"/>
    <w:rsid w:val="00AB4093"/>
    <w:rsid w:val="00AB40B4"/>
    <w:rsid w:val="00AB414E"/>
    <w:rsid w:val="00AB697D"/>
    <w:rsid w:val="00AC076E"/>
    <w:rsid w:val="00AC1A34"/>
    <w:rsid w:val="00AC2516"/>
    <w:rsid w:val="00AC4892"/>
    <w:rsid w:val="00AC4BD1"/>
    <w:rsid w:val="00AC557C"/>
    <w:rsid w:val="00AC6694"/>
    <w:rsid w:val="00AC7F5E"/>
    <w:rsid w:val="00AD3575"/>
    <w:rsid w:val="00AD7C67"/>
    <w:rsid w:val="00AD7FD9"/>
    <w:rsid w:val="00AE2BB1"/>
    <w:rsid w:val="00AE37C6"/>
    <w:rsid w:val="00AE3B30"/>
    <w:rsid w:val="00AE4059"/>
    <w:rsid w:val="00AE746F"/>
    <w:rsid w:val="00AF0BD2"/>
    <w:rsid w:val="00AF2497"/>
    <w:rsid w:val="00AF402E"/>
    <w:rsid w:val="00AF59AA"/>
    <w:rsid w:val="00AF7BFB"/>
    <w:rsid w:val="00B00D5D"/>
    <w:rsid w:val="00B016E9"/>
    <w:rsid w:val="00B01995"/>
    <w:rsid w:val="00B02019"/>
    <w:rsid w:val="00B02059"/>
    <w:rsid w:val="00B0309C"/>
    <w:rsid w:val="00B0309E"/>
    <w:rsid w:val="00B031C6"/>
    <w:rsid w:val="00B0601D"/>
    <w:rsid w:val="00B060ED"/>
    <w:rsid w:val="00B06A60"/>
    <w:rsid w:val="00B07717"/>
    <w:rsid w:val="00B10466"/>
    <w:rsid w:val="00B10957"/>
    <w:rsid w:val="00B10D66"/>
    <w:rsid w:val="00B110FA"/>
    <w:rsid w:val="00B11A92"/>
    <w:rsid w:val="00B129D8"/>
    <w:rsid w:val="00B12BB3"/>
    <w:rsid w:val="00B13859"/>
    <w:rsid w:val="00B221DE"/>
    <w:rsid w:val="00B23145"/>
    <w:rsid w:val="00B23F3D"/>
    <w:rsid w:val="00B24A51"/>
    <w:rsid w:val="00B26374"/>
    <w:rsid w:val="00B266F9"/>
    <w:rsid w:val="00B31A7C"/>
    <w:rsid w:val="00B329F1"/>
    <w:rsid w:val="00B33F67"/>
    <w:rsid w:val="00B34B11"/>
    <w:rsid w:val="00B3507E"/>
    <w:rsid w:val="00B36D12"/>
    <w:rsid w:val="00B374CD"/>
    <w:rsid w:val="00B37D39"/>
    <w:rsid w:val="00B40B5B"/>
    <w:rsid w:val="00B43704"/>
    <w:rsid w:val="00B43ADB"/>
    <w:rsid w:val="00B44D36"/>
    <w:rsid w:val="00B4506A"/>
    <w:rsid w:val="00B450A3"/>
    <w:rsid w:val="00B452CE"/>
    <w:rsid w:val="00B46729"/>
    <w:rsid w:val="00B46AA0"/>
    <w:rsid w:val="00B46B98"/>
    <w:rsid w:val="00B47A05"/>
    <w:rsid w:val="00B47C80"/>
    <w:rsid w:val="00B47F5B"/>
    <w:rsid w:val="00B51B42"/>
    <w:rsid w:val="00B53788"/>
    <w:rsid w:val="00B55126"/>
    <w:rsid w:val="00B551CF"/>
    <w:rsid w:val="00B55247"/>
    <w:rsid w:val="00B55FE4"/>
    <w:rsid w:val="00B56303"/>
    <w:rsid w:val="00B56485"/>
    <w:rsid w:val="00B56D16"/>
    <w:rsid w:val="00B571B0"/>
    <w:rsid w:val="00B57A77"/>
    <w:rsid w:val="00B62809"/>
    <w:rsid w:val="00B62F98"/>
    <w:rsid w:val="00B659E3"/>
    <w:rsid w:val="00B721F6"/>
    <w:rsid w:val="00B72311"/>
    <w:rsid w:val="00B72B8F"/>
    <w:rsid w:val="00B734E3"/>
    <w:rsid w:val="00B73D7D"/>
    <w:rsid w:val="00B74159"/>
    <w:rsid w:val="00B748BA"/>
    <w:rsid w:val="00B75BF1"/>
    <w:rsid w:val="00B77C78"/>
    <w:rsid w:val="00B803FA"/>
    <w:rsid w:val="00B81DFF"/>
    <w:rsid w:val="00B81FC6"/>
    <w:rsid w:val="00B82229"/>
    <w:rsid w:val="00B83E44"/>
    <w:rsid w:val="00B85A2A"/>
    <w:rsid w:val="00B85B7B"/>
    <w:rsid w:val="00B877E1"/>
    <w:rsid w:val="00B90F18"/>
    <w:rsid w:val="00B9315C"/>
    <w:rsid w:val="00B93931"/>
    <w:rsid w:val="00B93CA1"/>
    <w:rsid w:val="00B93DC3"/>
    <w:rsid w:val="00B960A9"/>
    <w:rsid w:val="00B96863"/>
    <w:rsid w:val="00BA2D3F"/>
    <w:rsid w:val="00BA4634"/>
    <w:rsid w:val="00BA5EC5"/>
    <w:rsid w:val="00BB25CB"/>
    <w:rsid w:val="00BB2A86"/>
    <w:rsid w:val="00BB2F84"/>
    <w:rsid w:val="00BB3308"/>
    <w:rsid w:val="00BB3960"/>
    <w:rsid w:val="00BB4F84"/>
    <w:rsid w:val="00BB654C"/>
    <w:rsid w:val="00BB675F"/>
    <w:rsid w:val="00BC0D89"/>
    <w:rsid w:val="00BC19A7"/>
    <w:rsid w:val="00BC1D19"/>
    <w:rsid w:val="00BC2025"/>
    <w:rsid w:val="00BC24B5"/>
    <w:rsid w:val="00BC2931"/>
    <w:rsid w:val="00BC4620"/>
    <w:rsid w:val="00BC5760"/>
    <w:rsid w:val="00BC5790"/>
    <w:rsid w:val="00BC62D6"/>
    <w:rsid w:val="00BC6D3A"/>
    <w:rsid w:val="00BC77B2"/>
    <w:rsid w:val="00BD03FE"/>
    <w:rsid w:val="00BD29DF"/>
    <w:rsid w:val="00BD6444"/>
    <w:rsid w:val="00BD6B1C"/>
    <w:rsid w:val="00BD6FD4"/>
    <w:rsid w:val="00BD7867"/>
    <w:rsid w:val="00BD7EC7"/>
    <w:rsid w:val="00BE1815"/>
    <w:rsid w:val="00BE1EAD"/>
    <w:rsid w:val="00BE318F"/>
    <w:rsid w:val="00BE3CFA"/>
    <w:rsid w:val="00BE4FB7"/>
    <w:rsid w:val="00BE59EB"/>
    <w:rsid w:val="00BE67F1"/>
    <w:rsid w:val="00BE794D"/>
    <w:rsid w:val="00BE79D0"/>
    <w:rsid w:val="00BF08A3"/>
    <w:rsid w:val="00BF130D"/>
    <w:rsid w:val="00BF1FAD"/>
    <w:rsid w:val="00BF2E31"/>
    <w:rsid w:val="00BF3922"/>
    <w:rsid w:val="00BF65F9"/>
    <w:rsid w:val="00BF7C48"/>
    <w:rsid w:val="00C00B81"/>
    <w:rsid w:val="00C015E9"/>
    <w:rsid w:val="00C01C2F"/>
    <w:rsid w:val="00C023D5"/>
    <w:rsid w:val="00C03D7D"/>
    <w:rsid w:val="00C04C5D"/>
    <w:rsid w:val="00C0719D"/>
    <w:rsid w:val="00C10CBF"/>
    <w:rsid w:val="00C11E26"/>
    <w:rsid w:val="00C129A9"/>
    <w:rsid w:val="00C12DDA"/>
    <w:rsid w:val="00C130D3"/>
    <w:rsid w:val="00C13AF2"/>
    <w:rsid w:val="00C15711"/>
    <w:rsid w:val="00C158B8"/>
    <w:rsid w:val="00C175D5"/>
    <w:rsid w:val="00C20D63"/>
    <w:rsid w:val="00C22177"/>
    <w:rsid w:val="00C2333E"/>
    <w:rsid w:val="00C23A4C"/>
    <w:rsid w:val="00C2413B"/>
    <w:rsid w:val="00C2605B"/>
    <w:rsid w:val="00C27B38"/>
    <w:rsid w:val="00C30C6C"/>
    <w:rsid w:val="00C3180F"/>
    <w:rsid w:val="00C32FC5"/>
    <w:rsid w:val="00C33602"/>
    <w:rsid w:val="00C33928"/>
    <w:rsid w:val="00C3475F"/>
    <w:rsid w:val="00C366AC"/>
    <w:rsid w:val="00C36C99"/>
    <w:rsid w:val="00C40B55"/>
    <w:rsid w:val="00C41509"/>
    <w:rsid w:val="00C42230"/>
    <w:rsid w:val="00C45258"/>
    <w:rsid w:val="00C45684"/>
    <w:rsid w:val="00C45766"/>
    <w:rsid w:val="00C507DB"/>
    <w:rsid w:val="00C50B10"/>
    <w:rsid w:val="00C5304B"/>
    <w:rsid w:val="00C53ADA"/>
    <w:rsid w:val="00C540A4"/>
    <w:rsid w:val="00C54506"/>
    <w:rsid w:val="00C54D8A"/>
    <w:rsid w:val="00C54F8B"/>
    <w:rsid w:val="00C55E90"/>
    <w:rsid w:val="00C56A85"/>
    <w:rsid w:val="00C56C9F"/>
    <w:rsid w:val="00C602FC"/>
    <w:rsid w:val="00C62B00"/>
    <w:rsid w:val="00C651A0"/>
    <w:rsid w:val="00C674BA"/>
    <w:rsid w:val="00C67A6A"/>
    <w:rsid w:val="00C70C96"/>
    <w:rsid w:val="00C70F96"/>
    <w:rsid w:val="00C72297"/>
    <w:rsid w:val="00C72C6E"/>
    <w:rsid w:val="00C73671"/>
    <w:rsid w:val="00C74300"/>
    <w:rsid w:val="00C74CAD"/>
    <w:rsid w:val="00C759B3"/>
    <w:rsid w:val="00C7639C"/>
    <w:rsid w:val="00C7750C"/>
    <w:rsid w:val="00C77E2C"/>
    <w:rsid w:val="00C800BB"/>
    <w:rsid w:val="00C83099"/>
    <w:rsid w:val="00C86322"/>
    <w:rsid w:val="00C86F40"/>
    <w:rsid w:val="00C871AA"/>
    <w:rsid w:val="00C87D7F"/>
    <w:rsid w:val="00C92568"/>
    <w:rsid w:val="00C930E5"/>
    <w:rsid w:val="00C9408D"/>
    <w:rsid w:val="00C95FF7"/>
    <w:rsid w:val="00C975AF"/>
    <w:rsid w:val="00CA02B8"/>
    <w:rsid w:val="00CA035E"/>
    <w:rsid w:val="00CA1A07"/>
    <w:rsid w:val="00CA1F02"/>
    <w:rsid w:val="00CA209B"/>
    <w:rsid w:val="00CA3B08"/>
    <w:rsid w:val="00CA4326"/>
    <w:rsid w:val="00CA5045"/>
    <w:rsid w:val="00CA7981"/>
    <w:rsid w:val="00CA7FA8"/>
    <w:rsid w:val="00CB0A98"/>
    <w:rsid w:val="00CB318A"/>
    <w:rsid w:val="00CB5334"/>
    <w:rsid w:val="00CB6C09"/>
    <w:rsid w:val="00CC25CE"/>
    <w:rsid w:val="00CC4C91"/>
    <w:rsid w:val="00CC51E9"/>
    <w:rsid w:val="00CC5536"/>
    <w:rsid w:val="00CC6DB3"/>
    <w:rsid w:val="00CD05F0"/>
    <w:rsid w:val="00CD09E0"/>
    <w:rsid w:val="00CD0A8B"/>
    <w:rsid w:val="00CD41BA"/>
    <w:rsid w:val="00CD4BA8"/>
    <w:rsid w:val="00CD5765"/>
    <w:rsid w:val="00CD5B75"/>
    <w:rsid w:val="00CD767E"/>
    <w:rsid w:val="00CD78C0"/>
    <w:rsid w:val="00CE1239"/>
    <w:rsid w:val="00CE13F5"/>
    <w:rsid w:val="00CE21C1"/>
    <w:rsid w:val="00CE29FB"/>
    <w:rsid w:val="00CE3D7A"/>
    <w:rsid w:val="00CE59C6"/>
    <w:rsid w:val="00CE5AC7"/>
    <w:rsid w:val="00CE6551"/>
    <w:rsid w:val="00CF0CD3"/>
    <w:rsid w:val="00CF19D9"/>
    <w:rsid w:val="00CF24A7"/>
    <w:rsid w:val="00CF3490"/>
    <w:rsid w:val="00CF59EF"/>
    <w:rsid w:val="00CF5B1A"/>
    <w:rsid w:val="00CF6385"/>
    <w:rsid w:val="00CF665E"/>
    <w:rsid w:val="00CF7B17"/>
    <w:rsid w:val="00D003E8"/>
    <w:rsid w:val="00D009AB"/>
    <w:rsid w:val="00D02173"/>
    <w:rsid w:val="00D02659"/>
    <w:rsid w:val="00D026F3"/>
    <w:rsid w:val="00D029D8"/>
    <w:rsid w:val="00D02AF0"/>
    <w:rsid w:val="00D03F34"/>
    <w:rsid w:val="00D04301"/>
    <w:rsid w:val="00D0550D"/>
    <w:rsid w:val="00D0695D"/>
    <w:rsid w:val="00D0747A"/>
    <w:rsid w:val="00D1430D"/>
    <w:rsid w:val="00D14B8F"/>
    <w:rsid w:val="00D155F4"/>
    <w:rsid w:val="00D17F2E"/>
    <w:rsid w:val="00D22BD7"/>
    <w:rsid w:val="00D22C79"/>
    <w:rsid w:val="00D24B9E"/>
    <w:rsid w:val="00D25E48"/>
    <w:rsid w:val="00D26E71"/>
    <w:rsid w:val="00D27862"/>
    <w:rsid w:val="00D30670"/>
    <w:rsid w:val="00D30F49"/>
    <w:rsid w:val="00D3119D"/>
    <w:rsid w:val="00D33374"/>
    <w:rsid w:val="00D33D98"/>
    <w:rsid w:val="00D34170"/>
    <w:rsid w:val="00D34DF6"/>
    <w:rsid w:val="00D355AA"/>
    <w:rsid w:val="00D356EC"/>
    <w:rsid w:val="00D35D57"/>
    <w:rsid w:val="00D3669C"/>
    <w:rsid w:val="00D37179"/>
    <w:rsid w:val="00D37D56"/>
    <w:rsid w:val="00D41093"/>
    <w:rsid w:val="00D413C2"/>
    <w:rsid w:val="00D42900"/>
    <w:rsid w:val="00D44C0A"/>
    <w:rsid w:val="00D4525F"/>
    <w:rsid w:val="00D46E7E"/>
    <w:rsid w:val="00D51094"/>
    <w:rsid w:val="00D51987"/>
    <w:rsid w:val="00D51DD4"/>
    <w:rsid w:val="00D51E11"/>
    <w:rsid w:val="00D5311C"/>
    <w:rsid w:val="00D54B2D"/>
    <w:rsid w:val="00D56FF6"/>
    <w:rsid w:val="00D57F6B"/>
    <w:rsid w:val="00D6122F"/>
    <w:rsid w:val="00D64D6C"/>
    <w:rsid w:val="00D66C51"/>
    <w:rsid w:val="00D66E87"/>
    <w:rsid w:val="00D675D7"/>
    <w:rsid w:val="00D67BCC"/>
    <w:rsid w:val="00D700B0"/>
    <w:rsid w:val="00D72F59"/>
    <w:rsid w:val="00D73AF5"/>
    <w:rsid w:val="00D741AC"/>
    <w:rsid w:val="00D74896"/>
    <w:rsid w:val="00D76198"/>
    <w:rsid w:val="00D81C90"/>
    <w:rsid w:val="00D81CCA"/>
    <w:rsid w:val="00D84CC1"/>
    <w:rsid w:val="00D85044"/>
    <w:rsid w:val="00D8551A"/>
    <w:rsid w:val="00D86479"/>
    <w:rsid w:val="00D867A8"/>
    <w:rsid w:val="00D9086A"/>
    <w:rsid w:val="00D9126A"/>
    <w:rsid w:val="00D91854"/>
    <w:rsid w:val="00D921D9"/>
    <w:rsid w:val="00D9237C"/>
    <w:rsid w:val="00D945DC"/>
    <w:rsid w:val="00D95891"/>
    <w:rsid w:val="00D95EF4"/>
    <w:rsid w:val="00DA1950"/>
    <w:rsid w:val="00DA2A2E"/>
    <w:rsid w:val="00DA2CD9"/>
    <w:rsid w:val="00DA31CA"/>
    <w:rsid w:val="00DA5C28"/>
    <w:rsid w:val="00DA6999"/>
    <w:rsid w:val="00DA70D6"/>
    <w:rsid w:val="00DB05A9"/>
    <w:rsid w:val="00DB0E68"/>
    <w:rsid w:val="00DB18CF"/>
    <w:rsid w:val="00DB1C1C"/>
    <w:rsid w:val="00DB434C"/>
    <w:rsid w:val="00DB43F9"/>
    <w:rsid w:val="00DB53F8"/>
    <w:rsid w:val="00DB62ED"/>
    <w:rsid w:val="00DB73E1"/>
    <w:rsid w:val="00DB7501"/>
    <w:rsid w:val="00DC4AD9"/>
    <w:rsid w:val="00DC4D2A"/>
    <w:rsid w:val="00DC6C3A"/>
    <w:rsid w:val="00DC7860"/>
    <w:rsid w:val="00DC7F7C"/>
    <w:rsid w:val="00DD0024"/>
    <w:rsid w:val="00DD19EE"/>
    <w:rsid w:val="00DD2CD2"/>
    <w:rsid w:val="00DD3873"/>
    <w:rsid w:val="00DD78D7"/>
    <w:rsid w:val="00DE14AC"/>
    <w:rsid w:val="00DE1992"/>
    <w:rsid w:val="00DE2F1E"/>
    <w:rsid w:val="00DE312E"/>
    <w:rsid w:val="00DE3CAD"/>
    <w:rsid w:val="00DE5447"/>
    <w:rsid w:val="00DF04EC"/>
    <w:rsid w:val="00DF1355"/>
    <w:rsid w:val="00DF35E0"/>
    <w:rsid w:val="00DF49B4"/>
    <w:rsid w:val="00DF7194"/>
    <w:rsid w:val="00E0036E"/>
    <w:rsid w:val="00E00A28"/>
    <w:rsid w:val="00E01BF9"/>
    <w:rsid w:val="00E03BB1"/>
    <w:rsid w:val="00E04BCB"/>
    <w:rsid w:val="00E05279"/>
    <w:rsid w:val="00E06063"/>
    <w:rsid w:val="00E072D4"/>
    <w:rsid w:val="00E10321"/>
    <w:rsid w:val="00E105D2"/>
    <w:rsid w:val="00E1185D"/>
    <w:rsid w:val="00E11AE0"/>
    <w:rsid w:val="00E1233B"/>
    <w:rsid w:val="00E1278D"/>
    <w:rsid w:val="00E127BB"/>
    <w:rsid w:val="00E131A4"/>
    <w:rsid w:val="00E13801"/>
    <w:rsid w:val="00E13D68"/>
    <w:rsid w:val="00E152BD"/>
    <w:rsid w:val="00E16279"/>
    <w:rsid w:val="00E208CE"/>
    <w:rsid w:val="00E20AB1"/>
    <w:rsid w:val="00E20C87"/>
    <w:rsid w:val="00E2168E"/>
    <w:rsid w:val="00E22B9C"/>
    <w:rsid w:val="00E23467"/>
    <w:rsid w:val="00E27146"/>
    <w:rsid w:val="00E312D1"/>
    <w:rsid w:val="00E31595"/>
    <w:rsid w:val="00E319B4"/>
    <w:rsid w:val="00E32583"/>
    <w:rsid w:val="00E33372"/>
    <w:rsid w:val="00E33A58"/>
    <w:rsid w:val="00E353C3"/>
    <w:rsid w:val="00E35ED1"/>
    <w:rsid w:val="00E3734A"/>
    <w:rsid w:val="00E37DE2"/>
    <w:rsid w:val="00E37FB5"/>
    <w:rsid w:val="00E40B6A"/>
    <w:rsid w:val="00E40F89"/>
    <w:rsid w:val="00E4269D"/>
    <w:rsid w:val="00E42D6C"/>
    <w:rsid w:val="00E44283"/>
    <w:rsid w:val="00E50349"/>
    <w:rsid w:val="00E51011"/>
    <w:rsid w:val="00E52D85"/>
    <w:rsid w:val="00E56159"/>
    <w:rsid w:val="00E614A2"/>
    <w:rsid w:val="00E62708"/>
    <w:rsid w:val="00E62FA9"/>
    <w:rsid w:val="00E634AD"/>
    <w:rsid w:val="00E64ED5"/>
    <w:rsid w:val="00E664C6"/>
    <w:rsid w:val="00E669D9"/>
    <w:rsid w:val="00E66AF3"/>
    <w:rsid w:val="00E67633"/>
    <w:rsid w:val="00E679F0"/>
    <w:rsid w:val="00E71460"/>
    <w:rsid w:val="00E733A8"/>
    <w:rsid w:val="00E73BA7"/>
    <w:rsid w:val="00E73D34"/>
    <w:rsid w:val="00E75665"/>
    <w:rsid w:val="00E8066F"/>
    <w:rsid w:val="00E8113B"/>
    <w:rsid w:val="00E81BD0"/>
    <w:rsid w:val="00E8399B"/>
    <w:rsid w:val="00E83DD6"/>
    <w:rsid w:val="00E8406D"/>
    <w:rsid w:val="00E84B09"/>
    <w:rsid w:val="00E84BD6"/>
    <w:rsid w:val="00E85572"/>
    <w:rsid w:val="00E85C27"/>
    <w:rsid w:val="00E86346"/>
    <w:rsid w:val="00E86B6B"/>
    <w:rsid w:val="00E874E0"/>
    <w:rsid w:val="00E91093"/>
    <w:rsid w:val="00E924B4"/>
    <w:rsid w:val="00E92612"/>
    <w:rsid w:val="00E92825"/>
    <w:rsid w:val="00E94DAA"/>
    <w:rsid w:val="00E95AFD"/>
    <w:rsid w:val="00E97F0A"/>
    <w:rsid w:val="00EA2650"/>
    <w:rsid w:val="00EA281B"/>
    <w:rsid w:val="00EA2F2E"/>
    <w:rsid w:val="00EA3407"/>
    <w:rsid w:val="00EA37DB"/>
    <w:rsid w:val="00EA4E12"/>
    <w:rsid w:val="00EA4EEC"/>
    <w:rsid w:val="00EA5BC3"/>
    <w:rsid w:val="00EA6847"/>
    <w:rsid w:val="00EB07D8"/>
    <w:rsid w:val="00EB082C"/>
    <w:rsid w:val="00EB159B"/>
    <w:rsid w:val="00EB1879"/>
    <w:rsid w:val="00EB1DA4"/>
    <w:rsid w:val="00EB3C32"/>
    <w:rsid w:val="00EB4E61"/>
    <w:rsid w:val="00EB5CC5"/>
    <w:rsid w:val="00EB63B8"/>
    <w:rsid w:val="00EB7574"/>
    <w:rsid w:val="00EB75D1"/>
    <w:rsid w:val="00EC1FB9"/>
    <w:rsid w:val="00EC2699"/>
    <w:rsid w:val="00EC2BA9"/>
    <w:rsid w:val="00EC4700"/>
    <w:rsid w:val="00EC74D0"/>
    <w:rsid w:val="00EC7716"/>
    <w:rsid w:val="00ED078A"/>
    <w:rsid w:val="00ED272C"/>
    <w:rsid w:val="00ED2B6D"/>
    <w:rsid w:val="00ED3DD2"/>
    <w:rsid w:val="00ED4FEB"/>
    <w:rsid w:val="00ED5DA7"/>
    <w:rsid w:val="00ED7937"/>
    <w:rsid w:val="00EE0275"/>
    <w:rsid w:val="00EE4B1F"/>
    <w:rsid w:val="00EE5B2C"/>
    <w:rsid w:val="00EE65BF"/>
    <w:rsid w:val="00EE6A7B"/>
    <w:rsid w:val="00EE70A2"/>
    <w:rsid w:val="00EE7CE1"/>
    <w:rsid w:val="00EF02D3"/>
    <w:rsid w:val="00EF1780"/>
    <w:rsid w:val="00EF1C0B"/>
    <w:rsid w:val="00EF4933"/>
    <w:rsid w:val="00EF527F"/>
    <w:rsid w:val="00EF52B1"/>
    <w:rsid w:val="00EF624B"/>
    <w:rsid w:val="00EF64D2"/>
    <w:rsid w:val="00EF6CC1"/>
    <w:rsid w:val="00EF708C"/>
    <w:rsid w:val="00EF7C7E"/>
    <w:rsid w:val="00F000DC"/>
    <w:rsid w:val="00F01860"/>
    <w:rsid w:val="00F04D58"/>
    <w:rsid w:val="00F061C8"/>
    <w:rsid w:val="00F061CE"/>
    <w:rsid w:val="00F063A7"/>
    <w:rsid w:val="00F0716A"/>
    <w:rsid w:val="00F10A63"/>
    <w:rsid w:val="00F10BDB"/>
    <w:rsid w:val="00F11979"/>
    <w:rsid w:val="00F134FE"/>
    <w:rsid w:val="00F13E32"/>
    <w:rsid w:val="00F1433E"/>
    <w:rsid w:val="00F14362"/>
    <w:rsid w:val="00F14780"/>
    <w:rsid w:val="00F17EE8"/>
    <w:rsid w:val="00F20733"/>
    <w:rsid w:val="00F216C0"/>
    <w:rsid w:val="00F22125"/>
    <w:rsid w:val="00F221AA"/>
    <w:rsid w:val="00F30E2A"/>
    <w:rsid w:val="00F31E76"/>
    <w:rsid w:val="00F322E3"/>
    <w:rsid w:val="00F338FC"/>
    <w:rsid w:val="00F3396D"/>
    <w:rsid w:val="00F3495C"/>
    <w:rsid w:val="00F35E5C"/>
    <w:rsid w:val="00F35EEA"/>
    <w:rsid w:val="00F37A40"/>
    <w:rsid w:val="00F37CE0"/>
    <w:rsid w:val="00F41328"/>
    <w:rsid w:val="00F4146E"/>
    <w:rsid w:val="00F4320B"/>
    <w:rsid w:val="00F43D04"/>
    <w:rsid w:val="00F441C2"/>
    <w:rsid w:val="00F44ABB"/>
    <w:rsid w:val="00F45058"/>
    <w:rsid w:val="00F455C7"/>
    <w:rsid w:val="00F45B6E"/>
    <w:rsid w:val="00F468EF"/>
    <w:rsid w:val="00F50CF3"/>
    <w:rsid w:val="00F51C22"/>
    <w:rsid w:val="00F533FE"/>
    <w:rsid w:val="00F53F09"/>
    <w:rsid w:val="00F547AD"/>
    <w:rsid w:val="00F56AD3"/>
    <w:rsid w:val="00F607CB"/>
    <w:rsid w:val="00F6175C"/>
    <w:rsid w:val="00F643B5"/>
    <w:rsid w:val="00F64C26"/>
    <w:rsid w:val="00F65C45"/>
    <w:rsid w:val="00F70C3A"/>
    <w:rsid w:val="00F713AA"/>
    <w:rsid w:val="00F7208E"/>
    <w:rsid w:val="00F725EC"/>
    <w:rsid w:val="00F73360"/>
    <w:rsid w:val="00F73BAC"/>
    <w:rsid w:val="00F73F6C"/>
    <w:rsid w:val="00F7490F"/>
    <w:rsid w:val="00F75550"/>
    <w:rsid w:val="00F75E5B"/>
    <w:rsid w:val="00F76EE0"/>
    <w:rsid w:val="00F770F6"/>
    <w:rsid w:val="00F81D4E"/>
    <w:rsid w:val="00F81DC3"/>
    <w:rsid w:val="00F8742E"/>
    <w:rsid w:val="00F913F1"/>
    <w:rsid w:val="00F92326"/>
    <w:rsid w:val="00F92ABD"/>
    <w:rsid w:val="00F93961"/>
    <w:rsid w:val="00F93D06"/>
    <w:rsid w:val="00F9573A"/>
    <w:rsid w:val="00F95FE5"/>
    <w:rsid w:val="00F965FF"/>
    <w:rsid w:val="00FA0A18"/>
    <w:rsid w:val="00FA0A37"/>
    <w:rsid w:val="00FA0F88"/>
    <w:rsid w:val="00FA28E5"/>
    <w:rsid w:val="00FA46E0"/>
    <w:rsid w:val="00FA590C"/>
    <w:rsid w:val="00FA5E09"/>
    <w:rsid w:val="00FB0BE6"/>
    <w:rsid w:val="00FB3466"/>
    <w:rsid w:val="00FB3EE5"/>
    <w:rsid w:val="00FB4926"/>
    <w:rsid w:val="00FB4A64"/>
    <w:rsid w:val="00FC1A04"/>
    <w:rsid w:val="00FC1D81"/>
    <w:rsid w:val="00FC6090"/>
    <w:rsid w:val="00FC6A5F"/>
    <w:rsid w:val="00FC78F1"/>
    <w:rsid w:val="00FD2428"/>
    <w:rsid w:val="00FD3320"/>
    <w:rsid w:val="00FD3F1B"/>
    <w:rsid w:val="00FD4F42"/>
    <w:rsid w:val="00FD621A"/>
    <w:rsid w:val="00FD789A"/>
    <w:rsid w:val="00FE0774"/>
    <w:rsid w:val="00FE14FE"/>
    <w:rsid w:val="00FE338B"/>
    <w:rsid w:val="00FE38E2"/>
    <w:rsid w:val="00FE5114"/>
    <w:rsid w:val="00FE52C8"/>
    <w:rsid w:val="00FF25D2"/>
    <w:rsid w:val="00FF35E5"/>
    <w:rsid w:val="00FF3699"/>
    <w:rsid w:val="00FF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4CFBE"/>
  <w15:docId w15:val="{1F595F42-6E3C-46A9-BFFF-6483EEFF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331"/>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paragraph" w:customStyle="1" w:styleId="25">
    <w:name w:val="Основной текст2"/>
    <w:basedOn w:val="a"/>
    <w:rsid w:val="00EA37DB"/>
    <w:pPr>
      <w:widowControl/>
      <w:shd w:val="clear" w:color="auto" w:fill="FFFFFF"/>
      <w:spacing w:line="326" w:lineRule="exact"/>
      <w:ind w:hanging="420"/>
    </w:pPr>
    <w:rPr>
      <w:sz w:val="26"/>
      <w:szCs w:val="26"/>
      <w:lang w:val="ru"/>
    </w:rPr>
  </w:style>
  <w:style w:type="paragraph" w:styleId="af8">
    <w:name w:val="caption"/>
    <w:basedOn w:val="a"/>
    <w:next w:val="a"/>
    <w:qFormat/>
    <w:rsid w:val="00B53788"/>
    <w:pPr>
      <w:widowControl/>
      <w:jc w:val="center"/>
    </w:pPr>
    <w:rPr>
      <w:b/>
      <w:sz w:val="26"/>
    </w:rPr>
  </w:style>
  <w:style w:type="paragraph" w:customStyle="1" w:styleId="210">
    <w:name w:val="Основной текст с отступом 21"/>
    <w:basedOn w:val="a"/>
    <w:rsid w:val="00B53788"/>
    <w:pPr>
      <w:ind w:firstLine="851"/>
      <w:jc w:val="both"/>
    </w:pPr>
    <w:rPr>
      <w:sz w:val="24"/>
    </w:rPr>
  </w:style>
  <w:style w:type="paragraph" w:customStyle="1" w:styleId="ConsPlusNonformat">
    <w:name w:val="ConsPlusNonformat"/>
    <w:uiPriority w:val="99"/>
    <w:rsid w:val="00B53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Таблицы (моноширинный)"/>
    <w:basedOn w:val="a"/>
    <w:next w:val="a"/>
    <w:rsid w:val="00B53788"/>
    <w:pPr>
      <w:widowControl/>
      <w:autoSpaceDE w:val="0"/>
      <w:autoSpaceDN w:val="0"/>
      <w:adjustRightInd w:val="0"/>
      <w:jc w:val="both"/>
    </w:pPr>
    <w:rPr>
      <w:rFonts w:ascii="Courier New" w:hAnsi="Courier New" w:cs="Courier New"/>
    </w:rPr>
  </w:style>
  <w:style w:type="character" w:customStyle="1" w:styleId="afa">
    <w:name w:val="Гипертекстовая ссылка"/>
    <w:basedOn w:val="a0"/>
    <w:rsid w:val="00B53788"/>
    <w:rPr>
      <w:color w:val="008000"/>
      <w:sz w:val="20"/>
      <w:szCs w:val="20"/>
      <w:u w:val="single"/>
    </w:rPr>
  </w:style>
  <w:style w:type="paragraph" w:customStyle="1" w:styleId="15">
    <w:name w:val="1"/>
    <w:basedOn w:val="a"/>
    <w:rsid w:val="00B53788"/>
    <w:pPr>
      <w:widowControl/>
      <w:spacing w:before="100" w:beforeAutospacing="1" w:after="100" w:afterAutospacing="1"/>
    </w:pPr>
    <w:rPr>
      <w:rFonts w:ascii="Tahoma" w:hAnsi="Tahoma"/>
      <w:bCs/>
      <w:lang w:val="en-US" w:eastAsia="en-US"/>
    </w:rPr>
  </w:style>
  <w:style w:type="paragraph" w:customStyle="1" w:styleId="ConsNonformat">
    <w:name w:val="ConsNonformat"/>
    <w:rsid w:val="00B5378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6">
    <w:name w:val="Сетка таблицы2"/>
    <w:basedOn w:val="a1"/>
    <w:next w:val="af1"/>
    <w:rsid w:val="00B5378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53788"/>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Body Text"/>
    <w:basedOn w:val="a"/>
    <w:link w:val="afc"/>
    <w:rsid w:val="00B53788"/>
    <w:pPr>
      <w:spacing w:after="120"/>
    </w:pPr>
  </w:style>
  <w:style w:type="character" w:customStyle="1" w:styleId="afc">
    <w:name w:val="Основной текст Знак"/>
    <w:basedOn w:val="a0"/>
    <w:link w:val="afb"/>
    <w:rsid w:val="00B53788"/>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8A58D3"/>
    <w:rPr>
      <w:color w:val="605E5C"/>
      <w:shd w:val="clear" w:color="auto" w:fill="E1DFDD"/>
    </w:rPr>
  </w:style>
  <w:style w:type="character" w:styleId="afd">
    <w:name w:val="FollowedHyperlink"/>
    <w:basedOn w:val="a0"/>
    <w:uiPriority w:val="99"/>
    <w:semiHidden/>
    <w:unhideWhenUsed/>
    <w:rsid w:val="004B4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07693645">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00355892">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0835232">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136900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337999560">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833794654">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1947689276">
      <w:bodyDiv w:val="1"/>
      <w:marLeft w:val="0"/>
      <w:marRight w:val="0"/>
      <w:marTop w:val="0"/>
      <w:marBottom w:val="0"/>
      <w:divBdr>
        <w:top w:val="none" w:sz="0" w:space="0" w:color="auto"/>
        <w:left w:val="none" w:sz="0" w:space="0" w:color="auto"/>
        <w:bottom w:val="none" w:sz="0" w:space="0" w:color="auto"/>
        <w:right w:val="none" w:sz="0" w:space="0" w:color="auto"/>
      </w:divBdr>
    </w:div>
    <w:div w:id="2017532821">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4890354">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67294688">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52;fld=134;dst=1004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7252;fld=134;dst=1004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149BB-6D7B-4840-8984-DD337487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6</Pages>
  <Words>2672</Words>
  <Characters>15232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0050</dc:creator>
  <cp:keywords/>
  <dc:description/>
  <cp:lastModifiedBy>Копышева М.C.</cp:lastModifiedBy>
  <cp:revision>429</cp:revision>
  <cp:lastPrinted>2023-11-13T09:47:00Z</cp:lastPrinted>
  <dcterms:created xsi:type="dcterms:W3CDTF">2021-04-12T11:47:00Z</dcterms:created>
  <dcterms:modified xsi:type="dcterms:W3CDTF">2024-11-28T05:23:00Z</dcterms:modified>
</cp:coreProperties>
</file>