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</w:rPr>
      </w:pPr>
    </w:p>
    <w:p w:rsidR="005B384C" w:rsidRPr="009B4C3C" w:rsidRDefault="005B384C" w:rsidP="006E1C80">
      <w:pPr>
        <w:tabs>
          <w:tab w:val="left" w:pos="8789"/>
        </w:tabs>
        <w:spacing w:line="264" w:lineRule="auto"/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6E1C80">
      <w:pPr>
        <w:tabs>
          <w:tab w:val="left" w:pos="8789"/>
        </w:tabs>
        <w:spacing w:line="264" w:lineRule="auto"/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AB2502" w:rsidRPr="009B4C3C">
        <w:rPr>
          <w:b/>
          <w:sz w:val="24"/>
          <w:szCs w:val="24"/>
          <w:u w:val="single"/>
        </w:rPr>
        <w:t>4</w:t>
      </w:r>
      <w:r w:rsidR="00F60681">
        <w:rPr>
          <w:b/>
          <w:sz w:val="24"/>
          <w:szCs w:val="24"/>
          <w:u w:val="single"/>
        </w:rPr>
        <w:t>4</w:t>
      </w:r>
      <w:r w:rsidR="00C64358" w:rsidRPr="009B4C3C">
        <w:rPr>
          <w:b/>
          <w:sz w:val="24"/>
          <w:szCs w:val="24"/>
          <w:u w:val="single"/>
        </w:rPr>
        <w:t>/</w:t>
      </w:r>
      <w:r w:rsidR="00F60681">
        <w:rPr>
          <w:b/>
          <w:sz w:val="24"/>
          <w:szCs w:val="24"/>
          <w:u w:val="single"/>
        </w:rPr>
        <w:t>1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6E1C80">
      <w:pPr>
        <w:spacing w:line="264" w:lineRule="auto"/>
        <w:jc w:val="center"/>
        <w:rPr>
          <w:sz w:val="24"/>
          <w:szCs w:val="24"/>
        </w:rPr>
      </w:pPr>
    </w:p>
    <w:p w:rsidR="005B384C" w:rsidRPr="009B4C3C" w:rsidRDefault="00D50A58" w:rsidP="006E1C8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861A5B">
        <w:rPr>
          <w:sz w:val="24"/>
          <w:szCs w:val="24"/>
        </w:rPr>
        <w:t>2</w:t>
      </w:r>
      <w:r w:rsidR="00C45974" w:rsidRPr="009B4C3C">
        <w:rPr>
          <w:sz w:val="24"/>
          <w:szCs w:val="24"/>
        </w:rPr>
        <w:t xml:space="preserve"> </w:t>
      </w:r>
      <w:r w:rsidR="00573E0E">
        <w:rPr>
          <w:sz w:val="24"/>
          <w:szCs w:val="24"/>
        </w:rPr>
        <w:t>ноября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861A5B"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6E1C80">
      <w:pPr>
        <w:tabs>
          <w:tab w:val="left" w:pos="8789"/>
        </w:tabs>
        <w:spacing w:line="264" w:lineRule="auto"/>
        <w:jc w:val="center"/>
        <w:rPr>
          <w:sz w:val="24"/>
          <w:szCs w:val="24"/>
        </w:rPr>
      </w:pPr>
    </w:p>
    <w:p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:rsidR="005B384C" w:rsidRPr="009B4C3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>Председатель Правления: Морева Е.Н.</w:t>
      </w:r>
    </w:p>
    <w:p w:rsidR="00593C83" w:rsidRPr="009B4C3C" w:rsidRDefault="00593C83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 xml:space="preserve">Члены Правления: Бугаева С.Е., </w:t>
      </w:r>
      <w:r w:rsidR="00790FF1" w:rsidRPr="009B4C3C">
        <w:rPr>
          <w:sz w:val="24"/>
          <w:szCs w:val="24"/>
        </w:rPr>
        <w:t xml:space="preserve">Гущина Н.Б., </w:t>
      </w:r>
      <w:r w:rsidR="005010B2" w:rsidRPr="009B4C3C">
        <w:rPr>
          <w:sz w:val="24"/>
          <w:szCs w:val="24"/>
        </w:rPr>
        <w:t>Турбачкина Е.В.</w:t>
      </w:r>
      <w:r w:rsidRPr="009B4C3C">
        <w:rPr>
          <w:sz w:val="24"/>
          <w:szCs w:val="24"/>
        </w:rPr>
        <w:t xml:space="preserve">,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335AB5" w:rsidRPr="009B4C3C">
        <w:rPr>
          <w:sz w:val="24"/>
          <w:szCs w:val="24"/>
        </w:rPr>
        <w:t>Коннова Е.А</w:t>
      </w:r>
      <w:r w:rsidR="009D60BE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, 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 Департамента энергетики и тарифов Ивановской области:</w:t>
      </w:r>
      <w:r w:rsidR="00211B49" w:rsidRPr="009B4C3C">
        <w:rPr>
          <w:sz w:val="24"/>
          <w:szCs w:val="24"/>
        </w:rPr>
        <w:t xml:space="preserve"> </w:t>
      </w:r>
      <w:r w:rsidR="00D50A58">
        <w:rPr>
          <w:sz w:val="24"/>
          <w:szCs w:val="24"/>
        </w:rPr>
        <w:t>Сергеев М.А</w:t>
      </w:r>
      <w:r w:rsidR="00573E0E">
        <w:rPr>
          <w:sz w:val="24"/>
          <w:szCs w:val="24"/>
        </w:rPr>
        <w:t>.</w:t>
      </w:r>
    </w:p>
    <w:p w:rsidR="006E7BB8" w:rsidRPr="008E188C" w:rsidRDefault="006E7BB8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Виднова З.Б. (на </w:t>
      </w:r>
      <w:proofErr w:type="gramStart"/>
      <w:r w:rsidRPr="009B4C3C">
        <w:rPr>
          <w:szCs w:val="24"/>
        </w:rPr>
        <w:t>праве</w:t>
      </w:r>
      <w:proofErr w:type="gramEnd"/>
      <w:r w:rsidRPr="009B4C3C">
        <w:rPr>
          <w:szCs w:val="24"/>
        </w:rPr>
        <w:t xml:space="preserve">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:rsidR="005B384C" w:rsidRDefault="005B384C" w:rsidP="006E1C80">
      <w:pPr>
        <w:pStyle w:val="21"/>
        <w:widowControl/>
        <w:spacing w:line="264" w:lineRule="auto"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:rsidR="005B384C" w:rsidRPr="009B4C3C" w:rsidRDefault="005B384C" w:rsidP="006E1C80">
      <w:pPr>
        <w:spacing w:line="264" w:lineRule="auto"/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r w:rsidR="00861A5B">
        <w:rPr>
          <w:sz w:val="24"/>
          <w:szCs w:val="24"/>
        </w:rPr>
        <w:t>Карика О.Н.</w:t>
      </w:r>
    </w:p>
    <w:p w:rsidR="005B384C" w:rsidRPr="009B4C3C" w:rsidRDefault="005B384C" w:rsidP="006E1C80">
      <w:pPr>
        <w:spacing w:line="264" w:lineRule="auto"/>
        <w:jc w:val="both"/>
        <w:rPr>
          <w:b/>
          <w:sz w:val="24"/>
          <w:szCs w:val="24"/>
        </w:rPr>
      </w:pPr>
    </w:p>
    <w:p w:rsidR="005B384C" w:rsidRPr="009B4C3C" w:rsidRDefault="005B384C" w:rsidP="00FD5159">
      <w:pPr>
        <w:tabs>
          <w:tab w:val="left" w:pos="851"/>
        </w:tabs>
        <w:spacing w:line="264" w:lineRule="auto"/>
        <w:jc w:val="center"/>
        <w:rPr>
          <w:b/>
          <w:sz w:val="24"/>
          <w:szCs w:val="24"/>
        </w:rPr>
      </w:pPr>
      <w:proofErr w:type="gramStart"/>
      <w:r w:rsidRPr="009B4C3C">
        <w:rPr>
          <w:b/>
          <w:sz w:val="24"/>
          <w:szCs w:val="24"/>
        </w:rPr>
        <w:t>П</w:t>
      </w:r>
      <w:proofErr w:type="gramEnd"/>
      <w:r w:rsidRPr="009B4C3C">
        <w:rPr>
          <w:b/>
          <w:sz w:val="24"/>
          <w:szCs w:val="24"/>
        </w:rPr>
        <w:t xml:space="preserve"> О В Е С Т К А:</w:t>
      </w:r>
    </w:p>
    <w:p w:rsidR="005B384C" w:rsidRPr="009B4C3C" w:rsidRDefault="005B384C" w:rsidP="006E1C80">
      <w:pPr>
        <w:tabs>
          <w:tab w:val="left" w:pos="851"/>
        </w:tabs>
        <w:spacing w:line="264" w:lineRule="auto"/>
        <w:ind w:firstLine="567"/>
        <w:jc w:val="center"/>
        <w:rPr>
          <w:b/>
          <w:sz w:val="24"/>
          <w:szCs w:val="24"/>
        </w:rPr>
      </w:pPr>
    </w:p>
    <w:p w:rsidR="00335AB5" w:rsidRDefault="005E1B86" w:rsidP="005E1B86">
      <w:pPr>
        <w:pStyle w:val="aa"/>
        <w:numPr>
          <w:ilvl w:val="0"/>
          <w:numId w:val="41"/>
        </w:numPr>
        <w:tabs>
          <w:tab w:val="left" w:pos="0"/>
          <w:tab w:val="left" w:pos="709"/>
          <w:tab w:val="left" w:pos="851"/>
          <w:tab w:val="left" w:pos="993"/>
        </w:tabs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 w:rsidRPr="005E1B86">
        <w:rPr>
          <w:b/>
          <w:bCs/>
          <w:sz w:val="24"/>
          <w:szCs w:val="24"/>
        </w:rPr>
        <w:t>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организаций Ивановской области на 202</w:t>
      </w:r>
      <w:r w:rsidR="004036D2">
        <w:rPr>
          <w:b/>
          <w:bCs/>
          <w:sz w:val="24"/>
          <w:szCs w:val="24"/>
        </w:rPr>
        <w:t>5</w:t>
      </w:r>
      <w:r w:rsidRPr="005E1B86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5E1B86" w:rsidRDefault="005E1B86" w:rsidP="005E1B86">
      <w:pPr>
        <w:pStyle w:val="aa"/>
        <w:tabs>
          <w:tab w:val="left" w:pos="0"/>
          <w:tab w:val="left" w:pos="709"/>
          <w:tab w:val="left" w:pos="851"/>
          <w:tab w:val="left" w:pos="1134"/>
        </w:tabs>
        <w:spacing w:line="264" w:lineRule="auto"/>
        <w:ind w:left="709"/>
        <w:jc w:val="both"/>
        <w:rPr>
          <w:b/>
          <w:bCs/>
          <w:sz w:val="24"/>
          <w:szCs w:val="24"/>
        </w:rPr>
      </w:pPr>
    </w:p>
    <w:p w:rsidR="0069698E" w:rsidRDefault="004C3F09" w:rsidP="000172C6">
      <w:pPr>
        <w:pStyle w:val="aa"/>
        <w:numPr>
          <w:ilvl w:val="0"/>
          <w:numId w:val="42"/>
        </w:numPr>
        <w:tabs>
          <w:tab w:val="left" w:pos="0"/>
          <w:tab w:val="left" w:pos="709"/>
          <w:tab w:val="left" w:pos="851"/>
        </w:tabs>
        <w:spacing w:line="264" w:lineRule="auto"/>
        <w:ind w:left="0" w:firstLine="567"/>
        <w:jc w:val="both"/>
        <w:rPr>
          <w:b/>
          <w:bCs/>
          <w:sz w:val="24"/>
          <w:szCs w:val="24"/>
        </w:rPr>
      </w:pPr>
      <w:bookmarkStart w:id="0" w:name="_Hlk151708656"/>
      <w:r w:rsidRPr="00EF369D">
        <w:rPr>
          <w:b/>
          <w:bCs/>
          <w:sz w:val="24"/>
          <w:szCs w:val="24"/>
        </w:rPr>
        <w:t xml:space="preserve">СЛУШАЛИ: </w:t>
      </w:r>
      <w:r w:rsidR="005E1B86" w:rsidRPr="005E1B86">
        <w:rPr>
          <w:b/>
          <w:bCs/>
          <w:sz w:val="24"/>
          <w:szCs w:val="24"/>
        </w:rPr>
        <w:t>Об установлении стандартизированных тарифных ставок и формул платы за технологическое присоединение к электрическим сетям территориальных сетевых органи</w:t>
      </w:r>
      <w:r w:rsidR="004036D2">
        <w:rPr>
          <w:b/>
          <w:bCs/>
          <w:sz w:val="24"/>
          <w:szCs w:val="24"/>
        </w:rPr>
        <w:t>заций Ивановской области на 2025</w:t>
      </w:r>
      <w:r w:rsidR="005E1B86" w:rsidRPr="005E1B86">
        <w:rPr>
          <w:b/>
          <w:bCs/>
          <w:sz w:val="24"/>
          <w:szCs w:val="24"/>
        </w:rPr>
        <w:t xml:space="preserve"> год </w:t>
      </w:r>
      <w:r w:rsidR="0069698E" w:rsidRPr="00EF369D">
        <w:rPr>
          <w:b/>
          <w:bCs/>
          <w:sz w:val="24"/>
          <w:szCs w:val="24"/>
        </w:rPr>
        <w:t xml:space="preserve">(Морева, </w:t>
      </w:r>
      <w:proofErr w:type="gramStart"/>
      <w:r w:rsidR="0007785F">
        <w:rPr>
          <w:b/>
          <w:bCs/>
          <w:sz w:val="24"/>
          <w:szCs w:val="24"/>
        </w:rPr>
        <w:t>Бугаева</w:t>
      </w:r>
      <w:proofErr w:type="gramEnd"/>
      <w:r w:rsidR="0007785F">
        <w:rPr>
          <w:b/>
          <w:bCs/>
          <w:sz w:val="24"/>
          <w:szCs w:val="24"/>
        </w:rPr>
        <w:t xml:space="preserve">, </w:t>
      </w:r>
      <w:r w:rsidR="0069698E" w:rsidRPr="00EF369D">
        <w:rPr>
          <w:b/>
          <w:bCs/>
          <w:sz w:val="24"/>
          <w:szCs w:val="24"/>
        </w:rPr>
        <w:t>Коннова</w:t>
      </w:r>
      <w:r w:rsidR="0007785F">
        <w:rPr>
          <w:b/>
          <w:bCs/>
          <w:sz w:val="24"/>
          <w:szCs w:val="24"/>
        </w:rPr>
        <w:t>, Сергеев</w:t>
      </w:r>
      <w:r w:rsidR="0069698E" w:rsidRPr="00EF369D">
        <w:rPr>
          <w:b/>
          <w:bCs/>
          <w:sz w:val="24"/>
          <w:szCs w:val="24"/>
        </w:rPr>
        <w:t>).</w:t>
      </w:r>
    </w:p>
    <w:bookmarkEnd w:id="0"/>
    <w:p w:rsidR="000172C6" w:rsidRPr="00F96DAE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F96DAE">
        <w:rPr>
          <w:bCs/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утвержденными постановлением Правительства Российской Федерации от 27.12.2004</w:t>
      </w:r>
      <w:proofErr w:type="gramEnd"/>
      <w:r w:rsidRPr="00F96DAE">
        <w:rPr>
          <w:bCs/>
          <w:sz w:val="24"/>
          <w:szCs w:val="24"/>
        </w:rPr>
        <w:t xml:space="preserve"> № </w:t>
      </w:r>
      <w:proofErr w:type="gramStart"/>
      <w:r w:rsidRPr="00F96DAE">
        <w:rPr>
          <w:bCs/>
          <w:sz w:val="24"/>
          <w:szCs w:val="24"/>
        </w:rPr>
        <w:t>861 (далее – Правила технологического присоединения),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30.06.2022 № 490/22 (далее – Методические указания по определению размера платы за технологическое присоединение к электрическим сетям</w:t>
      </w:r>
      <w:r w:rsidR="00240D91">
        <w:rPr>
          <w:bCs/>
          <w:sz w:val="24"/>
          <w:szCs w:val="24"/>
        </w:rPr>
        <w:t>, Методические указания № 490/22</w:t>
      </w:r>
      <w:r w:rsidRPr="00F96DAE">
        <w:rPr>
          <w:bCs/>
          <w:sz w:val="24"/>
          <w:szCs w:val="24"/>
        </w:rPr>
        <w:t>), Методическими указаниями по определению выпадающих доходов, связанных с осуществлением технологического присоединения к электрическим сетям, утвержденными приказом Федеральной</w:t>
      </w:r>
      <w:proofErr w:type="gramEnd"/>
      <w:r w:rsidRPr="00F96DAE">
        <w:rPr>
          <w:bCs/>
          <w:sz w:val="24"/>
          <w:szCs w:val="24"/>
        </w:rPr>
        <w:t xml:space="preserve"> </w:t>
      </w:r>
      <w:proofErr w:type="gramStart"/>
      <w:r w:rsidRPr="00F96DAE">
        <w:rPr>
          <w:bCs/>
          <w:sz w:val="24"/>
          <w:szCs w:val="24"/>
        </w:rPr>
        <w:t xml:space="preserve">службы по тарифам от 11.09.2014 № 215-э/1, специалистами Департамента были рассмотрены представленные территориальными электросетевыми организациями до 1 </w:t>
      </w:r>
      <w:r w:rsidR="00861A5B">
        <w:rPr>
          <w:bCs/>
          <w:sz w:val="24"/>
          <w:szCs w:val="24"/>
        </w:rPr>
        <w:t>сентября</w:t>
      </w:r>
      <w:r w:rsidRPr="00F96DAE">
        <w:rPr>
          <w:bCs/>
          <w:sz w:val="24"/>
          <w:szCs w:val="24"/>
        </w:rPr>
        <w:t xml:space="preserve"> 202</w:t>
      </w:r>
      <w:r w:rsidR="00861A5B">
        <w:rPr>
          <w:bCs/>
          <w:sz w:val="24"/>
          <w:szCs w:val="24"/>
        </w:rPr>
        <w:t>4</w:t>
      </w:r>
      <w:r w:rsidRPr="00F96DAE">
        <w:rPr>
          <w:bCs/>
          <w:sz w:val="24"/>
          <w:szCs w:val="24"/>
        </w:rPr>
        <w:t xml:space="preserve"> года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программы, о расходах на выполнение мероприятий по технологическому присоединению, не связанных со строительством объектов электросетевого хозяйства, за три предыдущих периода </w:t>
      </w:r>
      <w:r w:rsidRPr="00F96DAE">
        <w:rPr>
          <w:bCs/>
          <w:sz w:val="24"/>
          <w:szCs w:val="24"/>
        </w:rPr>
        <w:lastRenderedPageBreak/>
        <w:t>регулирования</w:t>
      </w:r>
      <w:proofErr w:type="gramEnd"/>
      <w:r w:rsidRPr="00F96DAE">
        <w:rPr>
          <w:bCs/>
          <w:sz w:val="24"/>
          <w:szCs w:val="24"/>
        </w:rPr>
        <w:t xml:space="preserve"> (</w:t>
      </w:r>
      <w:proofErr w:type="gramStart"/>
      <w:r w:rsidRPr="00F96DAE">
        <w:rPr>
          <w:bCs/>
          <w:sz w:val="24"/>
          <w:szCs w:val="24"/>
        </w:rPr>
        <w:t>20</w:t>
      </w:r>
      <w:r w:rsidR="00F96DAE" w:rsidRPr="00F96DAE">
        <w:rPr>
          <w:bCs/>
          <w:sz w:val="24"/>
          <w:szCs w:val="24"/>
        </w:rPr>
        <w:t>2</w:t>
      </w:r>
      <w:r w:rsidR="00861A5B">
        <w:rPr>
          <w:bCs/>
          <w:sz w:val="24"/>
          <w:szCs w:val="24"/>
        </w:rPr>
        <w:t>1</w:t>
      </w:r>
      <w:r w:rsidRPr="00F96DAE">
        <w:rPr>
          <w:bCs/>
          <w:sz w:val="24"/>
          <w:szCs w:val="24"/>
        </w:rPr>
        <w:t>-202</w:t>
      </w:r>
      <w:r w:rsidR="00861A5B">
        <w:rPr>
          <w:bCs/>
          <w:sz w:val="24"/>
          <w:szCs w:val="24"/>
        </w:rPr>
        <w:t>3</w:t>
      </w:r>
      <w:r w:rsidRPr="00F96DAE">
        <w:rPr>
          <w:bCs/>
          <w:sz w:val="24"/>
          <w:szCs w:val="24"/>
        </w:rPr>
        <w:t>гг.), прогнозные сведения о таких расходах на очередной календарный год в соответствии с Методическими указаниями с учетом стоимости каждого мероприятия в отдельности, а также с разбивкой по категориям потребителей, уровням напряжения электрических сетей, к которым осуществляется технологическое присоединение, и (или) объемам присоединяемой максимальной мощности, а также сведения о расходах, связанных с осуществлением технологического присоединения к электрическим сетям, не включаемых в</w:t>
      </w:r>
      <w:proofErr w:type="gramEnd"/>
      <w:r w:rsidRPr="00F96DAE">
        <w:rPr>
          <w:bCs/>
          <w:sz w:val="24"/>
          <w:szCs w:val="24"/>
        </w:rPr>
        <w:t xml:space="preserve"> плату за технологическое присоединение, в соответствии с Методическими указаниями по определению выпадающих доходов, связанных с осуществлением технологического присоединения к электрическим сетям.</w:t>
      </w:r>
    </w:p>
    <w:p w:rsidR="000172C6" w:rsidRPr="00F96DAE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>На основе представленных сведений специалистами Департамента на очередной календарный год - 202</w:t>
      </w:r>
      <w:r w:rsidR="00861A5B">
        <w:rPr>
          <w:bCs/>
          <w:sz w:val="24"/>
          <w:szCs w:val="24"/>
        </w:rPr>
        <w:t>5</w:t>
      </w:r>
      <w:r w:rsidRPr="00F96DAE">
        <w:rPr>
          <w:bCs/>
          <w:sz w:val="24"/>
          <w:szCs w:val="24"/>
        </w:rPr>
        <w:t xml:space="preserve"> г. рассчитан</w:t>
      </w:r>
      <w:r w:rsidR="0016798E">
        <w:rPr>
          <w:bCs/>
          <w:sz w:val="24"/>
          <w:szCs w:val="24"/>
        </w:rPr>
        <w:t>а, в том числе</w:t>
      </w:r>
      <w:r w:rsidRPr="00F96DAE">
        <w:rPr>
          <w:bCs/>
          <w:sz w:val="24"/>
          <w:szCs w:val="24"/>
        </w:rPr>
        <w:t xml:space="preserve"> с использованием метода сравнения аналогов</w:t>
      </w:r>
      <w:r w:rsidR="0016798E">
        <w:rPr>
          <w:bCs/>
          <w:sz w:val="24"/>
          <w:szCs w:val="24"/>
        </w:rPr>
        <w:t>,</w:t>
      </w:r>
      <w:r w:rsidRPr="00F96DAE">
        <w:rPr>
          <w:bCs/>
          <w:sz w:val="24"/>
          <w:szCs w:val="24"/>
        </w:rPr>
        <w:t xml:space="preserve"> и предлага</w:t>
      </w:r>
      <w:r w:rsidR="0016798E">
        <w:rPr>
          <w:bCs/>
          <w:sz w:val="24"/>
          <w:szCs w:val="24"/>
        </w:rPr>
        <w:t>е</w:t>
      </w:r>
      <w:r w:rsidRPr="00F96DAE">
        <w:rPr>
          <w:bCs/>
          <w:sz w:val="24"/>
          <w:szCs w:val="24"/>
        </w:rPr>
        <w:t xml:space="preserve">тся к установлению плата за технологическое присоединение к электрическим сетям, не отнесенным к единой национальной (общероссийской) электрической сети (за исключением платы по </w:t>
      </w:r>
      <w:proofErr w:type="gramStart"/>
      <w:r w:rsidRPr="00F96DAE">
        <w:rPr>
          <w:bCs/>
          <w:sz w:val="24"/>
          <w:szCs w:val="24"/>
        </w:rPr>
        <w:t>индивидуальному проекту</w:t>
      </w:r>
      <w:proofErr w:type="gramEnd"/>
      <w:r w:rsidRPr="00F96DAE">
        <w:rPr>
          <w:bCs/>
          <w:sz w:val="24"/>
          <w:szCs w:val="24"/>
        </w:rPr>
        <w:t>), в виде:</w:t>
      </w:r>
    </w:p>
    <w:p w:rsidR="000172C6" w:rsidRPr="00F96DAE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>- формул платы за технологическое присоединение,</w:t>
      </w:r>
    </w:p>
    <w:p w:rsidR="000172C6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proofErr w:type="gramStart"/>
      <w:r w:rsidRPr="00F96DAE">
        <w:rPr>
          <w:bCs/>
          <w:sz w:val="24"/>
          <w:szCs w:val="24"/>
        </w:rPr>
        <w:t>- единых для всех территориальных сетевых организаций на территории Ивановской области стандартизированных тарифных ставок с разбивкой по составу мероприятий по технологическому присоединению, обусловленных, в том числе, видами и техническими характеристиками объектов электросетевого хозяйства, уровнем напряжения в точке присоединения энергопринимающих устройств, максимальной мощностью присоединяемых энергопринимающих устройств и категорией надежности энергоснабжения, и по иным установленным ф</w:t>
      </w:r>
      <w:r w:rsidR="0016798E">
        <w:rPr>
          <w:bCs/>
          <w:sz w:val="24"/>
          <w:szCs w:val="24"/>
        </w:rPr>
        <w:t>едеральными законами основаниям,</w:t>
      </w:r>
      <w:proofErr w:type="gramEnd"/>
    </w:p>
    <w:p w:rsidR="0016798E" w:rsidRDefault="0016798E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16798E">
        <w:rPr>
          <w:bCs/>
          <w:sz w:val="24"/>
          <w:szCs w:val="24"/>
        </w:rPr>
        <w:t>льготны</w:t>
      </w:r>
      <w:r>
        <w:rPr>
          <w:bCs/>
          <w:sz w:val="24"/>
          <w:szCs w:val="24"/>
        </w:rPr>
        <w:t>х</w:t>
      </w:r>
      <w:r w:rsidRPr="0016798E">
        <w:rPr>
          <w:bCs/>
          <w:sz w:val="24"/>
          <w:szCs w:val="24"/>
        </w:rPr>
        <w:t xml:space="preserve"> став</w:t>
      </w:r>
      <w:r>
        <w:rPr>
          <w:bCs/>
          <w:sz w:val="24"/>
          <w:szCs w:val="24"/>
        </w:rPr>
        <w:t>ок</w:t>
      </w:r>
      <w:r w:rsidRPr="0016798E">
        <w:rPr>
          <w:bCs/>
          <w:sz w:val="24"/>
          <w:szCs w:val="24"/>
        </w:rPr>
        <w:t xml:space="preserve"> за 1 кВт запрашиваемой максимальной мощности в отношении всей совокупности мероприятий по технологическому присоединению к электрическим сетям сетевых организаций на территории Ивановской области</w:t>
      </w:r>
      <w:r>
        <w:rPr>
          <w:bCs/>
          <w:sz w:val="24"/>
          <w:szCs w:val="24"/>
        </w:rPr>
        <w:t>.</w:t>
      </w:r>
    </w:p>
    <w:p w:rsidR="0016798E" w:rsidRPr="00F96DAE" w:rsidRDefault="0016798E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Также предлагается у</w:t>
      </w:r>
      <w:r w:rsidRPr="0016798E">
        <w:rPr>
          <w:bCs/>
          <w:sz w:val="24"/>
          <w:szCs w:val="24"/>
        </w:rPr>
        <w:t>твердить 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202</w:t>
      </w:r>
      <w:r w:rsidR="00861A5B">
        <w:rPr>
          <w:bCs/>
          <w:sz w:val="24"/>
          <w:szCs w:val="24"/>
        </w:rPr>
        <w:t>5</w:t>
      </w:r>
      <w:r w:rsidRPr="0016798E">
        <w:rPr>
          <w:bCs/>
          <w:sz w:val="24"/>
          <w:szCs w:val="24"/>
        </w:rPr>
        <w:t xml:space="preserve"> год, не включаемые в плату за технологическое присоединение</w:t>
      </w:r>
      <w:r>
        <w:rPr>
          <w:bCs/>
          <w:sz w:val="24"/>
          <w:szCs w:val="24"/>
        </w:rPr>
        <w:t>.</w:t>
      </w:r>
    </w:p>
    <w:p w:rsidR="00861A5B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 xml:space="preserve">Ассоциация «НП Совет рынка» голосует по данному вопросу «против» </w:t>
      </w:r>
      <w:r w:rsidR="00861A5B">
        <w:rPr>
          <w:bCs/>
          <w:sz w:val="24"/>
          <w:szCs w:val="24"/>
        </w:rPr>
        <w:t>поскольку:</w:t>
      </w:r>
    </w:p>
    <w:p w:rsidR="00861A5B" w:rsidRPr="00861A5B" w:rsidRDefault="00861A5B" w:rsidP="00861A5B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861A5B">
        <w:rPr>
          <w:bCs/>
          <w:sz w:val="24"/>
          <w:szCs w:val="24"/>
        </w:rPr>
        <w:t>в предоставленных материалах отсутствует информация об анализе расходов, признанных органом регулирования экономически обоснованными и учтенными в расчете ставки С</w:t>
      </w:r>
      <w:proofErr w:type="gramStart"/>
      <w:r w:rsidRPr="00861A5B">
        <w:rPr>
          <w:bCs/>
          <w:sz w:val="24"/>
          <w:szCs w:val="24"/>
        </w:rPr>
        <w:t>1</w:t>
      </w:r>
      <w:proofErr w:type="gramEnd"/>
      <w:r w:rsidRPr="00861A5B">
        <w:rPr>
          <w:bCs/>
          <w:sz w:val="24"/>
          <w:szCs w:val="24"/>
        </w:rPr>
        <w:t>;</w:t>
      </w:r>
    </w:p>
    <w:p w:rsidR="00861A5B" w:rsidRPr="00861A5B" w:rsidRDefault="00861A5B" w:rsidP="00861A5B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861A5B">
        <w:rPr>
          <w:bCs/>
          <w:sz w:val="24"/>
          <w:szCs w:val="24"/>
        </w:rPr>
        <w:t xml:space="preserve">величина </w:t>
      </w:r>
      <w:proofErr w:type="spellStart"/>
      <w:proofErr w:type="gramStart"/>
      <w:r w:rsidRPr="00861A5B">
        <w:rPr>
          <w:bCs/>
          <w:sz w:val="24"/>
          <w:szCs w:val="24"/>
        </w:rPr>
        <w:t>P</w:t>
      </w:r>
      <w:proofErr w:type="gramEnd"/>
      <w:r w:rsidRPr="00861A5B">
        <w:rPr>
          <w:bCs/>
          <w:sz w:val="24"/>
          <w:szCs w:val="24"/>
        </w:rPr>
        <w:t>средн</w:t>
      </w:r>
      <w:proofErr w:type="spellEnd"/>
      <w:r w:rsidRPr="00861A5B">
        <w:rPr>
          <w:bCs/>
          <w:sz w:val="24"/>
          <w:szCs w:val="24"/>
        </w:rPr>
        <w:t xml:space="preserve"> определяется как среднее по всем технологическим присоединениям, выполненным в субъекте Российской Федерации;</w:t>
      </w:r>
    </w:p>
    <w:p w:rsidR="00861A5B" w:rsidRPr="00861A5B" w:rsidRDefault="00861A5B" w:rsidP="00861A5B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861A5B">
        <w:rPr>
          <w:bCs/>
          <w:sz w:val="24"/>
          <w:szCs w:val="24"/>
        </w:rPr>
        <w:t>расчет стандартного отклонения при расчете ставок С2-С8 не соответствует формуле 32 методических указаний, утвержденных приказом ФАС России от 30.06.2022 №</w:t>
      </w:r>
      <w:r>
        <w:rPr>
          <w:bCs/>
          <w:sz w:val="24"/>
          <w:szCs w:val="24"/>
        </w:rPr>
        <w:t> </w:t>
      </w:r>
      <w:r w:rsidRPr="00861A5B">
        <w:rPr>
          <w:bCs/>
          <w:sz w:val="24"/>
          <w:szCs w:val="24"/>
        </w:rPr>
        <w:t>490/22;</w:t>
      </w:r>
    </w:p>
    <w:p w:rsidR="000172C6" w:rsidRPr="00F96DAE" w:rsidRDefault="00861A5B" w:rsidP="00861A5B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861A5B">
        <w:rPr>
          <w:bCs/>
          <w:sz w:val="24"/>
          <w:szCs w:val="24"/>
        </w:rPr>
        <w:t>уровень напряжения предлагаемых к утверждению ставок С2-С8 не соответствует указанному в перечне ставок приложения 5 методических указаний, утвержденных приказом ФАС России от 30.06.2022 № 490/22.</w:t>
      </w:r>
    </w:p>
    <w:p w:rsidR="000172C6" w:rsidRDefault="000172C6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F96DAE">
        <w:rPr>
          <w:bCs/>
          <w:sz w:val="24"/>
          <w:szCs w:val="24"/>
        </w:rPr>
        <w:t>Департамент отмечает, что в адрес Ассоциации «НП Совет рынка</w:t>
      </w:r>
      <w:r w:rsidR="00861A5B">
        <w:rPr>
          <w:bCs/>
          <w:sz w:val="24"/>
          <w:szCs w:val="24"/>
        </w:rPr>
        <w:t xml:space="preserve">» подробные расчетные материалы </w:t>
      </w:r>
      <w:r w:rsidRPr="00F96DAE">
        <w:rPr>
          <w:bCs/>
          <w:sz w:val="24"/>
          <w:szCs w:val="24"/>
        </w:rPr>
        <w:t>были направлены</w:t>
      </w:r>
      <w:r w:rsidR="00240D91">
        <w:rPr>
          <w:bCs/>
          <w:sz w:val="24"/>
          <w:szCs w:val="24"/>
        </w:rPr>
        <w:t xml:space="preserve">, в том числе с указанием </w:t>
      </w:r>
      <w:r w:rsidR="00240D91" w:rsidRPr="00861A5B">
        <w:rPr>
          <w:bCs/>
          <w:sz w:val="24"/>
          <w:szCs w:val="24"/>
        </w:rPr>
        <w:t>расходов, признанных органом регулирования экономически обоснованными и учтенными в расчете ставки С</w:t>
      </w:r>
      <w:proofErr w:type="gramStart"/>
      <w:r w:rsidR="00240D91" w:rsidRPr="00861A5B">
        <w:rPr>
          <w:bCs/>
          <w:sz w:val="24"/>
          <w:szCs w:val="24"/>
        </w:rPr>
        <w:t>1</w:t>
      </w:r>
      <w:proofErr w:type="gramEnd"/>
      <w:r w:rsidRPr="00F96DAE">
        <w:rPr>
          <w:bCs/>
          <w:sz w:val="24"/>
          <w:szCs w:val="24"/>
        </w:rPr>
        <w:t>.</w:t>
      </w:r>
    </w:p>
    <w:p w:rsidR="00240D91" w:rsidRDefault="00240D91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Величина </w:t>
      </w:r>
      <w:proofErr w:type="spellStart"/>
      <w:proofErr w:type="gramStart"/>
      <w:r w:rsidRPr="00240D91">
        <w:rPr>
          <w:bCs/>
          <w:sz w:val="24"/>
          <w:szCs w:val="24"/>
        </w:rPr>
        <w:t>P</w:t>
      </w:r>
      <w:proofErr w:type="gramEnd"/>
      <w:r w:rsidRPr="00240D91">
        <w:rPr>
          <w:bCs/>
          <w:sz w:val="24"/>
          <w:szCs w:val="24"/>
        </w:rPr>
        <w:t>средн</w:t>
      </w:r>
      <w:proofErr w:type="spellEnd"/>
      <w:r w:rsidRPr="00240D91">
        <w:rPr>
          <w:bCs/>
          <w:sz w:val="24"/>
          <w:szCs w:val="24"/>
        </w:rPr>
        <w:t xml:space="preserve"> - средняя арифметическая величина экономически обоснованных расходов территориальных сетевых организаций на строительство, а также на обеспечение средствами коммерческого учета электрической энергии (мощности)</w:t>
      </w:r>
      <w:r>
        <w:rPr>
          <w:bCs/>
          <w:sz w:val="24"/>
          <w:szCs w:val="24"/>
        </w:rPr>
        <w:t xml:space="preserve"> определена в полном соответствии с Методическими указаниями № 490/22.</w:t>
      </w:r>
    </w:p>
    <w:p w:rsidR="00D7356E" w:rsidRDefault="00240D91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Расчет </w:t>
      </w:r>
      <w:r w:rsidRPr="00861A5B">
        <w:rPr>
          <w:bCs/>
          <w:sz w:val="24"/>
          <w:szCs w:val="24"/>
        </w:rPr>
        <w:t>стандартного отклонения при расчете ставок С2-С8</w:t>
      </w:r>
      <w:r>
        <w:rPr>
          <w:bCs/>
          <w:sz w:val="24"/>
          <w:szCs w:val="24"/>
        </w:rPr>
        <w:t xml:space="preserve"> </w:t>
      </w:r>
      <w:r w:rsidR="00D7356E">
        <w:rPr>
          <w:bCs/>
          <w:sz w:val="24"/>
          <w:szCs w:val="24"/>
        </w:rPr>
        <w:t>произведен по формуле:</w:t>
      </w:r>
    </w:p>
    <w:p w:rsidR="00D7356E" w:rsidRDefault="00D7356E" w:rsidP="00D7356E">
      <w:pPr>
        <w:tabs>
          <w:tab w:val="left" w:pos="709"/>
        </w:tabs>
        <w:ind w:firstLine="567"/>
        <w:jc w:val="center"/>
        <w:rPr>
          <w:bCs/>
          <w:sz w:val="24"/>
          <w:szCs w:val="24"/>
        </w:rPr>
      </w:pPr>
      <w:r>
        <w:rPr>
          <w:rFonts w:eastAsiaTheme="minorHAnsi"/>
          <w:noProof/>
          <w:position w:val="-41"/>
          <w:sz w:val="24"/>
          <w:szCs w:val="24"/>
        </w:rPr>
        <w:drawing>
          <wp:inline distT="0" distB="0" distL="0" distR="0">
            <wp:extent cx="1906270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681">
        <w:rPr>
          <w:bCs/>
          <w:sz w:val="24"/>
          <w:szCs w:val="24"/>
        </w:rPr>
        <w:t>,</w:t>
      </w:r>
    </w:p>
    <w:p w:rsidR="00240D91" w:rsidRDefault="00D7356E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что </w:t>
      </w:r>
      <w:r w:rsidR="00240D91">
        <w:rPr>
          <w:bCs/>
          <w:sz w:val="24"/>
          <w:szCs w:val="24"/>
        </w:rPr>
        <w:t>полностью соответствует формуле 32 Методических указаний № 490/22.</w:t>
      </w:r>
    </w:p>
    <w:p w:rsidR="00240D91" w:rsidRPr="00F96DAE" w:rsidRDefault="00240D91" w:rsidP="00207F48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Pr="00861A5B">
        <w:rPr>
          <w:bCs/>
          <w:sz w:val="24"/>
          <w:szCs w:val="24"/>
        </w:rPr>
        <w:t>ровень напряжения предлагае</w:t>
      </w:r>
      <w:r>
        <w:rPr>
          <w:bCs/>
          <w:sz w:val="24"/>
          <w:szCs w:val="24"/>
        </w:rPr>
        <w:t xml:space="preserve">мых к утверждению ставок С2-С8 полностью </w:t>
      </w:r>
      <w:r w:rsidRPr="00861A5B">
        <w:rPr>
          <w:bCs/>
          <w:sz w:val="24"/>
          <w:szCs w:val="24"/>
        </w:rPr>
        <w:t>соответствует указанному</w:t>
      </w:r>
      <w:r>
        <w:rPr>
          <w:bCs/>
          <w:sz w:val="24"/>
          <w:szCs w:val="24"/>
        </w:rPr>
        <w:t xml:space="preserve"> в перечне ставок приложения 5 М</w:t>
      </w:r>
      <w:r w:rsidRPr="00861A5B">
        <w:rPr>
          <w:bCs/>
          <w:sz w:val="24"/>
          <w:szCs w:val="24"/>
        </w:rPr>
        <w:t>етодических указаний</w:t>
      </w:r>
      <w:r>
        <w:rPr>
          <w:bCs/>
          <w:sz w:val="24"/>
          <w:szCs w:val="24"/>
        </w:rPr>
        <w:t xml:space="preserve"> № 490/22</w:t>
      </w:r>
      <w:r w:rsidR="00D7356E">
        <w:rPr>
          <w:bCs/>
          <w:sz w:val="24"/>
          <w:szCs w:val="24"/>
        </w:rPr>
        <w:t>.</w:t>
      </w:r>
    </w:p>
    <w:p w:rsidR="000172C6" w:rsidRPr="000172C6" w:rsidRDefault="000172C6" w:rsidP="00207F48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0172C6" w:rsidRDefault="000172C6" w:rsidP="00207F4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361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386C0A" w:rsidRPr="00F26F9C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F26F9C">
        <w:rPr>
          <w:bCs/>
          <w:sz w:val="24"/>
          <w:szCs w:val="24"/>
        </w:rPr>
        <w:t>В соответствии с Федеральным законом</w:t>
      </w:r>
      <w:r w:rsidRPr="00F26F9C">
        <w:t xml:space="preserve"> </w:t>
      </w:r>
      <w:r w:rsidRPr="00F26F9C">
        <w:rPr>
          <w:bCs/>
          <w:sz w:val="24"/>
          <w:szCs w:val="24"/>
        </w:rPr>
        <w:t>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сетям, утвержденными постановлением Правительства Российской Федерации от 27.12.2004</w:t>
      </w:r>
      <w:proofErr w:type="gramEnd"/>
      <w:r w:rsidRPr="00F26F9C">
        <w:rPr>
          <w:bCs/>
          <w:sz w:val="24"/>
          <w:szCs w:val="24"/>
        </w:rPr>
        <w:t xml:space="preserve"> № </w:t>
      </w:r>
      <w:proofErr w:type="gramStart"/>
      <w:r w:rsidRPr="00F26F9C">
        <w:rPr>
          <w:bCs/>
          <w:sz w:val="24"/>
          <w:szCs w:val="24"/>
        </w:rPr>
        <w:t>861 (далее – Правила технологического присоединения),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антимонопольной службы от 30.06.2022 № 490/22 (далее – Методические указания</w:t>
      </w:r>
      <w:r w:rsidRPr="00F26F9C">
        <w:t xml:space="preserve"> </w:t>
      </w:r>
      <w:r w:rsidRPr="00F26F9C">
        <w:rPr>
          <w:bCs/>
          <w:sz w:val="24"/>
          <w:szCs w:val="24"/>
        </w:rPr>
        <w:t xml:space="preserve">по определению размера платы за технологическое присоединение к электрическим сетям), Методическими указаниями по определению выпадающих доходов, связанных с осуществлением технологического присоединения к электрическим сетям, утвержденными приказом Федеральной службы по </w:t>
      </w:r>
      <w:r w:rsidR="008E0921">
        <w:rPr>
          <w:bCs/>
          <w:sz w:val="24"/>
          <w:szCs w:val="24"/>
        </w:rPr>
        <w:t>тарифам от</w:t>
      </w:r>
      <w:proofErr w:type="gramEnd"/>
      <w:r w:rsidR="008E0921">
        <w:rPr>
          <w:bCs/>
          <w:sz w:val="24"/>
          <w:szCs w:val="24"/>
        </w:rPr>
        <w:t xml:space="preserve"> 11.09.2014 № 215-э/1</w:t>
      </w:r>
      <w:r w:rsidRPr="00F26F9C">
        <w:rPr>
          <w:bCs/>
          <w:sz w:val="24"/>
          <w:szCs w:val="24"/>
        </w:rPr>
        <w:t>:</w:t>
      </w:r>
    </w:p>
    <w:p w:rsidR="00386C0A" w:rsidRPr="00F26F9C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F26F9C">
        <w:rPr>
          <w:bCs/>
          <w:sz w:val="24"/>
          <w:szCs w:val="24"/>
        </w:rPr>
        <w:t>1. Установить на 202</w:t>
      </w:r>
      <w:r>
        <w:rPr>
          <w:bCs/>
          <w:sz w:val="24"/>
          <w:szCs w:val="24"/>
        </w:rPr>
        <w:t>5</w:t>
      </w:r>
      <w:r w:rsidRPr="00F26F9C">
        <w:rPr>
          <w:bCs/>
          <w:sz w:val="24"/>
          <w:szCs w:val="24"/>
        </w:rPr>
        <w:t xml:space="preserve"> год:</w:t>
      </w:r>
    </w:p>
    <w:p w:rsidR="00386C0A" w:rsidRPr="006C4DCC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C4DCC">
        <w:rPr>
          <w:bCs/>
          <w:sz w:val="24"/>
          <w:szCs w:val="24"/>
        </w:rPr>
        <w:t>1.1. 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не связанных со строительством объектов электросетевого хозяйства</w:t>
      </w:r>
      <w:r w:rsidRPr="006C4DCC">
        <w:t xml:space="preserve"> </w:t>
      </w:r>
      <w:r w:rsidRPr="006C4DCC">
        <w:rPr>
          <w:bCs/>
          <w:sz w:val="24"/>
          <w:szCs w:val="24"/>
        </w:rPr>
        <w:t xml:space="preserve">и обеспечением средствами коммерческого учета электрической энергии, в соответствии с </w:t>
      </w:r>
      <w:r>
        <w:rPr>
          <w:bCs/>
          <w:sz w:val="24"/>
          <w:szCs w:val="24"/>
        </w:rPr>
        <w:t>таблицей</w:t>
      </w:r>
      <w:r w:rsidRPr="006C4DCC">
        <w:rPr>
          <w:bCs/>
          <w:sz w:val="24"/>
          <w:szCs w:val="24"/>
        </w:rPr>
        <w:t xml:space="preserve"> 1 к настоящему </w:t>
      </w:r>
      <w:r>
        <w:rPr>
          <w:bCs/>
          <w:sz w:val="24"/>
          <w:szCs w:val="24"/>
        </w:rPr>
        <w:t>протоколу</w:t>
      </w:r>
      <w:r w:rsidRPr="006C4DCC">
        <w:rPr>
          <w:bCs/>
          <w:sz w:val="24"/>
          <w:szCs w:val="24"/>
        </w:rPr>
        <w:t>.</w:t>
      </w:r>
    </w:p>
    <w:p w:rsidR="00386C0A" w:rsidRPr="006C4DCC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C4DCC">
        <w:rPr>
          <w:bCs/>
          <w:sz w:val="24"/>
          <w:szCs w:val="24"/>
        </w:rPr>
        <w:t>1.2. 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  <w:r w:rsidRPr="006C4DCC">
        <w:t xml:space="preserve"> </w:t>
      </w:r>
      <w:r w:rsidRPr="006C4DCC">
        <w:rPr>
          <w:bCs/>
          <w:sz w:val="24"/>
          <w:szCs w:val="24"/>
        </w:rPr>
        <w:t xml:space="preserve">и обеспечением средствами коммерческого учета электрической энергии, в соответствии с </w:t>
      </w:r>
      <w:r>
        <w:rPr>
          <w:bCs/>
          <w:sz w:val="24"/>
          <w:szCs w:val="24"/>
        </w:rPr>
        <w:t>таблицей</w:t>
      </w:r>
      <w:r w:rsidRPr="006C4DCC">
        <w:rPr>
          <w:bCs/>
          <w:sz w:val="24"/>
          <w:szCs w:val="24"/>
        </w:rPr>
        <w:t xml:space="preserve"> 2 к настоящему </w:t>
      </w:r>
      <w:r>
        <w:rPr>
          <w:bCs/>
          <w:sz w:val="24"/>
          <w:szCs w:val="24"/>
        </w:rPr>
        <w:t>протоколу</w:t>
      </w:r>
      <w:r w:rsidRPr="006C4DCC">
        <w:rPr>
          <w:bCs/>
          <w:sz w:val="24"/>
          <w:szCs w:val="24"/>
        </w:rPr>
        <w:t>.</w:t>
      </w:r>
    </w:p>
    <w:p w:rsidR="00386C0A" w:rsidRPr="006C4DCC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C4DCC">
        <w:rPr>
          <w:bCs/>
          <w:sz w:val="24"/>
          <w:szCs w:val="24"/>
        </w:rPr>
        <w:t xml:space="preserve">1.3. Формулы платы за технологическое присоединение к электрическим сетям территориальных сетевых организаций Ивановской области в соответствии с </w:t>
      </w:r>
      <w:r>
        <w:rPr>
          <w:bCs/>
          <w:sz w:val="24"/>
          <w:szCs w:val="24"/>
        </w:rPr>
        <w:t>таблицей</w:t>
      </w:r>
      <w:r w:rsidRPr="006C4DCC">
        <w:rPr>
          <w:bCs/>
          <w:sz w:val="24"/>
          <w:szCs w:val="24"/>
        </w:rPr>
        <w:t xml:space="preserve"> 3 к настоящему </w:t>
      </w:r>
      <w:r>
        <w:rPr>
          <w:bCs/>
          <w:sz w:val="24"/>
          <w:szCs w:val="24"/>
        </w:rPr>
        <w:t>протоколу</w:t>
      </w:r>
      <w:r w:rsidRPr="006C4DCC">
        <w:rPr>
          <w:bCs/>
          <w:sz w:val="24"/>
          <w:szCs w:val="24"/>
        </w:rPr>
        <w:t>.</w:t>
      </w:r>
    </w:p>
    <w:p w:rsidR="00386C0A" w:rsidRPr="006C4DCC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C4DCC">
        <w:rPr>
          <w:bCs/>
          <w:sz w:val="24"/>
          <w:szCs w:val="24"/>
        </w:rPr>
        <w:t xml:space="preserve">2. Установить льготные ставки за 1 кВт запрашиваемой максимальной мощности в отношении всей совокупности мероприятий по технологическому присоединению к электрическим сетям сетевых организаций на территории Ивановской </w:t>
      </w:r>
      <w:r>
        <w:rPr>
          <w:bCs/>
          <w:sz w:val="24"/>
          <w:szCs w:val="24"/>
        </w:rPr>
        <w:t xml:space="preserve">области </w:t>
      </w:r>
      <w:r w:rsidRPr="006C4DCC">
        <w:rPr>
          <w:bCs/>
          <w:sz w:val="24"/>
          <w:szCs w:val="24"/>
        </w:rPr>
        <w:t>в следующих размерах:</w:t>
      </w:r>
    </w:p>
    <w:p w:rsidR="00386C0A" w:rsidRPr="001452F5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452F5">
        <w:rPr>
          <w:bCs/>
          <w:sz w:val="24"/>
          <w:szCs w:val="24"/>
        </w:rPr>
        <w:t>2.1. С 01.01.202</w:t>
      </w:r>
      <w:r>
        <w:rPr>
          <w:bCs/>
          <w:sz w:val="24"/>
          <w:szCs w:val="24"/>
        </w:rPr>
        <w:t>5</w:t>
      </w:r>
      <w:r w:rsidRPr="001452F5">
        <w:rPr>
          <w:bCs/>
          <w:sz w:val="24"/>
          <w:szCs w:val="24"/>
        </w:rPr>
        <w:t xml:space="preserve"> г. по 3</w:t>
      </w:r>
      <w:r>
        <w:rPr>
          <w:bCs/>
          <w:sz w:val="24"/>
          <w:szCs w:val="24"/>
        </w:rPr>
        <w:t>1</w:t>
      </w:r>
      <w:r w:rsidRPr="001452F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Pr="001452F5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1452F5">
        <w:rPr>
          <w:bCs/>
          <w:sz w:val="24"/>
          <w:szCs w:val="24"/>
        </w:rPr>
        <w:t xml:space="preserve"> г. – </w:t>
      </w:r>
      <w:r w:rsidRPr="002E5A2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 </w:t>
      </w:r>
      <w:r w:rsidRPr="002E5A25">
        <w:rPr>
          <w:bCs/>
          <w:sz w:val="24"/>
          <w:szCs w:val="24"/>
        </w:rPr>
        <w:t>993,85</w:t>
      </w:r>
      <w:r w:rsidRPr="001452F5">
        <w:rPr>
          <w:bCs/>
          <w:sz w:val="24"/>
          <w:szCs w:val="24"/>
        </w:rPr>
        <w:t xml:space="preserve"> руб. за кВт (с учетом НДС) для определения стоимости мероприятий по технологическому присоединению:</w:t>
      </w:r>
    </w:p>
    <w:p w:rsidR="00386C0A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1452F5">
        <w:rPr>
          <w:bCs/>
          <w:sz w:val="24"/>
          <w:szCs w:val="24"/>
        </w:rPr>
        <w:t xml:space="preserve">- объектов микрогенерации заявителей - физических лиц, в том числе за одновременное технологическое присоединение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</w:t>
      </w:r>
      <w:r w:rsidRPr="00B86CC3">
        <w:rPr>
          <w:sz w:val="24"/>
          <w:szCs w:val="24"/>
        </w:rPr>
        <w:t>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</w:t>
      </w:r>
      <w:r w:rsidRPr="001452F5">
        <w:rPr>
          <w:bCs/>
          <w:sz w:val="24"/>
          <w:szCs w:val="24"/>
        </w:rPr>
        <w:t xml:space="preserve"> и объектов микрогенерации, в случае</w:t>
      </w:r>
      <w:proofErr w:type="gramEnd"/>
      <w:r w:rsidRPr="001452F5">
        <w:rPr>
          <w:bCs/>
          <w:sz w:val="24"/>
          <w:szCs w:val="24"/>
        </w:rPr>
        <w:t xml:space="preserve"> </w:t>
      </w:r>
      <w:proofErr w:type="gramStart"/>
      <w:r w:rsidRPr="001452F5">
        <w:rPr>
          <w:bCs/>
          <w:sz w:val="24"/>
          <w:szCs w:val="24"/>
        </w:rPr>
        <w:t>технологического присоединения энергопринимающих устройств и (или) объектов микрогенерации, отнесенных к третьей категории надежности (по одному источнику электроснабжения), к объектам 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класса напряжения сетевой организации, в которую подана заявка, составляет не более 300 метров в городах</w:t>
      </w:r>
      <w:proofErr w:type="gramEnd"/>
      <w:r w:rsidRPr="001452F5">
        <w:rPr>
          <w:bCs/>
          <w:sz w:val="24"/>
          <w:szCs w:val="24"/>
        </w:rPr>
        <w:t xml:space="preserve"> и </w:t>
      </w:r>
      <w:proofErr w:type="gramStart"/>
      <w:r w:rsidRPr="001452F5">
        <w:rPr>
          <w:bCs/>
          <w:sz w:val="24"/>
          <w:szCs w:val="24"/>
        </w:rPr>
        <w:t>поселках</w:t>
      </w:r>
      <w:proofErr w:type="gramEnd"/>
      <w:r w:rsidRPr="001452F5">
        <w:rPr>
          <w:bCs/>
          <w:sz w:val="24"/>
          <w:szCs w:val="24"/>
        </w:rPr>
        <w:t xml:space="preserve"> городского типа и не более 500 метров в сельской местности;</w:t>
      </w:r>
    </w:p>
    <w:p w:rsidR="00386C0A" w:rsidRPr="004869AE" w:rsidRDefault="00386C0A" w:rsidP="00386C0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2325D">
        <w:rPr>
          <w:bCs/>
          <w:sz w:val="24"/>
          <w:szCs w:val="24"/>
        </w:rPr>
        <w:t xml:space="preserve">-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</w:t>
      </w:r>
      <w:r w:rsidRPr="00B86CC3">
        <w:rPr>
          <w:bCs/>
          <w:sz w:val="24"/>
          <w:szCs w:val="24"/>
        </w:rPr>
        <w:t>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>
        <w:rPr>
          <w:bCs/>
          <w:sz w:val="24"/>
          <w:szCs w:val="24"/>
        </w:rPr>
        <w:t>,</w:t>
      </w:r>
      <w:r w:rsidRPr="00E16AC6">
        <w:rPr>
          <w:bCs/>
          <w:sz w:val="24"/>
          <w:szCs w:val="24"/>
        </w:rPr>
        <w:t xml:space="preserve"> </w:t>
      </w:r>
      <w:r w:rsidRPr="00B86CC3">
        <w:rPr>
          <w:bCs/>
          <w:sz w:val="24"/>
          <w:szCs w:val="24"/>
        </w:rPr>
        <w:t>в случае технологического присоединения энергопринимающих устройств</w:t>
      </w:r>
      <w:r>
        <w:rPr>
          <w:bCs/>
          <w:sz w:val="24"/>
          <w:szCs w:val="24"/>
        </w:rPr>
        <w:t>,</w:t>
      </w:r>
      <w:r w:rsidRPr="00B86CC3">
        <w:rPr>
          <w:bCs/>
          <w:sz w:val="24"/>
          <w:szCs w:val="24"/>
        </w:rPr>
        <w:t xml:space="preserve"> </w:t>
      </w:r>
      <w:r w:rsidRPr="0052325D">
        <w:rPr>
          <w:bCs/>
          <w:sz w:val="24"/>
          <w:szCs w:val="24"/>
        </w:rPr>
        <w:t xml:space="preserve">отнесенных к третьей категории надежности (по одному </w:t>
      </w:r>
      <w:r w:rsidRPr="0052325D">
        <w:rPr>
          <w:bCs/>
          <w:sz w:val="24"/>
          <w:szCs w:val="24"/>
        </w:rPr>
        <w:lastRenderedPageBreak/>
        <w:t>источнику электроснабжения)</w:t>
      </w:r>
      <w:r>
        <w:rPr>
          <w:bCs/>
          <w:sz w:val="24"/>
          <w:szCs w:val="24"/>
        </w:rPr>
        <w:t>,</w:t>
      </w:r>
      <w:r w:rsidRPr="004869AE">
        <w:rPr>
          <w:sz w:val="24"/>
          <w:szCs w:val="24"/>
        </w:rPr>
        <w:t xml:space="preserve"> </w:t>
      </w:r>
      <w:r w:rsidRPr="0052325D">
        <w:rPr>
          <w:bCs/>
          <w:sz w:val="24"/>
          <w:szCs w:val="24"/>
        </w:rPr>
        <w:t>к объектам</w:t>
      </w:r>
      <w:proofErr w:type="gramEnd"/>
      <w:r w:rsidRPr="0052325D">
        <w:rPr>
          <w:bCs/>
          <w:sz w:val="24"/>
          <w:szCs w:val="24"/>
        </w:rPr>
        <w:t xml:space="preserve"> </w:t>
      </w:r>
      <w:proofErr w:type="gramStart"/>
      <w:r w:rsidRPr="0052325D">
        <w:rPr>
          <w:bCs/>
          <w:sz w:val="24"/>
          <w:szCs w:val="24"/>
        </w:rPr>
        <w:t>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местности;</w:t>
      </w:r>
      <w:proofErr w:type="gramEnd"/>
    </w:p>
    <w:p w:rsidR="00386C0A" w:rsidRPr="0052325D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52325D">
        <w:rPr>
          <w:bCs/>
          <w:sz w:val="24"/>
          <w:szCs w:val="24"/>
        </w:rPr>
        <w:t>- объектов микрогенерации в случае подачи заявки юридическим лицом или индивидуальным предпринимателем в целях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</w:t>
      </w:r>
      <w:proofErr w:type="gramEnd"/>
      <w:r w:rsidRPr="0052325D">
        <w:rPr>
          <w:bCs/>
          <w:sz w:val="24"/>
          <w:szCs w:val="24"/>
        </w:rPr>
        <w:t xml:space="preserve">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местности.</w:t>
      </w:r>
    </w:p>
    <w:p w:rsidR="00386C0A" w:rsidRPr="00112963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2963">
        <w:rPr>
          <w:bCs/>
          <w:sz w:val="24"/>
          <w:szCs w:val="24"/>
        </w:rPr>
        <w:t xml:space="preserve">2.2. </w:t>
      </w:r>
      <w:proofErr w:type="gramStart"/>
      <w:r w:rsidRPr="00112963">
        <w:rPr>
          <w:bCs/>
          <w:sz w:val="24"/>
          <w:szCs w:val="24"/>
        </w:rPr>
        <w:t>С 01.01.202</w:t>
      </w:r>
      <w:r>
        <w:rPr>
          <w:bCs/>
          <w:sz w:val="24"/>
          <w:szCs w:val="24"/>
        </w:rPr>
        <w:t>5</w:t>
      </w:r>
      <w:r w:rsidRPr="00112963">
        <w:rPr>
          <w:bCs/>
          <w:sz w:val="24"/>
          <w:szCs w:val="24"/>
        </w:rPr>
        <w:t xml:space="preserve"> г по 31.12.202</w:t>
      </w:r>
      <w:r>
        <w:rPr>
          <w:bCs/>
          <w:sz w:val="24"/>
          <w:szCs w:val="24"/>
        </w:rPr>
        <w:t>5</w:t>
      </w:r>
      <w:r w:rsidRPr="00112963">
        <w:rPr>
          <w:bCs/>
          <w:sz w:val="24"/>
          <w:szCs w:val="24"/>
        </w:rPr>
        <w:t xml:space="preserve"> г. – </w:t>
      </w:r>
      <w:r w:rsidRPr="009529F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 </w:t>
      </w:r>
      <w:r w:rsidRPr="009529F7">
        <w:rPr>
          <w:bCs/>
          <w:sz w:val="24"/>
          <w:szCs w:val="24"/>
        </w:rPr>
        <w:t>198,77</w:t>
      </w:r>
      <w:r w:rsidRPr="00112963">
        <w:rPr>
          <w:bCs/>
          <w:sz w:val="24"/>
          <w:szCs w:val="24"/>
        </w:rPr>
        <w:t xml:space="preserve"> руб. за кВт (с учетом НДС) для определения стоимости мероприятий по технологическому присоединению объектов микрогенерации, в том числе за одновременное технологическое присоединение энергопринимающих устройств и объектов микрогенерации, 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владеющих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при заключении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договора на технологическое присоединение членом малообеспеченной семьи (одиноко проживающим гражданином), среднедушевой доход которого ниже величины прожиточного минимума, установленного в Ивановской области, определенным в соответствии с Федеральным законом «О прожиточном минимуме в Российской Федерации», а также лицами, указанными в статьях 14–16, 18 и 21 Федерального закона «О ветеранах», статье 17 Федерального закона «О социальной защите инвалидов в Российской Федерации»</w:t>
      </w:r>
      <w:r>
        <w:rPr>
          <w:bCs/>
          <w:sz w:val="24"/>
          <w:szCs w:val="24"/>
        </w:rPr>
        <w:t xml:space="preserve"> </w:t>
      </w:r>
      <w:r w:rsidRPr="009529F7">
        <w:rPr>
          <w:bCs/>
          <w:sz w:val="24"/>
          <w:szCs w:val="24"/>
        </w:rPr>
        <w:t>(вне зависимости</w:t>
      </w:r>
      <w:proofErr w:type="gramEnd"/>
      <w:r w:rsidRPr="009529F7">
        <w:rPr>
          <w:bCs/>
          <w:sz w:val="24"/>
          <w:szCs w:val="24"/>
        </w:rPr>
        <w:t xml:space="preserve"> </w:t>
      </w:r>
      <w:proofErr w:type="gramStart"/>
      <w:r w:rsidRPr="009529F7">
        <w:rPr>
          <w:bCs/>
          <w:sz w:val="24"/>
          <w:szCs w:val="24"/>
        </w:rPr>
        <w:t xml:space="preserve">от того, являются ли лица, указанные в статье 17 </w:t>
      </w:r>
      <w:r>
        <w:rPr>
          <w:bCs/>
          <w:sz w:val="24"/>
          <w:szCs w:val="24"/>
        </w:rPr>
        <w:t>Федерального закона «</w:t>
      </w:r>
      <w:r w:rsidRPr="009529F7">
        <w:rPr>
          <w:bCs/>
          <w:sz w:val="24"/>
          <w:szCs w:val="24"/>
        </w:rPr>
        <w:t>О социальной защите инвалидов в Российской Федерации</w:t>
      </w:r>
      <w:r>
        <w:rPr>
          <w:bCs/>
          <w:sz w:val="24"/>
          <w:szCs w:val="24"/>
        </w:rPr>
        <w:t>»</w:t>
      </w:r>
      <w:r w:rsidRPr="009529F7">
        <w:rPr>
          <w:bCs/>
          <w:sz w:val="24"/>
          <w:szCs w:val="24"/>
        </w:rPr>
        <w:t>, нуждающимися в улучшении жилищных условий)</w:t>
      </w:r>
      <w:r w:rsidRPr="00112963">
        <w:rPr>
          <w:bCs/>
          <w:sz w:val="24"/>
          <w:szCs w:val="24"/>
        </w:rPr>
        <w:t>, статье 14 Закона Российской Федерации «О социальной защите граждан, подвергшихся воздействию радиации вследствие катастрофы на Чернобыльской АЭС», статье 2 Федерального закона «О социальных гарантиях гражданам, подвергшимся радиационному воздействию вследствие ядерных испытаний на Семипалатинском полигоне», части 8 статьи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154 Федерального закона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статье 1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>Федерального закона «О социальной защите граждан Российской Федерации, подвергшихся  воздействию радиации вследствие аварии в 1957 году на производственном объединении «Маяк» и сбросов радиоактивных отходов в реку Теча», пункте 1 и абзаце четвертом пункта 2 постановления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</w:t>
      </w:r>
      <w:proofErr w:type="gramEnd"/>
      <w:r w:rsidRPr="00112963">
        <w:rPr>
          <w:bCs/>
          <w:sz w:val="24"/>
          <w:szCs w:val="24"/>
        </w:rPr>
        <w:t xml:space="preserve"> </w:t>
      </w:r>
      <w:proofErr w:type="gramStart"/>
      <w:r w:rsidRPr="00112963">
        <w:rPr>
          <w:bCs/>
          <w:sz w:val="24"/>
          <w:szCs w:val="24"/>
        </w:rPr>
        <w:t xml:space="preserve">Чернобыльской АЭС» на граждан из подразделений особого риска, Указе Президента </w:t>
      </w:r>
      <w:r w:rsidRPr="00DC137D">
        <w:rPr>
          <w:bCs/>
          <w:sz w:val="24"/>
          <w:szCs w:val="24"/>
        </w:rPr>
        <w:t>Российской Федерации от 23 января 2024 г. №</w:t>
      </w:r>
      <w:r w:rsidRPr="00DC137D">
        <w:rPr>
          <w:bCs/>
          <w:sz w:val="24"/>
          <w:szCs w:val="24"/>
          <w:lang w:val="en-US"/>
        </w:rPr>
        <w:t> </w:t>
      </w:r>
      <w:r w:rsidRPr="00DC137D">
        <w:rPr>
          <w:bCs/>
          <w:sz w:val="24"/>
          <w:szCs w:val="24"/>
        </w:rPr>
        <w:t>63 «О мерах социальной поддержки многодетных семей», в случае</w:t>
      </w:r>
      <w:r w:rsidRPr="00112963">
        <w:rPr>
          <w:bCs/>
          <w:sz w:val="24"/>
          <w:szCs w:val="24"/>
        </w:rPr>
        <w:t xml:space="preserve"> представления заявителем документов, оформленных уполномоченным федеральным органом исполнительной власти (исполнительн</w:t>
      </w:r>
      <w:r>
        <w:rPr>
          <w:bCs/>
          <w:sz w:val="24"/>
          <w:szCs w:val="24"/>
        </w:rPr>
        <w:t xml:space="preserve">ым </w:t>
      </w:r>
      <w:r w:rsidRPr="00112963">
        <w:rPr>
          <w:bCs/>
          <w:sz w:val="24"/>
          <w:szCs w:val="24"/>
        </w:rPr>
        <w:t>органом</w:t>
      </w:r>
      <w:r>
        <w:rPr>
          <w:bCs/>
          <w:sz w:val="24"/>
          <w:szCs w:val="24"/>
        </w:rPr>
        <w:t xml:space="preserve"> </w:t>
      </w:r>
      <w:r w:rsidRPr="00112963">
        <w:rPr>
          <w:bCs/>
          <w:sz w:val="24"/>
          <w:szCs w:val="24"/>
        </w:rPr>
        <w:t xml:space="preserve">субъекта Российской Федерации, управомоченным им </w:t>
      </w:r>
      <w:r w:rsidRPr="00112963">
        <w:rPr>
          <w:bCs/>
          <w:sz w:val="24"/>
          <w:szCs w:val="24"/>
        </w:rPr>
        <w:lastRenderedPageBreak/>
        <w:t>государственным учреждением, органом местного самоуправления), подтверждающих соответствие заявителя указанным категориям.</w:t>
      </w:r>
      <w:proofErr w:type="gramEnd"/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2.3. Плата за технологическое присоединение определяется: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 xml:space="preserve">2.3.1. Для заявителей, </w:t>
      </w:r>
      <w:r w:rsidRPr="00DC137D">
        <w:rPr>
          <w:bCs/>
          <w:sz w:val="24"/>
          <w:szCs w:val="24"/>
        </w:rPr>
        <w:t>указанных в абзацах втором и третьем пункта 2.1 настоящего постановления, в соответствии с формулой (1.1.), а также с учетом условий, изложенных в абзаце третьем пункта 17 Правил технологического присоединения: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(</w:t>
      </w:r>
      <w:proofErr w:type="spellStart"/>
      <w:r w:rsidRPr="00273D00">
        <w:rPr>
          <w:bCs/>
          <w:sz w:val="24"/>
          <w:szCs w:val="24"/>
          <w:vertAlign w:val="subscript"/>
        </w:rPr>
        <w:t>несоц</w:t>
      </w:r>
      <w:proofErr w:type="spellEnd"/>
      <w:r w:rsidRPr="00273D00">
        <w:rPr>
          <w:bCs/>
          <w:sz w:val="24"/>
          <w:szCs w:val="24"/>
          <w:vertAlign w:val="subscript"/>
        </w:rPr>
        <w:t>)</w:t>
      </w:r>
      <w:r w:rsidRPr="00273D00">
        <w:rPr>
          <w:bCs/>
          <w:sz w:val="24"/>
          <w:szCs w:val="24"/>
        </w:rPr>
        <w:t>=</w:t>
      </w:r>
      <w:r w:rsidRPr="00273D00">
        <w:rPr>
          <w:bCs/>
          <w:sz w:val="24"/>
          <w:szCs w:val="24"/>
          <w:lang w:val="en-US"/>
        </w:rPr>
        <w:t>min</w:t>
      </w:r>
      <w:r w:rsidRPr="00273D00">
        <w:rPr>
          <w:bCs/>
          <w:sz w:val="24"/>
          <w:szCs w:val="24"/>
        </w:rPr>
        <w:t>{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 </w:t>
      </w:r>
      <w:r w:rsidRPr="00273D00">
        <w:rPr>
          <w:bCs/>
          <w:sz w:val="24"/>
          <w:szCs w:val="24"/>
        </w:rPr>
        <w:t xml:space="preserve">; 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несоц</w:t>
      </w:r>
      <w:proofErr w:type="spellEnd"/>
      <w:r w:rsidRPr="00273D00">
        <w:rPr>
          <w:bCs/>
          <w:sz w:val="24"/>
          <w:szCs w:val="24"/>
        </w:rPr>
        <w:t>*</w:t>
      </w: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>}, (1.1.),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где: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</w:rPr>
        <w:t xml:space="preserve"> </w:t>
      </w:r>
      <w:proofErr w:type="spellStart"/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. </w:t>
      </w:r>
      <w:r w:rsidRPr="00273D00">
        <w:rPr>
          <w:bCs/>
          <w:sz w:val="24"/>
          <w:szCs w:val="24"/>
        </w:rPr>
        <w:t>– стоимость мероприятий по технологическому присоединению, рассчитанная с использованием стандартизированных тарифных ставок, руб.;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</w:t>
      </w:r>
      <w:proofErr w:type="spellStart"/>
      <w:r w:rsidRPr="00273D00">
        <w:rPr>
          <w:bCs/>
          <w:sz w:val="24"/>
          <w:szCs w:val="24"/>
          <w:vertAlign w:val="subscript"/>
        </w:rPr>
        <w:t>несоц</w:t>
      </w:r>
      <w:proofErr w:type="spellEnd"/>
      <w:r w:rsidRPr="00273D00">
        <w:rPr>
          <w:bCs/>
          <w:sz w:val="24"/>
          <w:szCs w:val="24"/>
        </w:rPr>
        <w:t xml:space="preserve"> – льготная ставка за 1 кВт запрашиваемой максимальной мощности, указанная в пункте 2.1 настоящего постановления, руб./кВт;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 xml:space="preserve"> – </w:t>
      </w:r>
      <w:proofErr w:type="gramStart"/>
      <w:r w:rsidRPr="00273D00">
        <w:rPr>
          <w:bCs/>
          <w:sz w:val="24"/>
          <w:szCs w:val="24"/>
        </w:rPr>
        <w:t>запрашиваемая</w:t>
      </w:r>
      <w:proofErr w:type="gramEnd"/>
      <w:r w:rsidRPr="00273D00">
        <w:rPr>
          <w:bCs/>
          <w:sz w:val="24"/>
          <w:szCs w:val="24"/>
        </w:rPr>
        <w:t xml:space="preserve"> максимальная мощность присоединяемых устройств, кВт.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 xml:space="preserve">2.3.2. </w:t>
      </w:r>
      <w:r w:rsidRPr="00DC137D">
        <w:rPr>
          <w:bCs/>
          <w:sz w:val="24"/>
          <w:szCs w:val="24"/>
        </w:rPr>
        <w:t>Для заявителей</w:t>
      </w:r>
      <w:r w:rsidRPr="00273D00">
        <w:rPr>
          <w:bCs/>
          <w:sz w:val="24"/>
          <w:szCs w:val="24"/>
        </w:rPr>
        <w:t xml:space="preserve">, указанных в абзаце </w:t>
      </w:r>
      <w:r>
        <w:rPr>
          <w:bCs/>
          <w:sz w:val="24"/>
          <w:szCs w:val="24"/>
        </w:rPr>
        <w:t>четвертом</w:t>
      </w:r>
      <w:r w:rsidRPr="00273D00">
        <w:rPr>
          <w:bCs/>
          <w:sz w:val="24"/>
          <w:szCs w:val="24"/>
        </w:rPr>
        <w:t xml:space="preserve"> пункта 2.1 настоящего постановления, в соответствии с формулой (1.2.):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ЭПУ до 150+мкг</w:t>
      </w:r>
      <w:r w:rsidRPr="00273D00">
        <w:rPr>
          <w:bCs/>
          <w:sz w:val="24"/>
          <w:szCs w:val="24"/>
        </w:rPr>
        <w:t>=</w:t>
      </w:r>
      <w:r w:rsidRPr="00273D00">
        <w:rPr>
          <w:bCs/>
          <w:sz w:val="24"/>
          <w:szCs w:val="24"/>
          <w:lang w:val="en-US"/>
        </w:rPr>
        <w:t>min</w:t>
      </w:r>
      <w:r w:rsidRPr="00273D00">
        <w:rPr>
          <w:bCs/>
          <w:sz w:val="24"/>
          <w:szCs w:val="24"/>
        </w:rPr>
        <w:t>{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 </w:t>
      </w:r>
      <w:r w:rsidRPr="00273D00">
        <w:rPr>
          <w:bCs/>
          <w:sz w:val="24"/>
          <w:szCs w:val="24"/>
        </w:rPr>
        <w:t xml:space="preserve">; 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несоц</w:t>
      </w:r>
      <w:proofErr w:type="spellEnd"/>
      <w:r w:rsidRPr="00273D00">
        <w:rPr>
          <w:bCs/>
          <w:sz w:val="24"/>
          <w:szCs w:val="24"/>
        </w:rPr>
        <w:t>*</w:t>
      </w: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>} + Р</w:t>
      </w:r>
      <w:r w:rsidRPr="00273D00">
        <w:rPr>
          <w:bCs/>
          <w:sz w:val="24"/>
          <w:szCs w:val="24"/>
          <w:vertAlign w:val="subscript"/>
        </w:rPr>
        <w:t xml:space="preserve"> ЭПУ до 150</w:t>
      </w:r>
      <w:r w:rsidRPr="00273D00">
        <w:rPr>
          <w:bCs/>
          <w:sz w:val="24"/>
          <w:szCs w:val="24"/>
        </w:rPr>
        <w:t>, (1.2.),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где: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ЭПУ до 150</w:t>
      </w:r>
      <w:r w:rsidRPr="00273D00">
        <w:rPr>
          <w:bCs/>
          <w:sz w:val="24"/>
          <w:szCs w:val="24"/>
        </w:rPr>
        <w:t xml:space="preserve"> – плата за технологическое присоединение энергопринимающих устройств максимальной мощностью до 150 кВт включительно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</w:t>
      </w:r>
      <w:proofErr w:type="gramStart"/>
      <w:r w:rsidRPr="00273D00">
        <w:rPr>
          <w:bCs/>
          <w:sz w:val="24"/>
          <w:szCs w:val="24"/>
        </w:rPr>
        <w:t>определяемая</w:t>
      </w:r>
      <w:proofErr w:type="gramEnd"/>
      <w:r w:rsidRPr="00273D00">
        <w:rPr>
          <w:bCs/>
          <w:sz w:val="24"/>
          <w:szCs w:val="24"/>
        </w:rPr>
        <w:t xml:space="preserve"> в соответствии с пунктом 12 Методических указаний по определению размера платы за технологическое присоединение к электрическим сетям, руб.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2.4. Плата за технологическое присоединение для заявителей, указанных в пункте 2.2 настоящего постановления, определяется в соответствии с формулой (2):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(</w:t>
      </w:r>
      <w:proofErr w:type="spellStart"/>
      <w:r w:rsidRPr="00273D00">
        <w:rPr>
          <w:bCs/>
          <w:sz w:val="24"/>
          <w:szCs w:val="24"/>
          <w:vertAlign w:val="subscript"/>
        </w:rPr>
        <w:t>соц</w:t>
      </w:r>
      <w:proofErr w:type="spellEnd"/>
      <w:r w:rsidRPr="00273D00">
        <w:rPr>
          <w:bCs/>
          <w:sz w:val="24"/>
          <w:szCs w:val="24"/>
          <w:vertAlign w:val="subscript"/>
        </w:rPr>
        <w:t>)</w:t>
      </w:r>
      <w:r w:rsidRPr="00273D00">
        <w:rPr>
          <w:bCs/>
          <w:sz w:val="24"/>
          <w:szCs w:val="24"/>
        </w:rPr>
        <w:t>=</w:t>
      </w:r>
      <w:r w:rsidRPr="00273D00">
        <w:rPr>
          <w:bCs/>
          <w:sz w:val="24"/>
          <w:szCs w:val="24"/>
          <w:lang w:val="en-US"/>
        </w:rPr>
        <w:t>min</w:t>
      </w:r>
      <w:r w:rsidRPr="00273D00">
        <w:rPr>
          <w:bCs/>
          <w:sz w:val="24"/>
          <w:szCs w:val="24"/>
        </w:rPr>
        <w:t>{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 </w:t>
      </w:r>
      <w:r w:rsidRPr="00273D00">
        <w:rPr>
          <w:bCs/>
          <w:sz w:val="24"/>
          <w:szCs w:val="24"/>
        </w:rPr>
        <w:t xml:space="preserve">; </w:t>
      </w:r>
      <w:proofErr w:type="spellStart"/>
      <w:r w:rsidRPr="00273D00">
        <w:rPr>
          <w:bCs/>
          <w:sz w:val="24"/>
          <w:szCs w:val="24"/>
        </w:rPr>
        <w:t>р</w:t>
      </w:r>
      <w:r w:rsidRPr="00273D00">
        <w:rPr>
          <w:bCs/>
          <w:sz w:val="24"/>
          <w:szCs w:val="24"/>
          <w:vertAlign w:val="subscript"/>
        </w:rPr>
        <w:t>соц</w:t>
      </w:r>
      <w:proofErr w:type="spellEnd"/>
      <w:r w:rsidRPr="00273D00">
        <w:rPr>
          <w:bCs/>
          <w:sz w:val="24"/>
          <w:szCs w:val="24"/>
        </w:rPr>
        <w:t>*</w:t>
      </w: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>}, (2),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где: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</w:rPr>
        <w:t xml:space="preserve"> </w:t>
      </w:r>
      <w:proofErr w:type="spellStart"/>
      <w:r w:rsidRPr="00273D00">
        <w:rPr>
          <w:bCs/>
          <w:sz w:val="24"/>
          <w:szCs w:val="24"/>
          <w:vertAlign w:val="subscript"/>
        </w:rPr>
        <w:t>станд.ст</w:t>
      </w:r>
      <w:proofErr w:type="spellEnd"/>
      <w:r w:rsidRPr="00273D00">
        <w:rPr>
          <w:bCs/>
          <w:sz w:val="24"/>
          <w:szCs w:val="24"/>
          <w:vertAlign w:val="subscript"/>
        </w:rPr>
        <w:t xml:space="preserve">. </w:t>
      </w:r>
      <w:r w:rsidRPr="00273D00">
        <w:rPr>
          <w:bCs/>
          <w:sz w:val="24"/>
          <w:szCs w:val="24"/>
        </w:rPr>
        <w:t>– стоимость мероприятий по технологическому присоединению, рассчитанная с использованием стандартизированных тарифных ставок, руб.;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р</w:t>
      </w:r>
      <w:proofErr w:type="gramEnd"/>
      <w:r w:rsidRPr="00273D00">
        <w:rPr>
          <w:bCs/>
          <w:sz w:val="24"/>
          <w:szCs w:val="24"/>
          <w:vertAlign w:val="subscript"/>
        </w:rPr>
        <w:t xml:space="preserve"> </w:t>
      </w:r>
      <w:proofErr w:type="spellStart"/>
      <w:r w:rsidRPr="00273D00">
        <w:rPr>
          <w:bCs/>
          <w:sz w:val="24"/>
          <w:szCs w:val="24"/>
          <w:vertAlign w:val="subscript"/>
        </w:rPr>
        <w:t>соц</w:t>
      </w:r>
      <w:proofErr w:type="spellEnd"/>
      <w:r w:rsidRPr="00273D00">
        <w:rPr>
          <w:bCs/>
          <w:sz w:val="24"/>
          <w:szCs w:val="24"/>
        </w:rPr>
        <w:t xml:space="preserve"> – льготная ставка за 1 кВт запрашиваемой максимальной мощности, указанная в пункте 2.2 настоящего постановления, руб./кВт;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i/>
          <w:sz w:val="24"/>
          <w:szCs w:val="24"/>
          <w:lang w:val="en-US"/>
        </w:rPr>
        <w:t>N</w:t>
      </w:r>
      <w:r w:rsidRPr="00273D00">
        <w:rPr>
          <w:bCs/>
          <w:sz w:val="24"/>
          <w:szCs w:val="24"/>
        </w:rPr>
        <w:t xml:space="preserve"> - </w:t>
      </w:r>
      <w:proofErr w:type="gramStart"/>
      <w:r w:rsidRPr="00273D00">
        <w:rPr>
          <w:bCs/>
          <w:sz w:val="24"/>
          <w:szCs w:val="24"/>
        </w:rPr>
        <w:t>запрашиваемая</w:t>
      </w:r>
      <w:proofErr w:type="gramEnd"/>
      <w:r w:rsidRPr="00273D00">
        <w:rPr>
          <w:bCs/>
          <w:sz w:val="24"/>
          <w:szCs w:val="24"/>
        </w:rPr>
        <w:t xml:space="preserve"> максимальная мощность присоединяемых устройств, кВт.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 xml:space="preserve">2.5. Льготные ставки и положения о размере платы за технологическое присоединение, указанные в пунктах 2.1, 2.2 и 2.3 настоящего постановления, не применяются в случаях, определенных абзацами </w:t>
      </w:r>
      <w:r>
        <w:rPr>
          <w:bCs/>
          <w:sz w:val="24"/>
          <w:szCs w:val="24"/>
        </w:rPr>
        <w:t>тридцатым – тридцать третьим</w:t>
      </w:r>
      <w:r w:rsidRPr="00273D00">
        <w:rPr>
          <w:bCs/>
          <w:sz w:val="24"/>
          <w:szCs w:val="24"/>
        </w:rPr>
        <w:t xml:space="preserve"> пункта 17 Правил технологического присоединения.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73D00">
        <w:rPr>
          <w:bCs/>
          <w:sz w:val="24"/>
          <w:szCs w:val="24"/>
        </w:rPr>
        <w:t>2.6.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– от существующих объектов электросетевого хозяйства до присоединяемых энергопринимающих устройств и (или) объектов электроэнергетики, в отношении: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 xml:space="preserve">- энергопринимающих устройств заявителей - юридических лиц или индивидуальных </w:t>
      </w:r>
      <w:r w:rsidRPr="00273D00">
        <w:rPr>
          <w:bCs/>
          <w:sz w:val="24"/>
          <w:szCs w:val="24"/>
        </w:rPr>
        <w:lastRenderedPageBreak/>
        <w:t>предпринимателей в случае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</w:t>
      </w:r>
      <w:proofErr w:type="gramEnd"/>
      <w:r w:rsidRPr="00273D00">
        <w:rPr>
          <w:bCs/>
          <w:sz w:val="24"/>
          <w:szCs w:val="24"/>
        </w:rPr>
        <w:t xml:space="preserve">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местности;</w:t>
      </w:r>
    </w:p>
    <w:p w:rsidR="00386C0A" w:rsidRPr="00273D00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273D00">
        <w:rPr>
          <w:bCs/>
          <w:sz w:val="24"/>
          <w:szCs w:val="24"/>
        </w:rPr>
        <w:t>- энергопринимающих устройств заявителей, указанных в пункте 12(1) Правил технологического присоединения, присоединяемых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</w:t>
      </w:r>
      <w:proofErr w:type="gramEnd"/>
      <w:r w:rsidRPr="00273D00">
        <w:rPr>
          <w:bCs/>
          <w:sz w:val="24"/>
          <w:szCs w:val="24"/>
        </w:rPr>
        <w:t xml:space="preserve"> типа и не более 300 метров в сельской местности.</w:t>
      </w:r>
    </w:p>
    <w:p w:rsidR="00386C0A" w:rsidRPr="00C7325E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>3. Утвердить 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202</w:t>
      </w:r>
      <w:r>
        <w:rPr>
          <w:bCs/>
          <w:sz w:val="24"/>
          <w:szCs w:val="24"/>
        </w:rPr>
        <w:t>5</w:t>
      </w:r>
      <w:r w:rsidRPr="00C7325E">
        <w:rPr>
          <w:bCs/>
          <w:sz w:val="24"/>
          <w:szCs w:val="24"/>
        </w:rPr>
        <w:t xml:space="preserve"> год, не включаемые в плату за технологическое присоединение, в соответствии с </w:t>
      </w:r>
      <w:r>
        <w:rPr>
          <w:bCs/>
          <w:sz w:val="24"/>
          <w:szCs w:val="24"/>
        </w:rPr>
        <w:t>таблицей</w:t>
      </w:r>
      <w:r w:rsidRPr="00C7325E">
        <w:rPr>
          <w:bCs/>
          <w:sz w:val="24"/>
          <w:szCs w:val="24"/>
        </w:rPr>
        <w:t xml:space="preserve"> 4 к настоящему </w:t>
      </w:r>
      <w:r>
        <w:rPr>
          <w:bCs/>
          <w:sz w:val="24"/>
          <w:szCs w:val="24"/>
        </w:rPr>
        <w:t>протоколу</w:t>
      </w:r>
      <w:r w:rsidRPr="00C7325E">
        <w:rPr>
          <w:bCs/>
          <w:sz w:val="24"/>
          <w:szCs w:val="24"/>
        </w:rPr>
        <w:t>.</w:t>
      </w:r>
    </w:p>
    <w:p w:rsidR="00386C0A" w:rsidRPr="00C7325E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>4. Стандартизированные тарифные ставки, установленные в пп. 1.1. и 1.2. настоящего постановления, действуют с 01.01.202</w:t>
      </w:r>
      <w:r>
        <w:rPr>
          <w:bCs/>
          <w:sz w:val="24"/>
          <w:szCs w:val="24"/>
        </w:rPr>
        <w:t>5</w:t>
      </w:r>
      <w:r w:rsidRPr="00C7325E">
        <w:rPr>
          <w:bCs/>
          <w:sz w:val="24"/>
          <w:szCs w:val="24"/>
        </w:rPr>
        <w:t xml:space="preserve"> по 31.12.202</w:t>
      </w:r>
      <w:r>
        <w:rPr>
          <w:bCs/>
          <w:sz w:val="24"/>
          <w:szCs w:val="24"/>
        </w:rPr>
        <w:t>5</w:t>
      </w:r>
      <w:r w:rsidRPr="00C7325E">
        <w:rPr>
          <w:bCs/>
          <w:sz w:val="24"/>
          <w:szCs w:val="24"/>
        </w:rPr>
        <w:t>.</w:t>
      </w:r>
    </w:p>
    <w:p w:rsidR="00386C0A" w:rsidRPr="00C7325E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>5. С 01.01.202</w:t>
      </w:r>
      <w:r>
        <w:rPr>
          <w:bCs/>
          <w:sz w:val="24"/>
          <w:szCs w:val="24"/>
        </w:rPr>
        <w:t>5</w:t>
      </w:r>
      <w:r w:rsidRPr="00C7325E">
        <w:rPr>
          <w:bCs/>
          <w:sz w:val="24"/>
          <w:szCs w:val="24"/>
        </w:rPr>
        <w:t xml:space="preserve"> признать утратившими силу:</w:t>
      </w:r>
    </w:p>
    <w:p w:rsidR="00386C0A" w:rsidRPr="00C7325E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>- постановления Департамента энергетики и тарифов Ивановской области от 2</w:t>
      </w:r>
      <w:r>
        <w:rPr>
          <w:bCs/>
          <w:sz w:val="24"/>
          <w:szCs w:val="24"/>
        </w:rPr>
        <w:t>4</w:t>
      </w:r>
      <w:r w:rsidRPr="00C7325E">
        <w:rPr>
          <w:bCs/>
          <w:sz w:val="24"/>
          <w:szCs w:val="24"/>
        </w:rPr>
        <w:t>.11.202</w:t>
      </w:r>
      <w:r>
        <w:rPr>
          <w:bCs/>
          <w:sz w:val="24"/>
          <w:szCs w:val="24"/>
        </w:rPr>
        <w:t>3</w:t>
      </w:r>
      <w:r w:rsidRPr="00C7325E">
        <w:rPr>
          <w:bCs/>
          <w:sz w:val="24"/>
          <w:szCs w:val="24"/>
        </w:rPr>
        <w:t xml:space="preserve"> № </w:t>
      </w:r>
      <w:r>
        <w:rPr>
          <w:bCs/>
          <w:sz w:val="24"/>
          <w:szCs w:val="24"/>
        </w:rPr>
        <w:t>46</w:t>
      </w:r>
      <w:r w:rsidRPr="00C7325E">
        <w:rPr>
          <w:bCs/>
          <w:sz w:val="24"/>
          <w:szCs w:val="24"/>
        </w:rPr>
        <w:t>-э/</w:t>
      </w:r>
      <w:r>
        <w:rPr>
          <w:bCs/>
          <w:sz w:val="24"/>
          <w:szCs w:val="24"/>
        </w:rPr>
        <w:t>1</w:t>
      </w:r>
      <w:r w:rsidRPr="00C7325E">
        <w:rPr>
          <w:bCs/>
          <w:sz w:val="24"/>
          <w:szCs w:val="24"/>
        </w:rPr>
        <w:t>, от 2</w:t>
      </w:r>
      <w:r>
        <w:rPr>
          <w:bCs/>
          <w:sz w:val="24"/>
          <w:szCs w:val="24"/>
        </w:rPr>
        <w:t>9</w:t>
      </w:r>
      <w:r w:rsidRPr="00C7325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3</w:t>
      </w:r>
      <w:r w:rsidRPr="00C7325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Pr="00C7325E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11э</w:t>
      </w:r>
      <w:r w:rsidRPr="00C7325E">
        <w:rPr>
          <w:bCs/>
          <w:sz w:val="24"/>
          <w:szCs w:val="24"/>
        </w:rPr>
        <w:t xml:space="preserve">/1, от </w:t>
      </w:r>
      <w:r>
        <w:rPr>
          <w:bCs/>
          <w:sz w:val="24"/>
          <w:szCs w:val="24"/>
        </w:rPr>
        <w:t>08</w:t>
      </w:r>
      <w:r w:rsidRPr="00C7325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5</w:t>
      </w:r>
      <w:r w:rsidRPr="00C7325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Pr="00C7325E">
        <w:rPr>
          <w:bCs/>
          <w:sz w:val="24"/>
          <w:szCs w:val="24"/>
        </w:rPr>
        <w:t xml:space="preserve"> № 1</w:t>
      </w:r>
      <w:r>
        <w:rPr>
          <w:bCs/>
          <w:sz w:val="24"/>
          <w:szCs w:val="24"/>
        </w:rPr>
        <w:t>5</w:t>
      </w:r>
      <w:r w:rsidRPr="00C7325E">
        <w:rPr>
          <w:bCs/>
          <w:sz w:val="24"/>
          <w:szCs w:val="24"/>
        </w:rPr>
        <w:t>-э/1</w:t>
      </w:r>
      <w:r>
        <w:rPr>
          <w:bCs/>
          <w:sz w:val="24"/>
          <w:szCs w:val="24"/>
        </w:rPr>
        <w:t>, от 31.05.2024 № 18-э/1, от 05.07.2024 № 24-э/1, от 26.07.2024 № 27-э/1, от 18.10.2024 № 38-э/1</w:t>
      </w:r>
      <w:r w:rsidRPr="00C7325E">
        <w:rPr>
          <w:bCs/>
          <w:sz w:val="24"/>
          <w:szCs w:val="24"/>
        </w:rPr>
        <w:t>.</w:t>
      </w:r>
    </w:p>
    <w:p w:rsidR="00386C0A" w:rsidRPr="00C7325E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7325E">
        <w:rPr>
          <w:bCs/>
          <w:sz w:val="24"/>
          <w:szCs w:val="24"/>
        </w:rPr>
        <w:t xml:space="preserve">6. </w:t>
      </w:r>
      <w:r>
        <w:rPr>
          <w:bCs/>
          <w:sz w:val="24"/>
          <w:szCs w:val="24"/>
        </w:rPr>
        <w:t>П</w:t>
      </w:r>
      <w:r w:rsidRPr="00C7325E">
        <w:rPr>
          <w:bCs/>
          <w:sz w:val="24"/>
          <w:szCs w:val="24"/>
        </w:rPr>
        <w:t>остановление вступает в силу после дня его официального опубликования.</w:t>
      </w: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4"/>
          <w:szCs w:val="24"/>
        </w:rPr>
      </w:pP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4"/>
          <w:szCs w:val="24"/>
        </w:rPr>
      </w:pPr>
    </w:p>
    <w:p w:rsidR="00390361" w:rsidRPr="00C7325E" w:rsidRDefault="00390361" w:rsidP="00390361">
      <w:pPr>
        <w:tabs>
          <w:tab w:val="left" w:pos="1276"/>
        </w:tabs>
        <w:autoSpaceDE w:val="0"/>
        <w:autoSpaceDN w:val="0"/>
        <w:adjustRightInd w:val="0"/>
        <w:spacing w:line="288" w:lineRule="auto"/>
        <w:rPr>
          <w:b/>
          <w:bCs/>
          <w:sz w:val="24"/>
          <w:szCs w:val="24"/>
        </w:rPr>
        <w:sectPr w:rsidR="00390361" w:rsidRPr="00C7325E" w:rsidSect="00861A5B">
          <w:pgSz w:w="11905" w:h="16840"/>
          <w:pgMar w:top="851" w:right="848" w:bottom="992" w:left="993" w:header="0" w:footer="0" w:gutter="0"/>
          <w:cols w:space="720"/>
          <w:noEndnote/>
          <w:docGrid w:linePitch="299"/>
        </w:sectPr>
      </w:pPr>
    </w:p>
    <w:p w:rsidR="00390361" w:rsidRPr="007E5923" w:rsidRDefault="00390361" w:rsidP="00390361">
      <w:pPr>
        <w:tabs>
          <w:tab w:val="left" w:pos="1276"/>
        </w:tabs>
        <w:autoSpaceDE w:val="0"/>
        <w:autoSpaceDN w:val="0"/>
        <w:adjustRightInd w:val="0"/>
        <w:spacing w:line="288" w:lineRule="auto"/>
        <w:jc w:val="both"/>
        <w:rPr>
          <w:b/>
          <w:bCs/>
          <w:sz w:val="24"/>
          <w:szCs w:val="24"/>
        </w:rPr>
      </w:pPr>
    </w:p>
    <w:p w:rsidR="00390361" w:rsidRPr="007E5923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</w:t>
      </w:r>
      <w:r w:rsidRPr="007E5923">
        <w:rPr>
          <w:bCs/>
          <w:sz w:val="24"/>
          <w:szCs w:val="24"/>
        </w:rPr>
        <w:t xml:space="preserve"> 1 </w:t>
      </w:r>
    </w:p>
    <w:p w:rsidR="00386C0A" w:rsidRPr="007E5923" w:rsidRDefault="00386C0A" w:rsidP="00386C0A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p w:rsidR="00386C0A" w:rsidRPr="007E5923" w:rsidRDefault="00386C0A" w:rsidP="00386C0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E5923">
        <w:rPr>
          <w:b/>
          <w:bCs/>
          <w:sz w:val="24"/>
          <w:szCs w:val="24"/>
        </w:rPr>
        <w:t>1. 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не связанных со строительством объектов электросетевого хозяйства</w:t>
      </w:r>
      <w:r w:rsidRPr="007E5923">
        <w:t xml:space="preserve"> </w:t>
      </w:r>
      <w:r w:rsidRPr="007E5923">
        <w:rPr>
          <w:b/>
          <w:bCs/>
          <w:sz w:val="24"/>
          <w:szCs w:val="24"/>
        </w:rPr>
        <w:t>и обеспечением средствами коммерческого учета электрической энергии, исключая потребителей, указанных в пункте 2 настоящего приложения</w:t>
      </w:r>
    </w:p>
    <w:p w:rsidR="00386C0A" w:rsidRPr="007E5923" w:rsidRDefault="00386C0A" w:rsidP="00386C0A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1180"/>
        <w:gridCol w:w="10732"/>
        <w:gridCol w:w="3119"/>
      </w:tblGrid>
      <w:tr w:rsidR="00386C0A" w:rsidRPr="00CB3A9E" w:rsidTr="00730C62">
        <w:trPr>
          <w:trHeight w:val="12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 xml:space="preserve">№ </w:t>
            </w:r>
            <w:proofErr w:type="gramStart"/>
            <w:r w:rsidRPr="00CB3A9E">
              <w:rPr>
                <w:sz w:val="24"/>
                <w:szCs w:val="24"/>
              </w:rPr>
              <w:t>п</w:t>
            </w:r>
            <w:proofErr w:type="gramEnd"/>
            <w:r w:rsidRPr="00CB3A9E">
              <w:rPr>
                <w:sz w:val="24"/>
                <w:szCs w:val="24"/>
              </w:rPr>
              <w:t>/п</w:t>
            </w:r>
          </w:p>
        </w:tc>
        <w:tc>
          <w:tcPr>
            <w:tcW w:w="10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Наименование стандартизированной тарифной  ставки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Размер стандартизированной тарифной ставки, руб. за одно присоединение (без НДС)</w:t>
            </w:r>
          </w:p>
        </w:tc>
      </w:tr>
      <w:tr w:rsidR="00386C0A" w:rsidRPr="00CB3A9E" w:rsidTr="00730C62">
        <w:trPr>
          <w:trHeight w:val="4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 xml:space="preserve">37 </w:t>
            </w:r>
            <w:r>
              <w:rPr>
                <w:sz w:val="24"/>
                <w:szCs w:val="24"/>
              </w:rPr>
              <w:t>884</w:t>
            </w:r>
            <w:r w:rsidRPr="00CB3A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05</w:t>
            </w:r>
          </w:p>
        </w:tc>
      </w:tr>
      <w:tr w:rsidR="00386C0A" w:rsidRPr="00CB3A9E" w:rsidTr="00730C62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>.1 - Подготовка и выдача сетевой организацией технических условий Заявителю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981</w:t>
            </w:r>
            <w:r w:rsidRPr="00CB3A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</w:tr>
      <w:tr w:rsidR="00386C0A" w:rsidRPr="00CB3A9E" w:rsidTr="00730C62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>.2 - Проверка сетевой организацией выполнения Заявителем технических условий в следующей дифференциации: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 xml:space="preserve">26 </w:t>
            </w:r>
            <w:r>
              <w:rPr>
                <w:sz w:val="24"/>
                <w:szCs w:val="24"/>
              </w:rPr>
              <w:t>902</w:t>
            </w:r>
            <w:r w:rsidRPr="00CB3A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</w:p>
        </w:tc>
      </w:tr>
      <w:tr w:rsidR="00386C0A" w:rsidRPr="00CB3A9E" w:rsidTr="00730C62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1.2.1.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>.2.1 - Выдача сетевой организацией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-</w:t>
            </w:r>
          </w:p>
        </w:tc>
      </w:tr>
      <w:tr w:rsidR="00386C0A" w:rsidRPr="00CB3A9E" w:rsidTr="00730C62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1.2.2.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CB3A9E" w:rsidRDefault="00386C0A" w:rsidP="00730C62">
            <w:pPr>
              <w:jc w:val="both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>С</w:t>
            </w:r>
            <w:proofErr w:type="gramStart"/>
            <w:r w:rsidRPr="00CB3A9E">
              <w:rPr>
                <w:sz w:val="24"/>
                <w:szCs w:val="24"/>
              </w:rPr>
              <w:t>1</w:t>
            </w:r>
            <w:proofErr w:type="gramEnd"/>
            <w:r w:rsidRPr="00CB3A9E">
              <w:rPr>
                <w:sz w:val="24"/>
                <w:szCs w:val="24"/>
              </w:rPr>
              <w:t>.2.2 - Проверка сетевой организацией выполнения технических условий Заявителями, указанными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CB3A9E" w:rsidRDefault="00386C0A" w:rsidP="00730C62">
            <w:pPr>
              <w:jc w:val="center"/>
              <w:rPr>
                <w:sz w:val="24"/>
                <w:szCs w:val="24"/>
              </w:rPr>
            </w:pPr>
            <w:r w:rsidRPr="00CB3A9E">
              <w:rPr>
                <w:sz w:val="24"/>
                <w:szCs w:val="24"/>
              </w:rPr>
              <w:t xml:space="preserve">26 </w:t>
            </w:r>
            <w:r>
              <w:rPr>
                <w:sz w:val="24"/>
                <w:szCs w:val="24"/>
              </w:rPr>
              <w:t>902</w:t>
            </w:r>
            <w:r w:rsidRPr="00CB3A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</w:p>
        </w:tc>
      </w:tr>
    </w:tbl>
    <w:p w:rsidR="00386C0A" w:rsidRPr="00CB3A9E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386C0A" w:rsidRPr="00CB3A9E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B3A9E">
        <w:rPr>
          <w:bCs/>
        </w:rPr>
        <w:t>Примечание:</w:t>
      </w:r>
    </w:p>
    <w:p w:rsidR="00390361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B3A9E">
        <w:rPr>
          <w:bCs/>
        </w:rPr>
        <w:t>Стандартизированные тарифные ставки применяются для постоянной схемы электроснабжения и для временной схемы электроснабжения, в том числе для обеспечения электрической энергией передвижных энергопринимающих устройств с максимальной мощностью до 150 к</w:t>
      </w:r>
      <w:proofErr w:type="gramStart"/>
      <w:r w:rsidRPr="00CB3A9E">
        <w:rPr>
          <w:bCs/>
        </w:rPr>
        <w:t>Вт вкл</w:t>
      </w:r>
      <w:proofErr w:type="gramEnd"/>
      <w:r w:rsidRPr="00CB3A9E">
        <w:rPr>
          <w:bCs/>
        </w:rPr>
        <w:t>ючительно (с учетом мощности ранее присоединенных в данной точке присоединения энергопринимающих устройств).</w:t>
      </w:r>
    </w:p>
    <w:p w:rsidR="008E0921" w:rsidRPr="00F26F9C" w:rsidRDefault="008E0921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  <w:color w:val="FF0000"/>
        </w:rPr>
        <w:sectPr w:rsidR="008E0921" w:rsidRPr="00F26F9C" w:rsidSect="00861A5B">
          <w:endnotePr>
            <w:numFmt w:val="decimal"/>
          </w:endnotePr>
          <w:pgSz w:w="16840" w:h="11907" w:orient="landscape"/>
          <w:pgMar w:top="1134" w:right="567" w:bottom="709" w:left="992" w:header="720" w:footer="720" w:gutter="0"/>
          <w:cols w:space="720"/>
          <w:titlePg/>
        </w:sectPr>
      </w:pPr>
      <w:bookmarkStart w:id="1" w:name="_GoBack"/>
      <w:bookmarkEnd w:id="1"/>
    </w:p>
    <w:p w:rsidR="00386C0A" w:rsidRPr="00A10807" w:rsidRDefault="00386C0A" w:rsidP="00386C0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0807">
        <w:rPr>
          <w:b/>
          <w:bCs/>
          <w:sz w:val="24"/>
          <w:szCs w:val="24"/>
        </w:rPr>
        <w:lastRenderedPageBreak/>
        <w:t>2. Стандартизированные тарифные ставки для расчета платы за технологическое присоединение энергопринимающих устройств потребителей, указанных в пунктах 12(1), 13(2) – 13(5), 14 Правил технологического присоединения, к электрическим сетям территориальных сетевых организаций Ивановской области на покрытие расходов, не связанных со строительством объектов электросетевого хозяйства</w:t>
      </w:r>
      <w:r w:rsidRPr="00A10807">
        <w:t xml:space="preserve"> </w:t>
      </w:r>
      <w:r w:rsidRPr="00A10807">
        <w:rPr>
          <w:b/>
          <w:bCs/>
          <w:sz w:val="24"/>
          <w:szCs w:val="24"/>
        </w:rPr>
        <w:t>и обеспечением средствами коммерческого учета электрической энергии *</w:t>
      </w:r>
    </w:p>
    <w:p w:rsidR="00386C0A" w:rsidRPr="00A10807" w:rsidRDefault="00386C0A" w:rsidP="00386C0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031" w:type="dxa"/>
        <w:tblInd w:w="103" w:type="dxa"/>
        <w:tblLook w:val="04A0" w:firstRow="1" w:lastRow="0" w:firstColumn="1" w:lastColumn="0" w:noHBand="0" w:noVBand="1"/>
      </w:tblPr>
      <w:tblGrid>
        <w:gridCol w:w="1180"/>
        <w:gridCol w:w="10732"/>
        <w:gridCol w:w="3119"/>
      </w:tblGrid>
      <w:tr w:rsidR="00386C0A" w:rsidRPr="00A10807" w:rsidTr="00730C62">
        <w:trPr>
          <w:trHeight w:val="12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 xml:space="preserve">№ </w:t>
            </w:r>
            <w:proofErr w:type="gramStart"/>
            <w:r w:rsidRPr="00A10807">
              <w:rPr>
                <w:sz w:val="24"/>
                <w:szCs w:val="24"/>
              </w:rPr>
              <w:t>п</w:t>
            </w:r>
            <w:proofErr w:type="gramEnd"/>
            <w:r w:rsidRPr="00A10807">
              <w:rPr>
                <w:sz w:val="24"/>
                <w:szCs w:val="24"/>
              </w:rPr>
              <w:t>/п</w:t>
            </w:r>
          </w:p>
        </w:tc>
        <w:tc>
          <w:tcPr>
            <w:tcW w:w="10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Наименование стандартизированной тарифной ставки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Размер стандартизированной тарифной ставки, руб. за одно присоединение (без НДС)</w:t>
            </w:r>
          </w:p>
        </w:tc>
      </w:tr>
      <w:tr w:rsidR="00386C0A" w:rsidRPr="00A10807" w:rsidTr="00730C62">
        <w:trPr>
          <w:trHeight w:val="4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 xml:space="preserve">14 </w:t>
            </w:r>
            <w:r>
              <w:rPr>
                <w:sz w:val="24"/>
                <w:szCs w:val="24"/>
              </w:rPr>
              <w:t>458</w:t>
            </w:r>
            <w:r w:rsidRPr="00A108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</w:tr>
      <w:tr w:rsidR="00386C0A" w:rsidRPr="00A10807" w:rsidTr="00730C62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>.1 - Подготовка и выдача сетевой организацией технических условий заявителю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981</w:t>
            </w:r>
            <w:r w:rsidRPr="00A108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</w:tr>
      <w:tr w:rsidR="00386C0A" w:rsidRPr="00A10807" w:rsidTr="00730C62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>.2 - Проверка сетевой организацией выполнения заявителем технических условий в следующей дифференциации: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476</w:t>
            </w:r>
            <w:r w:rsidRPr="00A108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</w:t>
            </w:r>
          </w:p>
        </w:tc>
      </w:tr>
      <w:tr w:rsidR="00386C0A" w:rsidRPr="00A10807" w:rsidTr="00730C62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1.2.1.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>.2.1 - Выдача сетевой организацией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476</w:t>
            </w:r>
            <w:r w:rsidRPr="00A108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</w:t>
            </w:r>
          </w:p>
        </w:tc>
      </w:tr>
      <w:tr w:rsidR="00386C0A" w:rsidRPr="00A10807" w:rsidTr="00730C62">
        <w:trPr>
          <w:trHeight w:val="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1.2.2.</w:t>
            </w:r>
          </w:p>
        </w:tc>
        <w:tc>
          <w:tcPr>
            <w:tcW w:w="10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A10807" w:rsidRDefault="00386C0A" w:rsidP="00730C62">
            <w:pPr>
              <w:jc w:val="both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С</w:t>
            </w:r>
            <w:proofErr w:type="gramStart"/>
            <w:r w:rsidRPr="00A10807">
              <w:rPr>
                <w:sz w:val="24"/>
                <w:szCs w:val="24"/>
              </w:rPr>
              <w:t>1</w:t>
            </w:r>
            <w:proofErr w:type="gramEnd"/>
            <w:r w:rsidRPr="00A10807">
              <w:rPr>
                <w:sz w:val="24"/>
                <w:szCs w:val="24"/>
              </w:rPr>
              <w:t>.2.2 - Проверка сетевой организацией выполнения технических условий Заявителями, указанными в абзаце седьмом пункта 24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A10807" w:rsidRDefault="00386C0A" w:rsidP="00730C62">
            <w:pPr>
              <w:jc w:val="center"/>
              <w:rPr>
                <w:sz w:val="24"/>
                <w:szCs w:val="24"/>
              </w:rPr>
            </w:pPr>
            <w:r w:rsidRPr="00A10807">
              <w:rPr>
                <w:sz w:val="24"/>
                <w:szCs w:val="24"/>
              </w:rPr>
              <w:t>-</w:t>
            </w:r>
          </w:p>
        </w:tc>
      </w:tr>
    </w:tbl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Примечание:</w:t>
      </w:r>
    </w:p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*Стандартизированная тарифная ставка (С 1) применяется в отношении:</w:t>
      </w:r>
    </w:p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</w:t>
      </w:r>
      <w:proofErr w:type="gramStart"/>
      <w:r w:rsidRPr="00A10807">
        <w:rPr>
          <w:bCs/>
        </w:rPr>
        <w:t>Вт вкл</w:t>
      </w:r>
      <w:proofErr w:type="gramEnd"/>
      <w:r w:rsidRPr="00A10807">
        <w:rPr>
          <w:bCs/>
        </w:rPr>
        <w:t>ючительно (с учетом ранее присоединенных в данной точке присоединения энергопринимающих устройств),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10807">
        <w:rPr>
          <w:bCs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если технологическое присоединение энергопринимающих устройств таких заявителей осуществляется на уровне напряжения 0,4 кВ и</w:t>
      </w:r>
      <w:proofErr w:type="gramEnd"/>
      <w:r w:rsidRPr="00A10807">
        <w:rPr>
          <w:bCs/>
        </w:rPr>
        <w:t xml:space="preserve"> ниже;</w:t>
      </w:r>
    </w:p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юридических лиц или индивидуальных предпринимателей в целях технологического присоединения объектов микрогенерации к объектам электросетевого хозяйства с уровнем напряжения до 1000</w:t>
      </w:r>
      <w:proofErr w:type="gramStart"/>
      <w:r w:rsidRPr="00A10807">
        <w:rPr>
          <w:bCs/>
        </w:rPr>
        <w:t xml:space="preserve"> В</w:t>
      </w:r>
      <w:proofErr w:type="gramEnd"/>
      <w:r w:rsidRPr="00A10807">
        <w:rPr>
          <w:bCs/>
        </w:rPr>
        <w:t>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юридических лиц или индивидуальных предпринимателей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A10807">
        <w:rPr>
          <w:bCs/>
        </w:rPr>
        <w:t xml:space="preserve"> В</w:t>
      </w:r>
      <w:proofErr w:type="gramEnd"/>
      <w:r w:rsidRPr="00A10807">
        <w:rPr>
          <w:bCs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</w:t>
      </w:r>
      <w:r w:rsidRPr="00A10807">
        <w:rPr>
          <w:bCs/>
        </w:rPr>
        <w:lastRenderedPageBreak/>
        <w:t>данной точке присоединения энергопринимающих устройств), электроснабжение которых предусматривается по одному источнику, и объектов микрогенерации,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физических лиц в целях технологического присоединения объекта микрогенерации к объектам электросетевого хозяйства с уровнем напряжения до 1000</w:t>
      </w:r>
      <w:proofErr w:type="gramStart"/>
      <w:r w:rsidRPr="00A10807">
        <w:rPr>
          <w:bCs/>
        </w:rPr>
        <w:t xml:space="preserve"> В</w:t>
      </w:r>
      <w:proofErr w:type="gramEnd"/>
      <w:r w:rsidRPr="00A10807">
        <w:rPr>
          <w:bCs/>
        </w:rPr>
        <w:t>, если технологическое присоединение энергопринимающих устройств таких заявителей осуществляется на уровне напряжения 0,4 кВ и ниже;</w:t>
      </w:r>
    </w:p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A10807">
        <w:rPr>
          <w:bCs/>
        </w:rPr>
        <w:t>- физических лиц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A10807">
        <w:rPr>
          <w:bCs/>
        </w:rPr>
        <w:t xml:space="preserve"> В</w:t>
      </w:r>
      <w:proofErr w:type="gramEnd"/>
      <w:r w:rsidRPr="00A10807">
        <w:rPr>
          <w:bCs/>
        </w:rPr>
        <w:t xml:space="preserve">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микрогенерации, если технологическое присоединение энергопринимающих устройств таких заявителей осуществляется на </w:t>
      </w:r>
      <w:proofErr w:type="gramStart"/>
      <w:r w:rsidRPr="00A10807">
        <w:rPr>
          <w:bCs/>
        </w:rPr>
        <w:t>уровне</w:t>
      </w:r>
      <w:proofErr w:type="gramEnd"/>
      <w:r w:rsidRPr="00A10807">
        <w:rPr>
          <w:bCs/>
        </w:rPr>
        <w:t xml:space="preserve"> напряжения 0,4 кВ и ниже.</w:t>
      </w:r>
    </w:p>
    <w:p w:rsidR="00386C0A" w:rsidRPr="00A10807" w:rsidRDefault="00386C0A" w:rsidP="00386C0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A10807">
        <w:rPr>
          <w:bCs/>
        </w:rPr>
        <w:t xml:space="preserve">Стандартизированные тарифные ставки применяются для постоянной схемы электроснабжения. </w:t>
      </w:r>
    </w:p>
    <w:p w:rsidR="00386C0A" w:rsidRPr="00A10807" w:rsidRDefault="00386C0A" w:rsidP="00386C0A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  <w:sectPr w:rsidR="00386C0A" w:rsidRPr="00A10807" w:rsidSect="00397F8D">
          <w:pgSz w:w="16840" w:h="11905" w:orient="landscape"/>
          <w:pgMar w:top="567" w:right="851" w:bottom="1134" w:left="992" w:header="0" w:footer="0" w:gutter="0"/>
          <w:cols w:space="720"/>
          <w:noEndnote/>
          <w:docGrid w:linePitch="299"/>
        </w:sectPr>
      </w:pPr>
    </w:p>
    <w:p w:rsidR="00390361" w:rsidRPr="0020059A" w:rsidRDefault="00390361" w:rsidP="00390361">
      <w:pPr>
        <w:tabs>
          <w:tab w:val="left" w:pos="1276"/>
        </w:tabs>
        <w:autoSpaceDE w:val="0"/>
        <w:autoSpaceDN w:val="0"/>
        <w:adjustRightInd w:val="0"/>
        <w:ind w:firstLine="567"/>
        <w:rPr>
          <w:bCs/>
        </w:rPr>
      </w:pPr>
    </w:p>
    <w:p w:rsidR="00390361" w:rsidRPr="0020059A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</w:t>
      </w:r>
      <w:r w:rsidRPr="0020059A">
        <w:rPr>
          <w:bCs/>
          <w:sz w:val="24"/>
          <w:szCs w:val="24"/>
        </w:rPr>
        <w:t xml:space="preserve"> 2 </w:t>
      </w:r>
    </w:p>
    <w:p w:rsidR="00390361" w:rsidRPr="0020059A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p w:rsidR="00386C0A" w:rsidRPr="0020059A" w:rsidRDefault="00386C0A" w:rsidP="00386C0A">
      <w:pPr>
        <w:tabs>
          <w:tab w:val="left" w:pos="1276"/>
        </w:tabs>
        <w:autoSpaceDE w:val="0"/>
        <w:autoSpaceDN w:val="0"/>
        <w:adjustRightInd w:val="0"/>
        <w:ind w:left="142"/>
        <w:jc w:val="center"/>
        <w:rPr>
          <w:b/>
          <w:bCs/>
          <w:sz w:val="24"/>
          <w:szCs w:val="24"/>
        </w:rPr>
      </w:pPr>
      <w:r w:rsidRPr="0020059A">
        <w:rPr>
          <w:b/>
          <w:bCs/>
          <w:sz w:val="24"/>
          <w:szCs w:val="24"/>
        </w:rPr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  <w:r w:rsidRPr="0020059A">
        <w:t xml:space="preserve"> </w:t>
      </w:r>
      <w:r w:rsidRPr="0020059A">
        <w:rPr>
          <w:b/>
          <w:bCs/>
          <w:sz w:val="24"/>
          <w:szCs w:val="24"/>
        </w:rPr>
        <w:t>и обеспечением средствами коммерческого учета электрической энергии</w:t>
      </w:r>
    </w:p>
    <w:p w:rsidR="00386C0A" w:rsidRPr="0020059A" w:rsidRDefault="00386C0A" w:rsidP="00386C0A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0"/>
        <w:gridCol w:w="4628"/>
        <w:gridCol w:w="2480"/>
        <w:gridCol w:w="2620"/>
      </w:tblGrid>
      <w:tr w:rsidR="00386C0A" w:rsidRPr="00C05FB2" w:rsidTr="00730C62">
        <w:trPr>
          <w:trHeight w:val="855"/>
        </w:trPr>
        <w:tc>
          <w:tcPr>
            <w:tcW w:w="1120" w:type="dxa"/>
            <w:vMerge w:val="restart"/>
            <w:noWrap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№ п/п</w:t>
            </w:r>
          </w:p>
        </w:tc>
        <w:tc>
          <w:tcPr>
            <w:tcW w:w="5280" w:type="dxa"/>
            <w:vMerge w:val="restart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Наименование</w:t>
            </w:r>
          </w:p>
        </w:tc>
        <w:tc>
          <w:tcPr>
            <w:tcW w:w="5100" w:type="dxa"/>
            <w:gridSpan w:val="2"/>
            <w:noWrap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 xml:space="preserve">Размер </w:t>
            </w:r>
            <w:r w:rsidRPr="00C05FB2">
              <w:rPr>
                <w:lang w:val="ru-RU"/>
              </w:rPr>
              <w:t>стандартизированной</w:t>
            </w:r>
            <w:r w:rsidRPr="00C05FB2">
              <w:t xml:space="preserve"> </w:t>
            </w:r>
            <w:r w:rsidRPr="00C05FB2">
              <w:rPr>
                <w:lang w:val="ru-RU"/>
              </w:rPr>
              <w:t>тарифной ставки</w:t>
            </w:r>
          </w:p>
        </w:tc>
      </w:tr>
      <w:tr w:rsidR="00386C0A" w:rsidRPr="00C05FB2" w:rsidTr="00730C62">
        <w:trPr>
          <w:trHeight w:val="1485"/>
        </w:trPr>
        <w:tc>
          <w:tcPr>
            <w:tcW w:w="1120" w:type="dxa"/>
            <w:vMerge/>
            <w:vAlign w:val="center"/>
            <w:hideMark/>
          </w:tcPr>
          <w:p w:rsidR="00386C0A" w:rsidRPr="00C05FB2" w:rsidRDefault="00386C0A" w:rsidP="00730C62">
            <w:pPr>
              <w:jc w:val="center"/>
            </w:pPr>
          </w:p>
        </w:tc>
        <w:tc>
          <w:tcPr>
            <w:tcW w:w="5280" w:type="dxa"/>
            <w:vMerge/>
            <w:vAlign w:val="center"/>
            <w:hideMark/>
          </w:tcPr>
          <w:p w:rsidR="00386C0A" w:rsidRPr="00C05FB2" w:rsidRDefault="00386C0A" w:rsidP="00730C62">
            <w:pPr>
              <w:jc w:val="center"/>
            </w:pP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  <w:rPr>
                <w:lang w:val="ru-RU"/>
              </w:rPr>
            </w:pPr>
            <w:r w:rsidRPr="00C05FB2">
              <w:rPr>
                <w:lang w:val="ru-RU"/>
              </w:rPr>
              <w:t>Уровень напряжения для С</w:t>
            </w:r>
            <w:proofErr w:type="gramStart"/>
            <w:r w:rsidRPr="00C05FB2">
              <w:rPr>
                <w:lang w:val="ru-RU"/>
              </w:rPr>
              <w:t>2</w:t>
            </w:r>
            <w:proofErr w:type="gramEnd"/>
            <w:r w:rsidRPr="00C05FB2">
              <w:rPr>
                <w:lang w:val="ru-RU"/>
              </w:rPr>
              <w:t>, С3, С4, С8 - 0,4 кВ и ниже; для С5 - 6/0,4 кВ, 10/0,4 кВ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  <w:rPr>
                <w:lang w:val="ru-RU"/>
              </w:rPr>
            </w:pPr>
            <w:r w:rsidRPr="00C05FB2">
              <w:rPr>
                <w:lang w:val="ru-RU"/>
              </w:rPr>
              <w:t>Уровень напряжения для С</w:t>
            </w:r>
            <w:proofErr w:type="gramStart"/>
            <w:r w:rsidRPr="00C05FB2">
              <w:rPr>
                <w:lang w:val="ru-RU"/>
              </w:rPr>
              <w:t>2</w:t>
            </w:r>
            <w:proofErr w:type="gramEnd"/>
            <w:r w:rsidRPr="00C05FB2">
              <w:rPr>
                <w:lang w:val="ru-RU"/>
              </w:rPr>
              <w:t>, С4, С8 - 1-20 кВ; для С3 - 1-10 кВ; для С5 - 6/0,4 кВ, 10/0,4 кВ; для С6 - 6(10)/0,4 кВ; для С7 - 35/6(10) кВ</w:t>
            </w:r>
          </w:p>
        </w:tc>
      </w:tr>
      <w:tr w:rsidR="00386C0A" w:rsidRPr="00C05FB2" w:rsidTr="00730C62">
        <w:trPr>
          <w:trHeight w:val="63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  <w:rPr>
                <w:b/>
                <w:bCs/>
              </w:rPr>
            </w:pPr>
            <w:r w:rsidRPr="00C05FB2">
              <w:rPr>
                <w:b/>
                <w:bCs/>
              </w:rPr>
              <w:t>2.</w:t>
            </w:r>
          </w:p>
        </w:tc>
        <w:tc>
          <w:tcPr>
            <w:tcW w:w="10380" w:type="dxa"/>
            <w:gridSpan w:val="3"/>
            <w:hideMark/>
          </w:tcPr>
          <w:p w:rsidR="00386C0A" w:rsidRPr="00C05FB2" w:rsidRDefault="00386C0A" w:rsidP="00730C62">
            <w:pPr>
              <w:jc w:val="both"/>
              <w:rPr>
                <w:b/>
                <w:bCs/>
                <w:lang w:val="ru-RU"/>
              </w:rPr>
            </w:pPr>
            <w:r w:rsidRPr="00C05FB2">
              <w:rPr>
                <w:b/>
                <w:bCs/>
                <w:lang w:val="ru-RU"/>
              </w:rPr>
              <w:t>С</w:t>
            </w:r>
            <w:proofErr w:type="gramStart"/>
            <w:r w:rsidRPr="00C05FB2">
              <w:rPr>
                <w:b/>
                <w:bCs/>
                <w:lang w:val="ru-RU"/>
              </w:rPr>
              <w:t>2</w:t>
            </w:r>
            <w:proofErr w:type="gramEnd"/>
            <w:r w:rsidRPr="00C05FB2">
              <w:rPr>
                <w:b/>
                <w:bCs/>
                <w:lang w:val="ru-RU"/>
              </w:rPr>
              <w:t xml:space="preserve"> – стандартизированная тарифная ставка на покрытие расходов сетевой организации на строительство воздушных линий электропередачи, руб./км без НДС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2.1.1.4.1.1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деревянных опорах изолированным алюминиевым проводом сечением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615 084,74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2.1.1.4.2.1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деревянных опорах изолированным алюминиевым проводом сечением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2.1.1.4.3.1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деревянных опорах изолированным алюминиевым проводом сечением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2.3.1.4.1.1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1 278 857,23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2 505 472,33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2.3.1.4.1.2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двухцепные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45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2.3.1.4.2.1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1 358 108,31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3 016 042,78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2.3.1.4.2.2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двухцепные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2 510 463,53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2.3.1.4.3.1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1 434 852,39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2.3.1.4.3.2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двухцепные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lastRenderedPageBreak/>
              <w:t>2.3.1.4.4.1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изолированным алюминиевым проводом сечением от 200 до 500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2.3.2.3.1.1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неизолированным сталеалюминиевым проводом сечением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2 973 876,29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2.3.2.3.2.1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неизолированным сталеалюминиевым проводом сечением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2.3.2.3.3.1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неизолированным сталеалюминиевым проводом сечением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2.3.2.3.4.1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неизолированным сталеалюминиевым проводом сечением от 200 до 500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2.3.2.4.1.1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неизолированным алюминиевым проводом сечением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1 098 678,72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2.3.2.4.2.1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неизолированным алюминиевым проводом сечением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2.3.2.4.3.1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неизолированным алюминиевым проводом сечением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2.3.2.4.4.1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воздушные линии на железобетонных опорах неизолированным алюминиевым проводом сечением от 200 до 500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одноцепные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675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86C0A" w:rsidRPr="00C05FB2" w:rsidRDefault="00386C0A" w:rsidP="00730C62">
            <w:pPr>
              <w:jc w:val="center"/>
              <w:rPr>
                <w:b/>
                <w:bCs/>
                <w:lang w:val="ru-RU"/>
              </w:rPr>
            </w:pPr>
            <w:r w:rsidRPr="00C05FB2">
              <w:rPr>
                <w:b/>
                <w:bCs/>
                <w:lang w:val="ru-RU"/>
              </w:rPr>
              <w:t>С3 – стандартизированная тарифная ставка на покрытие расходов сетевой организации на строительство кабельных линий электропередачи, руб./км без НДС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1 327 857,22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3.1.2.1.1.2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lastRenderedPageBreak/>
              <w:t>3.1.2.1.2.2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1 602 252,82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2 229 129,11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3.1.2.1.3.2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2 339 972,52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2 584 860,55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3.1.2.1.3.3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тремя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3.1.2.1.4.1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3.1.2.1.4.2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3 196 086,38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3.1.2.1.4.4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 с четырьмя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3.1.2.2.1.1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2 378 845,66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3.1.2.2.2.1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2 569 293,40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3.1.2.2.2.2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3 060 803,04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3.1.2.2.3.1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3 841 338,10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3.1.2.2.3.2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lastRenderedPageBreak/>
              <w:t>3.1.2.2.3.4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четырьмя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3.1.2.2.4.1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одним кабелем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3.1.2.2.4.2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4 071 267,15</w:t>
            </w:r>
          </w:p>
        </w:tc>
      </w:tr>
      <w:tr w:rsidR="00386C0A" w:rsidRPr="00C05FB2" w:rsidTr="00730C62">
        <w:trPr>
          <w:trHeight w:val="12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3.1.2.2.4.4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 в траншеях многожильные с бумажной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четырьмя кабелями в траншее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3.6.2.1.1.1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3.6.2.1.2.1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3.6.2.1.2.2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3.6.2.1.3.1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3.6.2.1.3.2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4 847 799,84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3.6.2.1.3.4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lastRenderedPageBreak/>
              <w:t>3.6.2.1.4.1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3.6.2.1.4.2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3.6.2.1.4.4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резиновой или пластмассовой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3.6.2.2.1.2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до 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8 977 127,79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3.6.2.2.2.2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3.6.2.2.2.4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9 354 115,31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lastRenderedPageBreak/>
              <w:t>3.6.2.2.3.2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двумя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3.6.2.2.3.4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100 до 200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3.6.2.2.4.1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одной трубой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5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3.6.2.2.4.4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 xml:space="preserve">кабельные линии, прокладываемые путем горизонтального наклонного бурения, многожильные с бумажной изоляцией сечением провода от 200 до 250 квадратных </w:t>
            </w:r>
            <w:proofErr w:type="gramStart"/>
            <w:r w:rsidRPr="00C05FB2">
              <w:rPr>
                <w:lang w:val="ru-RU"/>
              </w:rPr>
              <w:t>мм</w:t>
            </w:r>
            <w:proofErr w:type="gramEnd"/>
            <w:r w:rsidRPr="00C05FB2">
              <w:rPr>
                <w:lang w:val="ru-RU"/>
              </w:rPr>
              <w:t xml:space="preserve"> включительно с четырьмя трубами в скважине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645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4.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86C0A" w:rsidRPr="00C05FB2" w:rsidRDefault="00386C0A" w:rsidP="00730C62">
            <w:pPr>
              <w:jc w:val="center"/>
              <w:rPr>
                <w:b/>
                <w:bCs/>
                <w:lang w:val="ru-RU"/>
              </w:rPr>
            </w:pPr>
            <w:r w:rsidRPr="00C05FB2">
              <w:rPr>
                <w:b/>
                <w:bCs/>
                <w:lang w:val="ru-RU"/>
              </w:rPr>
              <w:t>С</w:t>
            </w:r>
            <w:proofErr w:type="gramStart"/>
            <w:r w:rsidRPr="00C05FB2">
              <w:rPr>
                <w:b/>
                <w:bCs/>
                <w:lang w:val="ru-RU"/>
              </w:rPr>
              <w:t>4</w:t>
            </w:r>
            <w:proofErr w:type="gramEnd"/>
            <w:r w:rsidRPr="00C05FB2">
              <w:rPr>
                <w:b/>
                <w:bCs/>
                <w:lang w:val="ru-RU"/>
              </w:rPr>
              <w:t xml:space="preserve"> – стандартизированная тарифная ставка на покрытие расходов сетевой организации  на строительство пунктов секционирования (реклоузеров, распределительных пунктов, переключательных пунктов), руб./шт. без НДС</w:t>
            </w:r>
          </w:p>
        </w:tc>
      </w:tr>
      <w:tr w:rsidR="00386C0A" w:rsidRPr="00C05FB2" w:rsidTr="00730C62">
        <w:trPr>
          <w:trHeight w:val="645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4.1.1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реклоузеры номинальным током до 100</w:t>
            </w:r>
            <w:proofErr w:type="gramStart"/>
            <w:r w:rsidRPr="00C05FB2">
              <w:rPr>
                <w:lang w:val="ru-RU"/>
              </w:rPr>
              <w:t xml:space="preserve"> А</w:t>
            </w:r>
            <w:proofErr w:type="gramEnd"/>
            <w:r w:rsidRPr="00C05FB2">
              <w:rPr>
                <w:lang w:val="ru-RU"/>
              </w:rPr>
              <w:t xml:space="preserve"> включительно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1 422 861,64</w:t>
            </w:r>
          </w:p>
        </w:tc>
      </w:tr>
      <w:tr w:rsidR="00386C0A" w:rsidRPr="00C05FB2" w:rsidTr="00730C62">
        <w:trPr>
          <w:trHeight w:val="6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4.1.4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реклоузеры номинальным током от 500 до 1000</w:t>
            </w:r>
            <w:proofErr w:type="gramStart"/>
            <w:r w:rsidRPr="00C05FB2">
              <w:rPr>
                <w:lang w:val="ru-RU"/>
              </w:rPr>
              <w:t xml:space="preserve"> А</w:t>
            </w:r>
            <w:proofErr w:type="gramEnd"/>
            <w:r w:rsidRPr="00C05FB2">
              <w:rPr>
                <w:lang w:val="ru-RU"/>
              </w:rPr>
              <w:t xml:space="preserve"> включительно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6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4.2.3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линейные разъединители номинальным током от 250 до 500</w:t>
            </w:r>
            <w:proofErr w:type="gramStart"/>
            <w:r w:rsidRPr="00C05FB2">
              <w:rPr>
                <w:lang w:val="ru-RU"/>
              </w:rPr>
              <w:t xml:space="preserve"> А</w:t>
            </w:r>
            <w:proofErr w:type="gramEnd"/>
            <w:r w:rsidRPr="00C05FB2">
              <w:rPr>
                <w:lang w:val="ru-RU"/>
              </w:rPr>
              <w:t xml:space="preserve"> включительно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35 503,84</w:t>
            </w:r>
          </w:p>
        </w:tc>
      </w:tr>
      <w:tr w:rsidR="00386C0A" w:rsidRPr="00C05FB2" w:rsidTr="00730C62">
        <w:trPr>
          <w:trHeight w:val="945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86C0A" w:rsidRPr="00C05FB2" w:rsidRDefault="00386C0A" w:rsidP="00730C62">
            <w:pPr>
              <w:jc w:val="center"/>
              <w:rPr>
                <w:b/>
                <w:bCs/>
                <w:lang w:val="ru-RU"/>
              </w:rPr>
            </w:pPr>
            <w:r w:rsidRPr="00C05FB2">
              <w:rPr>
                <w:b/>
                <w:bCs/>
                <w:lang w:val="ru-RU"/>
              </w:rPr>
              <w:t>С5 - стандартизированная тарифная ставка на покрытие расходов сетевой организации  на строительство трансформаторных подстанций, за исключением распределительных трансформаторных подстанций (РТП), с уровнем напряжения до 35 кВ руб./кВт без НДС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5.1.1.1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до 25 кВА включительно столбового/мачтового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14 053,18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14 053,18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5.1.2.1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от 25 до 100 кВА включительно столбового/мачтового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13 570,64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13 570,64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5.1.2.2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от 25 до 100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9 462,56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9 462,56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5.1.3.1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от 100 до 250 кВА включительно столбового/мачтового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5.1.3.2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от 100 до 250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5 163,63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5 163,63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lastRenderedPageBreak/>
              <w:t>5.1.4.2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от 250 до 400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5 804,54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5 804,54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5.1.4.3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от 250 до 400 кВА включительно блочного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5.1.5.2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от 400 до 630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2 574,27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2 574,27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5.1.6.2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однотрансформаторные подстанции (за исключением РТП) мощностью от 630  до 1000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5.2.3.2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двухтрансформаторные и более подстанции (за исключением РТП) мощностью от 100 до 250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5 097,98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5 097,98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5.2.4.2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двухтрансформаторные и более подстанции (за исключением РТП) мощностью от 250 до 400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4 874,82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4 874,82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5.2.4.3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двухтрансформаторные и более подстанции (за исключением РТП) мощностью от 250 до 400 кВА включительно блочного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5.2.6.2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двухтрансформаторные и более подстанции (за исключением РТП) мощностью от 630 до 1000 кВА включительно шкафного или киоскового типа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4 340,26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4 340,26</w:t>
            </w:r>
          </w:p>
        </w:tc>
      </w:tr>
      <w:tr w:rsidR="00386C0A" w:rsidRPr="00C05FB2" w:rsidTr="00730C62">
        <w:trPr>
          <w:trHeight w:val="1095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6.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86C0A" w:rsidRPr="00C05FB2" w:rsidRDefault="00386C0A" w:rsidP="00730C62">
            <w:pPr>
              <w:jc w:val="center"/>
              <w:rPr>
                <w:b/>
                <w:bCs/>
                <w:lang w:val="ru-RU"/>
              </w:rPr>
            </w:pPr>
            <w:r w:rsidRPr="00C05FB2">
              <w:rPr>
                <w:b/>
                <w:bCs/>
                <w:lang w:val="ru-RU"/>
              </w:rPr>
              <w:t>С</w:t>
            </w:r>
            <w:proofErr w:type="gramStart"/>
            <w:r w:rsidRPr="00C05FB2">
              <w:rPr>
                <w:b/>
                <w:bCs/>
                <w:lang w:val="ru-RU"/>
              </w:rPr>
              <w:t>6</w:t>
            </w:r>
            <w:proofErr w:type="gramEnd"/>
            <w:r w:rsidRPr="00C05FB2">
              <w:rPr>
                <w:b/>
                <w:bCs/>
                <w:lang w:val="ru-RU"/>
              </w:rPr>
              <w:t xml:space="preserve"> - стандартизированная тарифная ставка на покрытие расходов сетевой организации  на строительство распределительных трансформаторных подстанций  (РТП) с уровнем напряжения до 35 кВ), руб./кВт без НДС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6.2.5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распределительные двухтрансформаторные подстанции мощностью от 400 до 1000 кВА включительно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102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7.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86C0A" w:rsidRPr="00C05FB2" w:rsidRDefault="00386C0A" w:rsidP="00730C62">
            <w:pPr>
              <w:jc w:val="center"/>
              <w:rPr>
                <w:b/>
                <w:bCs/>
                <w:lang w:val="ru-RU"/>
              </w:rPr>
            </w:pPr>
            <w:r w:rsidRPr="00C05FB2">
              <w:rPr>
                <w:b/>
                <w:bCs/>
                <w:lang w:val="ru-RU"/>
              </w:rPr>
              <w:t>С</w:t>
            </w:r>
            <w:proofErr w:type="gramStart"/>
            <w:r w:rsidRPr="00C05FB2">
              <w:rPr>
                <w:b/>
                <w:bCs/>
                <w:lang w:val="ru-RU"/>
              </w:rPr>
              <w:t>7</w:t>
            </w:r>
            <w:proofErr w:type="gramEnd"/>
            <w:r w:rsidRPr="00C05FB2">
              <w:rPr>
                <w:b/>
                <w:bCs/>
                <w:lang w:val="ru-RU"/>
              </w:rPr>
              <w:t xml:space="preserve"> - стандартизированная тарифная ставка на покрытие расходов сетевой организации  на строительство трансформаторных подстанций уровнем напряжения 35 кВ и выше (ПС), руб./кВт без НДС</w:t>
            </w:r>
          </w:p>
        </w:tc>
      </w:tr>
      <w:tr w:rsidR="00386C0A" w:rsidRPr="00C05FB2" w:rsidTr="00730C62">
        <w:trPr>
          <w:trHeight w:val="419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t> 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t> 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705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8.</w:t>
            </w:r>
          </w:p>
        </w:tc>
        <w:tc>
          <w:tcPr>
            <w:tcW w:w="10380" w:type="dxa"/>
            <w:gridSpan w:val="3"/>
            <w:vAlign w:val="center"/>
            <w:hideMark/>
          </w:tcPr>
          <w:p w:rsidR="00386C0A" w:rsidRPr="00C05FB2" w:rsidRDefault="00386C0A" w:rsidP="00730C62">
            <w:pPr>
              <w:jc w:val="center"/>
              <w:rPr>
                <w:b/>
                <w:bCs/>
                <w:lang w:val="ru-RU"/>
              </w:rPr>
            </w:pPr>
            <w:r w:rsidRPr="00C05FB2">
              <w:rPr>
                <w:b/>
                <w:bCs/>
                <w:lang w:val="ru-RU"/>
              </w:rPr>
              <w:t>С8 - стандартизированная тарифная ставка на обеспечение средствами коммерческого учета электрической энергии (мощности), руб. за точку учета (без НДС)</w:t>
            </w:r>
          </w:p>
        </w:tc>
      </w:tr>
      <w:tr w:rsidR="00386C0A" w:rsidRPr="00C05FB2" w:rsidTr="00730C62">
        <w:trPr>
          <w:trHeight w:val="63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8.1.1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20 675,32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6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8.2.1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34 475,21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455 728,72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8.2.2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средства коммерческого учета электрической энергии (мощности) трехфазные полукосвенного включения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50 684,14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</w:tr>
      <w:tr w:rsidR="00386C0A" w:rsidRPr="00C05FB2" w:rsidTr="00730C62">
        <w:trPr>
          <w:trHeight w:val="900"/>
        </w:trPr>
        <w:tc>
          <w:tcPr>
            <w:tcW w:w="1120" w:type="dxa"/>
            <w:noWrap/>
            <w:hideMark/>
          </w:tcPr>
          <w:p w:rsidR="00386C0A" w:rsidRPr="00C05FB2" w:rsidRDefault="00386C0A" w:rsidP="00730C62">
            <w:pPr>
              <w:jc w:val="both"/>
            </w:pPr>
            <w:r w:rsidRPr="00C05FB2">
              <w:t>8.2.3</w:t>
            </w:r>
          </w:p>
        </w:tc>
        <w:tc>
          <w:tcPr>
            <w:tcW w:w="5280" w:type="dxa"/>
            <w:hideMark/>
          </w:tcPr>
          <w:p w:rsidR="00386C0A" w:rsidRPr="00C05FB2" w:rsidRDefault="00386C0A" w:rsidP="00730C62">
            <w:pPr>
              <w:jc w:val="both"/>
              <w:rPr>
                <w:lang w:val="ru-RU"/>
              </w:rPr>
            </w:pPr>
            <w:r w:rsidRPr="00C05FB2">
              <w:rPr>
                <w:lang w:val="ru-RU"/>
              </w:rP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248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Х</w:t>
            </w:r>
          </w:p>
        </w:tc>
        <w:tc>
          <w:tcPr>
            <w:tcW w:w="2620" w:type="dxa"/>
            <w:vAlign w:val="center"/>
            <w:hideMark/>
          </w:tcPr>
          <w:p w:rsidR="00386C0A" w:rsidRPr="00C05FB2" w:rsidRDefault="00386C0A" w:rsidP="00730C62">
            <w:pPr>
              <w:jc w:val="center"/>
            </w:pPr>
            <w:r w:rsidRPr="00C05FB2">
              <w:t>358 467,87</w:t>
            </w:r>
          </w:p>
        </w:tc>
      </w:tr>
    </w:tbl>
    <w:p w:rsidR="00386C0A" w:rsidRPr="008308A5" w:rsidRDefault="00386C0A" w:rsidP="00386C0A">
      <w:pPr>
        <w:jc w:val="both"/>
      </w:pPr>
    </w:p>
    <w:p w:rsidR="00386C0A" w:rsidRPr="008308A5" w:rsidRDefault="00386C0A" w:rsidP="00386C0A">
      <w:pPr>
        <w:ind w:firstLine="567"/>
        <w:jc w:val="both"/>
      </w:pPr>
      <w:r w:rsidRPr="008308A5">
        <w:lastRenderedPageBreak/>
        <w:t>Примечание:</w:t>
      </w:r>
    </w:p>
    <w:p w:rsidR="00386C0A" w:rsidRPr="0003363F" w:rsidRDefault="00386C0A" w:rsidP="00386C0A">
      <w:pPr>
        <w:autoSpaceDE w:val="0"/>
        <w:autoSpaceDN w:val="0"/>
        <w:adjustRightInd w:val="0"/>
        <w:ind w:firstLine="567"/>
        <w:jc w:val="both"/>
      </w:pPr>
      <w:proofErr w:type="gramStart"/>
      <w:r w:rsidRPr="0003363F">
        <w:t>Стандартизированные тарифные ставки на обеспечение средствами коммерческого учета электрической энергии (мощности) предусматривают установку приборов учета, соответствующих требованиям к приборам учета электрической энергии, которые могут быть присоединены к интеллектуальной системе учета электрической энергии (мощности), в соответствии с Правилами предоставления доступа к минимальному набору функций интеллектуальных систем учета электрической энергии (мощности), утвержденными постановлением Правительства Российской Федерации от 19.06.2020 № 890.</w:t>
      </w:r>
      <w:proofErr w:type="gramEnd"/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jc w:val="right"/>
        <w:rPr>
          <w:bCs/>
          <w:sz w:val="24"/>
          <w:szCs w:val="24"/>
        </w:rPr>
        <w:sectPr w:rsidR="00390361" w:rsidRPr="0003363F" w:rsidSect="00861A5B">
          <w:pgSz w:w="11905" w:h="16840"/>
          <w:pgMar w:top="851" w:right="706" w:bottom="992" w:left="567" w:header="0" w:footer="0" w:gutter="0"/>
          <w:cols w:space="720"/>
          <w:noEndnote/>
          <w:docGrid w:linePitch="299"/>
        </w:sectPr>
      </w:pP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Таблица</w:t>
      </w:r>
      <w:r w:rsidRPr="0003363F">
        <w:rPr>
          <w:bCs/>
          <w:sz w:val="24"/>
          <w:szCs w:val="24"/>
        </w:rPr>
        <w:t xml:space="preserve"> 3 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b/>
          <w:bCs/>
          <w:sz w:val="24"/>
          <w:szCs w:val="24"/>
        </w:rPr>
      </w:pPr>
      <w:r w:rsidRPr="0003363F">
        <w:rPr>
          <w:b/>
          <w:bCs/>
          <w:sz w:val="24"/>
          <w:szCs w:val="24"/>
        </w:rPr>
        <w:t>Формулы платы за технологическое присоединение к электрическим сетям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b/>
          <w:bCs/>
          <w:sz w:val="24"/>
          <w:szCs w:val="24"/>
        </w:rPr>
      </w:pPr>
      <w:r w:rsidRPr="0003363F">
        <w:rPr>
          <w:b/>
          <w:bCs/>
          <w:sz w:val="24"/>
          <w:szCs w:val="24"/>
        </w:rPr>
        <w:t>территориальных сетевых организаций Ивановской области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b/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1. Если отсутствует необходимость реализации мероприятий «последней мили»: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П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 xml:space="preserve"> = С1 + С8</w:t>
      </w:r>
      <w:r w:rsidRPr="0003363F">
        <w:rPr>
          <w:bCs/>
          <w:sz w:val="24"/>
          <w:szCs w:val="24"/>
          <w:lang w:val="en-US"/>
        </w:rPr>
        <w:t>s</w:t>
      </w:r>
      <w:r w:rsidRPr="0003363F">
        <w:rPr>
          <w:bCs/>
          <w:sz w:val="24"/>
          <w:szCs w:val="24"/>
        </w:rPr>
        <w:t>,</w:t>
      </w:r>
      <w:r w:rsidRPr="0003363F">
        <w:rPr>
          <w:bCs/>
          <w:sz w:val="24"/>
          <w:szCs w:val="24"/>
          <w:lang w:val="en-US"/>
        </w:rPr>
        <w:t>t</w:t>
      </w:r>
      <w:r w:rsidRPr="0003363F">
        <w:rPr>
          <w:bCs/>
          <w:sz w:val="24"/>
          <w:szCs w:val="24"/>
        </w:rPr>
        <w:t>*</w:t>
      </w:r>
      <w:r w:rsidRPr="0003363F">
        <w:rPr>
          <w:bCs/>
          <w:sz w:val="24"/>
          <w:szCs w:val="24"/>
          <w:lang w:val="en-US"/>
        </w:rPr>
        <w:t>q</w:t>
      </w:r>
      <w:r w:rsidRPr="0003363F">
        <w:rPr>
          <w:bCs/>
          <w:sz w:val="24"/>
          <w:szCs w:val="24"/>
        </w:rPr>
        <w:t xml:space="preserve"> (руб.)</w:t>
      </w:r>
      <w:r w:rsidRPr="0003363F">
        <w:rPr>
          <w:bCs/>
          <w:sz w:val="24"/>
          <w:szCs w:val="24"/>
        </w:rPr>
        <w:tab/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 xml:space="preserve"> = C1.1 + C1.2 (руб.)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>.2 = C1.2.1 (руб.) или С1.2 = C1.2.2 (руб.),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хозяйства, (руб./1 присоединение);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C1.1 - 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C1.2 - стандартизированная тарифная ставка на покрытие расходов на проверку выполнения сетевой организацией выполнения технических условий заявителем;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>.2.1 – стандартизированная тарифная ставка на покрытие расходов выдачу сетевой организацией уведомления об обеспечении сетевой организацией возможности присоединения к электрическим сетям Заявителям, указанным в абзаце шестом пункта 24 Методических указаний по определению размера платы за технологическое присоединение к электрическим сетям;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</w:t>
      </w:r>
      <w:proofErr w:type="gramStart"/>
      <w:r w:rsidRPr="0003363F">
        <w:rPr>
          <w:bCs/>
          <w:sz w:val="24"/>
          <w:szCs w:val="24"/>
        </w:rPr>
        <w:t>1</w:t>
      </w:r>
      <w:proofErr w:type="gramEnd"/>
      <w:r w:rsidRPr="0003363F">
        <w:rPr>
          <w:bCs/>
          <w:sz w:val="24"/>
          <w:szCs w:val="24"/>
        </w:rPr>
        <w:t>.2.2 – стандартизированная тарифная ставка на покрытие расходов на проверку сетевой организацией выполнения технических условий Заявителями, указанными в абзаце седьмом пункта 24 Методических указаний по определению размера платы за технологическое присоединение к электрическим сетям;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</w:t>
      </w:r>
      <w:r w:rsidRPr="0003363F">
        <w:rPr>
          <w:bCs/>
          <w:sz w:val="24"/>
          <w:szCs w:val="24"/>
          <w:lang w:val="en-US"/>
        </w:rPr>
        <w:t>s</w:t>
      </w:r>
      <w:r w:rsidRPr="0003363F">
        <w:rPr>
          <w:bCs/>
          <w:sz w:val="24"/>
          <w:szCs w:val="24"/>
        </w:rPr>
        <w:t>,</w:t>
      </w:r>
      <w:r w:rsidRPr="0003363F">
        <w:rPr>
          <w:bCs/>
          <w:sz w:val="24"/>
          <w:szCs w:val="24"/>
          <w:lang w:val="en-US"/>
        </w:rPr>
        <w:t>t</w:t>
      </w:r>
      <w:r w:rsidRPr="0003363F">
        <w:rPr>
          <w:bCs/>
          <w:sz w:val="24"/>
          <w:szCs w:val="24"/>
        </w:rPr>
        <w:t xml:space="preserve">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  <w:lang w:val="en-US"/>
        </w:rPr>
        <w:t>q</w:t>
      </w:r>
      <w:r w:rsidRPr="0003363F">
        <w:rPr>
          <w:bCs/>
          <w:sz w:val="24"/>
          <w:szCs w:val="24"/>
        </w:rPr>
        <w:t xml:space="preserve"> – </w:t>
      </w:r>
      <w:proofErr w:type="gramStart"/>
      <w:r w:rsidRPr="0003363F">
        <w:rPr>
          <w:bCs/>
          <w:sz w:val="24"/>
          <w:szCs w:val="24"/>
        </w:rPr>
        <w:t>количество</w:t>
      </w:r>
      <w:proofErr w:type="gramEnd"/>
      <w:r w:rsidRPr="0003363F">
        <w:rPr>
          <w:bCs/>
          <w:sz w:val="24"/>
          <w:szCs w:val="24"/>
        </w:rPr>
        <w:t xml:space="preserve"> точек учета.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2. Если при технологическом присоединении Заявителя предусматривается мероприятие «последней мили» по прокладке воздушных линий электропередачи: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proofErr w:type="gramStart"/>
      <w:r w:rsidRPr="0003363F">
        <w:rPr>
          <w:bCs/>
          <w:sz w:val="24"/>
          <w:szCs w:val="24"/>
          <w:lang w:val="en-US"/>
        </w:rPr>
        <w:t>2</w:t>
      </w:r>
      <w:proofErr w:type="gramEnd"/>
      <w:r w:rsidRPr="0003363F">
        <w:rPr>
          <w:bCs/>
          <w:sz w:val="24"/>
          <w:szCs w:val="24"/>
          <w:lang w:val="en-US"/>
        </w:rPr>
        <w:t xml:space="preserve"> = C1 + ∑(C2s,t x L2s,t)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  <w:lang w:val="en-US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без расходов, связанных со строительством объектов электросетевого хозяйства (руб. /1 присоединение);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C2s,t - стандартизированная тарифная ставка на покрытие расходов сетевой организации на строительство воздушных линий электропередачи на s-том уровне напряжения в зависимости от вида используемого материала и (или) способа выполнения </w:t>
      </w:r>
      <w:r w:rsidRPr="0003363F">
        <w:rPr>
          <w:bCs/>
          <w:sz w:val="24"/>
          <w:szCs w:val="24"/>
        </w:rPr>
        <w:lastRenderedPageBreak/>
        <w:t>работ (t) в расчете на 1 км линий, руб./км;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L2s,t - протяженность воздушных линий электропередачи на s-том уровне напряжения в зависимости от вида используемого материала и (или) способа выполнения работ (t) (км);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  <w:lang w:val="en-US"/>
        </w:rPr>
        <w:t>q</w:t>
      </w:r>
      <w:r w:rsidRPr="0003363F">
        <w:rPr>
          <w:bCs/>
          <w:sz w:val="24"/>
          <w:szCs w:val="24"/>
        </w:rPr>
        <w:t xml:space="preserve"> – </w:t>
      </w:r>
      <w:proofErr w:type="gramStart"/>
      <w:r w:rsidRPr="0003363F">
        <w:rPr>
          <w:bCs/>
          <w:sz w:val="24"/>
          <w:szCs w:val="24"/>
        </w:rPr>
        <w:t>количество</w:t>
      </w:r>
      <w:proofErr w:type="gramEnd"/>
      <w:r w:rsidRPr="0003363F">
        <w:rPr>
          <w:bCs/>
          <w:sz w:val="24"/>
          <w:szCs w:val="24"/>
        </w:rPr>
        <w:t xml:space="preserve"> точек учета.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3. Если при технологическом присоединении Заявителя предусматривается мероприятие «последней мили» по прокладке кабельных линий электропередачи: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r w:rsidRPr="0003363F">
        <w:rPr>
          <w:bCs/>
          <w:sz w:val="24"/>
          <w:szCs w:val="24"/>
          <w:lang w:val="en-US"/>
        </w:rPr>
        <w:t xml:space="preserve">3 = C1+ ∑ (C3s,t x L3s,t)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  <w:lang w:val="en-US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(руб./1 присоединение);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C3s,t - стандартизированная тарифная ставка на покрытие расходов на строительство кабельных линий электропередачи на s-том уровне напряжения в зависимости от вида используемого материала и (или) способа выполнения работ (t) в расчете на 1 км линий, руб./км;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L3s,t - протяженность кабельных линий электропередачи на s-том уровне напряжения в зависимости от вида используемого материала и (или) способа выполнения работ (t) (км);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q – количество точек учета.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4. Если при технологическом присоединении Заявителя предусматривается мероприятие «последней мили» по прокладке воздушных и кабельных линий электропередачи: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proofErr w:type="gramStart"/>
      <w:r w:rsidRPr="0003363F">
        <w:rPr>
          <w:bCs/>
          <w:sz w:val="24"/>
          <w:szCs w:val="24"/>
          <w:lang w:val="en-US"/>
        </w:rPr>
        <w:t>2</w:t>
      </w:r>
      <w:proofErr w:type="gramEnd"/>
      <w:r w:rsidRPr="0003363F">
        <w:rPr>
          <w:bCs/>
          <w:sz w:val="24"/>
          <w:szCs w:val="24"/>
          <w:lang w:val="en-US"/>
        </w:rPr>
        <w:t xml:space="preserve">;3 = C1 +∑ (C2s,t x L2s,t) +∑ (C3s,t x L3s,t)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(руб./1 присоединение);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C2s,t - стандартизированная тарифная ставка на покрытие расходов сетевой организации на строительство воздушных линий электропередачи на s-том уровне напряжения в зависимости от вида используемого материала и (или) способа выполнения работ (t) в расчете на 1 км линий, руб./км;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C3s,t - стандартизированная тарифная ставка на покрытие расходов на строительство кабельных линий электропередачи на s-том уровне напряжения в расчете на 1 км линий, руб./км;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L2s,t - протяженность воздушных линий электропередачи на s-том уровне напряжения в </w:t>
      </w:r>
      <w:r w:rsidRPr="0003363F">
        <w:rPr>
          <w:bCs/>
          <w:sz w:val="24"/>
          <w:szCs w:val="24"/>
        </w:rPr>
        <w:lastRenderedPageBreak/>
        <w:t>зависимости от вида используемого материала и (или) способа выполнения работ (t) (км);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L3s,t - протяженность кабельных линий электропередачи на s-том уровне напряжения в зависимости от вида используемого материала и (или) способа выполнения работ (t) (км);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q – количество точек учета.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5. Если при технологическом присоединении Заявителя предусматривается мероприятие «последней мили» по строительству пунктов секционирования (реклоузеров, распределительных пунктов, переключательных пунктов):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proofErr w:type="gramStart"/>
      <w:r w:rsidRPr="0003363F">
        <w:rPr>
          <w:bCs/>
          <w:sz w:val="24"/>
          <w:szCs w:val="24"/>
          <w:lang w:val="en-US"/>
        </w:rPr>
        <w:t>4</w:t>
      </w:r>
      <w:proofErr w:type="gramEnd"/>
      <w:r w:rsidRPr="0003363F">
        <w:rPr>
          <w:bCs/>
          <w:sz w:val="24"/>
          <w:szCs w:val="24"/>
          <w:lang w:val="en-US"/>
        </w:rPr>
        <w:t xml:space="preserve"> = C1 + ∑ (C4s,t x L4s,t)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  <w:lang w:val="en-US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(руб./1 присоединение);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C4s,t - стандартизированная тарифная ставка на покрытие расходов на строительство пунктов секционирования (реклоузеров, распределительных пунктов, переключательных пунктов) на s-том уровне напряжения в зависимости от вида используемого материала и (или) способа выполнения работ (t) (руб./шт.);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L4s,t – количество пунктов секционирования (реклоузеров, распределительных пунктов, переключательных пунктов) на s-том уровне напряжения в зависимости от вида используемого материала и (или) способа выполнения работ (t) (шт.);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q – количество точек учета.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6. Если при технологическом присоединении Заявителя предусматриваются мероприятия «последней мили» по строительству трансформаторных подстанций (ТП), распределительных трансформаторных подстанций (РТП) с уровнем напряжения до 35 кВ и по строительству центров питания, подстанций уровнем напряжения 35 кВ и выше (ПС):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</w:rPr>
        <w:t>П</w:t>
      </w:r>
      <w:r w:rsidRPr="0003363F">
        <w:rPr>
          <w:bCs/>
          <w:sz w:val="24"/>
          <w:szCs w:val="24"/>
          <w:lang w:val="en-US"/>
        </w:rPr>
        <w:t>5;6;7 = C1 +∑ (C2s,t x L2s,t) +∑ (C3s,t x L3s,t) +∑ (C4s,t x L4s,t) +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jc w:val="center"/>
        <w:rPr>
          <w:bCs/>
          <w:sz w:val="24"/>
          <w:szCs w:val="24"/>
          <w:lang w:val="en-US"/>
        </w:rPr>
      </w:pPr>
      <w:r w:rsidRPr="0003363F">
        <w:rPr>
          <w:bCs/>
          <w:sz w:val="24"/>
          <w:szCs w:val="24"/>
          <w:lang w:val="en-US"/>
        </w:rPr>
        <w:t>∑ (C5s</w:t>
      </w:r>
      <w:proofErr w:type="gramStart"/>
      <w:r w:rsidRPr="0003363F">
        <w:rPr>
          <w:bCs/>
          <w:sz w:val="24"/>
          <w:szCs w:val="24"/>
          <w:lang w:val="en-US"/>
        </w:rPr>
        <w:t>,t</w:t>
      </w:r>
      <w:proofErr w:type="gramEnd"/>
      <w:r w:rsidRPr="0003363F">
        <w:rPr>
          <w:bCs/>
          <w:sz w:val="24"/>
          <w:szCs w:val="24"/>
          <w:lang w:val="en-US"/>
        </w:rPr>
        <w:t xml:space="preserve">;6s,t;7s,t x </w:t>
      </w:r>
      <w:proofErr w:type="spellStart"/>
      <w:r w:rsidRPr="0003363F">
        <w:rPr>
          <w:bCs/>
          <w:sz w:val="24"/>
          <w:szCs w:val="24"/>
          <w:lang w:val="en-US"/>
        </w:rPr>
        <w:t>Ns,t</w:t>
      </w:r>
      <w:proofErr w:type="spellEnd"/>
      <w:r w:rsidRPr="0003363F">
        <w:rPr>
          <w:bCs/>
          <w:sz w:val="24"/>
          <w:szCs w:val="24"/>
          <w:lang w:val="en-US"/>
        </w:rPr>
        <w:t xml:space="preserve">) + </w:t>
      </w:r>
      <w:r w:rsidRPr="0003363F">
        <w:rPr>
          <w:bCs/>
          <w:sz w:val="24"/>
          <w:szCs w:val="24"/>
        </w:rPr>
        <w:t>С</w:t>
      </w:r>
      <w:r w:rsidRPr="0003363F">
        <w:rPr>
          <w:bCs/>
          <w:sz w:val="24"/>
          <w:szCs w:val="24"/>
          <w:lang w:val="en-US"/>
        </w:rPr>
        <w:t>8s,t*q (</w:t>
      </w:r>
      <w:r w:rsidRPr="0003363F">
        <w:rPr>
          <w:bCs/>
          <w:sz w:val="24"/>
          <w:szCs w:val="24"/>
        </w:rPr>
        <w:t>руб</w:t>
      </w:r>
      <w:r w:rsidRPr="0003363F">
        <w:rPr>
          <w:bCs/>
          <w:sz w:val="24"/>
          <w:szCs w:val="24"/>
          <w:lang w:val="en-US"/>
        </w:rPr>
        <w:t>.),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  <w:lang w:val="en-US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где: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C1 -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не связанных со строительством объектов электросетевого хозяйства (руб./1 присоединение);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C2s,t - стандартизированная тарифная ставка на покрытие расходов сетевой организации на строительство воздушных линий электропередачи на s-том уровне напряжения в зависимости от вида используемого материала и (или) способа выполнения </w:t>
      </w:r>
      <w:r w:rsidRPr="0003363F">
        <w:rPr>
          <w:bCs/>
          <w:sz w:val="24"/>
          <w:szCs w:val="24"/>
        </w:rPr>
        <w:lastRenderedPageBreak/>
        <w:t>работ (t) в расчете на 1 км линий, руб./км;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L2s,t - протяженность воздушных линий электропередачи  на s-том уровне напряжения в зависимости от вида используемого материала и (или) способа выполнения работ (t) (км);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C3s,t - стандартизированная тарифная ставка на покрытие расходов на строительство кабельных линий электропередачи на s-том уровне напряжения в зависимости от вида используемого материала и (или) способа выполнения работ (t) в расчете на 1 км линий, руб./км;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L3s,t - протяженность кабельных линий электропередачи на s-том уровне напряжения в зависимости от вида используемого материала и (или) способа выполнения работ (t) (км).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C4s,t - стандартизированная тарифная ставка на покрытие расходов на строительство пунктов секционирования (реклоузеров, распределительных пунктов, переключательных пунктов) на s-том уровне напряжения в зависимости от вида используемого материала и (или) способа выполнения работ (t) (руб./шт.);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L4s,t – количество пунктов секционирования (реклоузеров, распределительных пунктов, переключательных пунктов) на s-том уровне напряжения в зависимости от вида используемого материала и (или) способа выполнения работ (t) (шт.);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C5s,t - стандартизированная тарифная ставка на покрытие расходов на строительство трансформаторных подстанций (ТП) с уровнем напряжения до 35 кВ в зависимости от вида используемого материала и (или) способа выполнения работ (t) (руб./кВт);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C6s,t - стандартизированная тарифная ставка на покрытие расходов на строительство распределительных трансформаторных подстанций (РТП) уровнем напряжения до 35 кВ в зависимости от вида используемого материала и (или) способа выполнения работ (t) (руб./кВт);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C7s,t - стандартизированная тарифная ставка на покрытие расходов на строительство центров питания, подстанций уровнем напряжения 35 кВ и выше (ПС) в зависимости от вида используемого материала и (или) способа выполнения работ (t) (руб./кВт);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proofErr w:type="spellStart"/>
      <w:r w:rsidRPr="0003363F">
        <w:rPr>
          <w:bCs/>
          <w:sz w:val="24"/>
          <w:szCs w:val="24"/>
        </w:rPr>
        <w:t>Ns</w:t>
      </w:r>
      <w:proofErr w:type="spellEnd"/>
      <w:r w:rsidRPr="0003363F">
        <w:rPr>
          <w:bCs/>
          <w:sz w:val="24"/>
          <w:szCs w:val="24"/>
        </w:rPr>
        <w:t xml:space="preserve"> – объем максимальной мощности, указанный Заявителем в заявке на технологическое присоединение на s-том уровне напряжения (кВт);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С8s,t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на s-том уровне напряжения в зависимости от вида используемого материала и (или) способа выполнения работ (t) (руб. за точку учета);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q – количество точек учета.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7. Для Заявителей, указанных в пункте 12 Методических указаний по определению размера платы за технологическое присоединение к электрическим сетям, стандартизированные тарифные ставки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5D9A31FD" wp14:editId="7F7C8DF9">
            <wp:extent cx="1009650" cy="3086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685F8C34" wp14:editId="3492A5BF">
            <wp:extent cx="1009650" cy="3086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78ED57B7" wp14:editId="444B04B0">
            <wp:extent cx="1009650" cy="3086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0CFF9B7F" wp14:editId="44FD1C85">
            <wp:extent cx="1009650" cy="3086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3D3BFBCC" wp14:editId="4137A703">
            <wp:extent cx="1009650" cy="3086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, </w:t>
      </w: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0F0EF922" wp14:editId="4C783510">
            <wp:extent cx="1009650" cy="3086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 xml:space="preserve"> </w:t>
      </w:r>
      <w:r w:rsidRPr="0003363F">
        <w:rPr>
          <w:bCs/>
          <w:sz w:val="24"/>
          <w:szCs w:val="24"/>
        </w:rPr>
        <w:t xml:space="preserve"> рассчитываются по следующим формулам: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3A988AFE" wp14:editId="0919067F">
            <wp:extent cx="1294130" cy="30861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201AEFE9" wp14:editId="447272D8">
            <wp:extent cx="1294130" cy="30861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75ACA0F5" wp14:editId="7AA7C4B2">
            <wp:extent cx="1294130" cy="30861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1131DDDF" wp14:editId="41197B92">
            <wp:extent cx="1294130" cy="30861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drawing>
          <wp:inline distT="0" distB="0" distL="0" distR="0" wp14:anchorId="09A6556D" wp14:editId="4D27F1B7">
            <wp:extent cx="1294130" cy="30861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,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center"/>
        <w:rPr>
          <w:bCs/>
          <w:sz w:val="24"/>
          <w:szCs w:val="24"/>
        </w:rPr>
      </w:pPr>
      <w:r w:rsidRPr="0003363F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1070DF63" wp14:editId="55368DA3">
            <wp:extent cx="1294130" cy="30861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63F">
        <w:rPr>
          <w:sz w:val="24"/>
          <w:szCs w:val="24"/>
        </w:rPr>
        <w:t>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Примечание.</w:t>
      </w:r>
    </w:p>
    <w:p w:rsidR="00386C0A" w:rsidRPr="0003363F" w:rsidRDefault="00386C0A" w:rsidP="00386C0A">
      <w:pPr>
        <w:tabs>
          <w:tab w:val="left" w:pos="1276"/>
        </w:tabs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1. Размер платы за технологическое присоединение рассчитывается территориальными сетевыми организациями согласно выданным техническим условиям в соответствии с утвержденными формулами.</w:t>
      </w:r>
    </w:p>
    <w:p w:rsidR="00386C0A" w:rsidRPr="0003363F" w:rsidRDefault="00386C0A" w:rsidP="00386C0A">
      <w:pPr>
        <w:ind w:firstLine="567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 xml:space="preserve">2. </w:t>
      </w:r>
      <w:proofErr w:type="gramStart"/>
      <w:r w:rsidRPr="0003363F">
        <w:rPr>
          <w:bCs/>
          <w:sz w:val="24"/>
          <w:szCs w:val="24"/>
        </w:rPr>
        <w:t>В соответствии с подпунктом «г» пункта 32 Методических указаний по определению размера платы за технологическое присоединение к электрическим сетям,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года, то стоимость мероприятий, учитываемых в плате, рассчитанной в год подачи заявки, индексируется следующим образом:</w:t>
      </w:r>
      <w:proofErr w:type="gramEnd"/>
    </w:p>
    <w:p w:rsidR="00386C0A" w:rsidRPr="0003363F" w:rsidRDefault="00386C0A" w:rsidP="00386C0A">
      <w:pPr>
        <w:ind w:firstLine="567"/>
        <w:jc w:val="both"/>
        <w:rPr>
          <w:bCs/>
          <w:sz w:val="24"/>
          <w:szCs w:val="24"/>
        </w:rPr>
      </w:pPr>
      <w:r w:rsidRPr="0003363F">
        <w:rPr>
          <w:bCs/>
          <w:sz w:val="24"/>
          <w:szCs w:val="24"/>
        </w:rPr>
        <w:t>- 50% стоимости мероприятий, предусмотренных техническими условиями, определяется в ценах года, соответствующего году утверждения платы;</w:t>
      </w:r>
    </w:p>
    <w:p w:rsidR="00386C0A" w:rsidRPr="00A56BE8" w:rsidRDefault="00386C0A" w:rsidP="00386C0A">
      <w:pPr>
        <w:ind w:firstLine="567"/>
        <w:jc w:val="both"/>
        <w:rPr>
          <w:bCs/>
          <w:sz w:val="24"/>
          <w:szCs w:val="24"/>
        </w:rPr>
      </w:pPr>
      <w:proofErr w:type="gramStart"/>
      <w:r w:rsidRPr="0003363F">
        <w:rPr>
          <w:bCs/>
          <w:sz w:val="24"/>
          <w:szCs w:val="24"/>
        </w:rPr>
        <w:t xml:space="preserve">- 50% стоимости мероприятий, предусмотренных техническими условиями, умножается на прогнозный индекс цен производителей по подразделу «Строительство» </w:t>
      </w:r>
      <w:r w:rsidRPr="00A56BE8">
        <w:rPr>
          <w:bCs/>
          <w:sz w:val="24"/>
          <w:szCs w:val="24"/>
        </w:rPr>
        <w:t>раздела «Капитальные вложения (инвестиции)» на год, следующий за годом утверждения платы, публикуемый в соответствии со вторым предложением абзаца восьмого пункта 87 Основ ценообразования в области регулируемых цен (тарифов) в электроэнергетике, утвержденных постановлением Правительства РФ от 29.12.2011 № 1178, (при отсутствии данного индекса используется индекс потребительских цен).</w:t>
      </w:r>
      <w:proofErr w:type="gramEnd"/>
    </w:p>
    <w:p w:rsidR="00386C0A" w:rsidRPr="0003363F" w:rsidRDefault="00386C0A" w:rsidP="00386C0A">
      <w:pPr>
        <w:ind w:firstLine="567"/>
        <w:jc w:val="both"/>
        <w:rPr>
          <w:b/>
          <w:sz w:val="24"/>
          <w:szCs w:val="24"/>
        </w:rPr>
      </w:pPr>
      <w:r w:rsidRPr="0003363F">
        <w:rPr>
          <w:bCs/>
          <w:sz w:val="24"/>
          <w:szCs w:val="24"/>
        </w:rPr>
        <w:t>3. В случае если Заявитель при технологическом присоединении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определяется в соответствии с пунктом 38 Методических указаний по определению размера платы за технологическое присоединение к электрическим сетям.</w:t>
      </w:r>
    </w:p>
    <w:p w:rsidR="00390361" w:rsidRPr="0003363F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390361" w:rsidRPr="00F26F9C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  <w:color w:val="FF0000"/>
          <w:sz w:val="24"/>
          <w:szCs w:val="24"/>
        </w:rPr>
        <w:sectPr w:rsidR="00390361" w:rsidRPr="00F26F9C" w:rsidSect="00861A5B">
          <w:pgSz w:w="11905" w:h="16840"/>
          <w:pgMar w:top="851" w:right="851" w:bottom="992" w:left="1418" w:header="0" w:footer="0" w:gutter="0"/>
          <w:cols w:space="720"/>
          <w:noEndnote/>
          <w:docGrid w:linePitch="299"/>
        </w:sectPr>
      </w:pPr>
    </w:p>
    <w:p w:rsidR="00390361" w:rsidRPr="00F27E10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Таблица </w:t>
      </w:r>
      <w:r w:rsidRPr="00F27E10">
        <w:rPr>
          <w:bCs/>
          <w:sz w:val="24"/>
          <w:szCs w:val="24"/>
        </w:rPr>
        <w:t xml:space="preserve">4 </w:t>
      </w:r>
    </w:p>
    <w:p w:rsidR="00390361" w:rsidRPr="00F27E10" w:rsidRDefault="00390361" w:rsidP="00390361">
      <w:pPr>
        <w:tabs>
          <w:tab w:val="left" w:pos="1276"/>
        </w:tabs>
        <w:autoSpaceDE w:val="0"/>
        <w:autoSpaceDN w:val="0"/>
        <w:adjustRightInd w:val="0"/>
        <w:ind w:left="142"/>
        <w:jc w:val="right"/>
        <w:rPr>
          <w:bCs/>
          <w:sz w:val="24"/>
          <w:szCs w:val="24"/>
        </w:rPr>
      </w:pPr>
    </w:p>
    <w:p w:rsidR="00386C0A" w:rsidRPr="007234E9" w:rsidRDefault="00386C0A" w:rsidP="00386C0A">
      <w:pPr>
        <w:tabs>
          <w:tab w:val="left" w:pos="1276"/>
        </w:tabs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234E9">
        <w:rPr>
          <w:b/>
          <w:bCs/>
          <w:sz w:val="24"/>
          <w:szCs w:val="24"/>
        </w:rPr>
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202</w:t>
      </w:r>
      <w:r>
        <w:rPr>
          <w:b/>
          <w:bCs/>
          <w:sz w:val="24"/>
          <w:szCs w:val="24"/>
        </w:rPr>
        <w:t>5</w:t>
      </w:r>
      <w:r w:rsidRPr="007234E9">
        <w:rPr>
          <w:b/>
          <w:bCs/>
          <w:sz w:val="24"/>
          <w:szCs w:val="24"/>
        </w:rPr>
        <w:t xml:space="preserve"> год, не включаемые в плату за технологическое присоединение</w:t>
      </w:r>
    </w:p>
    <w:p w:rsidR="00386C0A" w:rsidRPr="007234E9" w:rsidRDefault="00386C0A" w:rsidP="00386C0A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</w:rPr>
      </w:pPr>
    </w:p>
    <w:tbl>
      <w:tblPr>
        <w:tblW w:w="14724" w:type="dxa"/>
        <w:tblInd w:w="534" w:type="dxa"/>
        <w:tblLook w:val="04A0" w:firstRow="1" w:lastRow="0" w:firstColumn="1" w:lastColumn="0" w:noHBand="0" w:noVBand="1"/>
      </w:tblPr>
      <w:tblGrid>
        <w:gridCol w:w="960"/>
        <w:gridCol w:w="4284"/>
        <w:gridCol w:w="3160"/>
        <w:gridCol w:w="3160"/>
        <w:gridCol w:w="3160"/>
      </w:tblGrid>
      <w:tr w:rsidR="00386C0A" w:rsidRPr="00614D77" w:rsidTr="00730C62">
        <w:trPr>
          <w:trHeight w:val="7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614D77" w:rsidRDefault="00386C0A" w:rsidP="00730C62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 xml:space="preserve">№ </w:t>
            </w:r>
            <w:proofErr w:type="gramStart"/>
            <w:r w:rsidRPr="00614D77">
              <w:rPr>
                <w:b/>
                <w:color w:val="000000"/>
              </w:rPr>
              <w:t>п</w:t>
            </w:r>
            <w:proofErr w:type="gramEnd"/>
            <w:r w:rsidRPr="00614D77">
              <w:rPr>
                <w:b/>
                <w:color w:val="000000"/>
              </w:rPr>
              <w:t>/п</w:t>
            </w:r>
          </w:p>
        </w:tc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614D77" w:rsidRDefault="00386C0A" w:rsidP="00730C62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>Наименование территориальной сетевой организации Ивановской области</w:t>
            </w:r>
          </w:p>
        </w:tc>
        <w:tc>
          <w:tcPr>
            <w:tcW w:w="9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0A" w:rsidRPr="00614D77" w:rsidRDefault="00386C0A" w:rsidP="00730C62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bCs/>
              </w:rPr>
      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202</w:t>
            </w:r>
            <w:r>
              <w:rPr>
                <w:b/>
                <w:bCs/>
              </w:rPr>
              <w:t>5</w:t>
            </w:r>
            <w:r w:rsidRPr="00614D77">
              <w:rPr>
                <w:b/>
                <w:bCs/>
              </w:rPr>
              <w:t xml:space="preserve"> год, не включаемые в плату за технологическое присоединение</w:t>
            </w:r>
          </w:p>
        </w:tc>
      </w:tr>
      <w:tr w:rsidR="00386C0A" w:rsidRPr="00614D77" w:rsidTr="00730C62">
        <w:trPr>
          <w:trHeight w:val="3621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C0A" w:rsidRPr="00614D77" w:rsidRDefault="00386C0A" w:rsidP="00730C62">
            <w:pPr>
              <w:rPr>
                <w:b/>
                <w:color w:val="000000"/>
              </w:rPr>
            </w:pPr>
          </w:p>
        </w:tc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C0A" w:rsidRPr="00614D77" w:rsidRDefault="00386C0A" w:rsidP="00730C62">
            <w:pPr>
              <w:rPr>
                <w:b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614D77" w:rsidRDefault="00386C0A" w:rsidP="00730C62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>Расходы, связанные с осуществлением технологического присоединения энергопринимающих устройств максимальной мощностью, не превышающей 15 к</w:t>
            </w:r>
            <w:proofErr w:type="gramStart"/>
            <w:r w:rsidRPr="00614D77">
              <w:rPr>
                <w:b/>
                <w:color w:val="000000"/>
              </w:rPr>
              <w:t>Вт вкл</w:t>
            </w:r>
            <w:proofErr w:type="gramEnd"/>
            <w:r w:rsidRPr="00614D77">
              <w:rPr>
                <w:b/>
                <w:color w:val="000000"/>
              </w:rPr>
              <w:t>ючительно (с учетом ранее присоединенных в данной точке присоединения энергопринимающих устройств), тыс. руб.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614D77" w:rsidRDefault="00386C0A" w:rsidP="00730C62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>Расходы, связанные с осуществлением технологического присоединения энергопринимающих устройств максимальной мощностью, свыше 15 кВт и до 150 к</w:t>
            </w:r>
            <w:proofErr w:type="gramStart"/>
            <w:r w:rsidRPr="00614D77">
              <w:rPr>
                <w:b/>
                <w:color w:val="000000"/>
              </w:rPr>
              <w:t>Вт вкл</w:t>
            </w:r>
            <w:proofErr w:type="gramEnd"/>
            <w:r w:rsidRPr="00614D77">
              <w:rPr>
                <w:b/>
                <w:color w:val="000000"/>
              </w:rPr>
              <w:t>ючительно (с учетом ранее присоединенных в данной точке присоединения энергопринимающих устройств), тыс. руб.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614D77" w:rsidRDefault="00386C0A" w:rsidP="00730C62">
            <w:pPr>
              <w:jc w:val="center"/>
              <w:rPr>
                <w:b/>
                <w:color w:val="000000"/>
              </w:rPr>
            </w:pPr>
            <w:r w:rsidRPr="00614D77">
              <w:rPr>
                <w:b/>
                <w:color w:val="000000"/>
              </w:rPr>
              <w:t>Расходы на выплату процентов по кредитным договорам, связанным с рассрочкой по оплате технологического присоединения энергопринимающих устройств максимальной мощностью свыше 15 и до 150 к</w:t>
            </w:r>
            <w:proofErr w:type="gramStart"/>
            <w:r w:rsidRPr="00614D77">
              <w:rPr>
                <w:b/>
                <w:color w:val="000000"/>
              </w:rPr>
              <w:t>Вт вкл</w:t>
            </w:r>
            <w:proofErr w:type="gramEnd"/>
            <w:r w:rsidRPr="00614D77">
              <w:rPr>
                <w:b/>
                <w:color w:val="000000"/>
              </w:rPr>
              <w:t>ючительно (с учетом ранее присоединенных в данной точке присоединения энергопринимающих устройств), тыс. руб.</w:t>
            </w:r>
          </w:p>
        </w:tc>
      </w:tr>
      <w:tr w:rsidR="00386C0A" w:rsidRPr="00A9722B" w:rsidTr="00730C62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667951" w:rsidRDefault="00386C0A" w:rsidP="00730C62">
            <w:pPr>
              <w:jc w:val="center"/>
            </w:pPr>
            <w:r w:rsidRPr="00667951">
              <w:t>1.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667951" w:rsidRDefault="00386C0A" w:rsidP="00730C62">
            <w:r w:rsidRPr="00667951">
              <w:t>ПАО «Россети Центр и Приволжье» (филиал «Ивэнерго»)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A9722B" w:rsidRDefault="00386C0A" w:rsidP="00730C62">
            <w:pPr>
              <w:jc w:val="center"/>
            </w:pPr>
            <w:r w:rsidRPr="00A9722B">
              <w:t>148 093,145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A9722B" w:rsidRDefault="00386C0A" w:rsidP="00730C62">
            <w:pPr>
              <w:jc w:val="center"/>
            </w:pPr>
            <w:r w:rsidRPr="00A9722B">
              <w:t>105 889,292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A9722B" w:rsidRDefault="00386C0A" w:rsidP="00730C62">
            <w:pPr>
              <w:jc w:val="center"/>
            </w:pPr>
            <w:r w:rsidRPr="00A9722B">
              <w:t>36,369</w:t>
            </w:r>
          </w:p>
        </w:tc>
      </w:tr>
      <w:tr w:rsidR="00386C0A" w:rsidRPr="001C0457" w:rsidTr="00730C6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1C0457" w:rsidRDefault="00386C0A" w:rsidP="00730C62">
            <w:pPr>
              <w:jc w:val="center"/>
            </w:pPr>
            <w:r w:rsidRPr="001C0457">
              <w:t>2.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1C0457" w:rsidRDefault="00386C0A" w:rsidP="00730C62">
            <w:r w:rsidRPr="001C0457">
              <w:t>АО «Оборонэнерго» (филиал «Волго-Вятский»)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8739EB" w:rsidRDefault="00386C0A" w:rsidP="00730C62">
            <w:pPr>
              <w:jc w:val="center"/>
              <w:rPr>
                <w:highlight w:val="yellow"/>
              </w:rPr>
            </w:pPr>
            <w:r w:rsidRPr="008739EB">
              <w:t>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8739EB" w:rsidRDefault="00386C0A" w:rsidP="00730C62">
            <w:pPr>
              <w:jc w:val="center"/>
              <w:rPr>
                <w:highlight w:val="yellow"/>
              </w:rPr>
            </w:pPr>
            <w:r w:rsidRPr="008739EB">
              <w:t>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8739EB" w:rsidRDefault="00386C0A" w:rsidP="00730C62">
            <w:pPr>
              <w:jc w:val="center"/>
              <w:rPr>
                <w:highlight w:val="yellow"/>
              </w:rPr>
            </w:pPr>
            <w:r w:rsidRPr="008739EB">
              <w:t>Х</w:t>
            </w:r>
          </w:p>
        </w:tc>
      </w:tr>
      <w:tr w:rsidR="00386C0A" w:rsidRPr="00497B49" w:rsidTr="00730C6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497B49" w:rsidRDefault="00386C0A" w:rsidP="00730C62">
            <w:pPr>
              <w:jc w:val="center"/>
            </w:pPr>
            <w:r w:rsidRPr="00497B49">
              <w:t>3.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0A" w:rsidRPr="00497B49" w:rsidRDefault="00386C0A" w:rsidP="00730C62">
            <w:r w:rsidRPr="00497B49">
              <w:t>АО «Объединенные электрические сети»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C0A" w:rsidRPr="008739EB" w:rsidRDefault="00386C0A" w:rsidP="00730C62">
            <w:pPr>
              <w:jc w:val="center"/>
            </w:pPr>
            <w:r w:rsidRPr="008739EB">
              <w:t>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8739EB" w:rsidRDefault="00386C0A" w:rsidP="00730C62">
            <w:pPr>
              <w:jc w:val="center"/>
            </w:pPr>
            <w:r w:rsidRPr="008739EB">
              <w:t>9 438,93</w:t>
            </w:r>
            <w:r>
              <w:t>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8739EB" w:rsidRDefault="00386C0A" w:rsidP="00730C62">
            <w:pPr>
              <w:jc w:val="center"/>
            </w:pPr>
            <w:r w:rsidRPr="008739EB">
              <w:t>0,12</w:t>
            </w:r>
            <w:r>
              <w:t>0</w:t>
            </w:r>
          </w:p>
        </w:tc>
      </w:tr>
      <w:tr w:rsidR="00386C0A" w:rsidRPr="00BF5F32" w:rsidTr="00730C6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391C76" w:rsidRDefault="00386C0A" w:rsidP="00730C62">
            <w:pPr>
              <w:jc w:val="center"/>
            </w:pPr>
            <w:r>
              <w:t>4</w:t>
            </w:r>
            <w:r w:rsidRPr="00391C76">
              <w:t>.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0A" w:rsidRPr="00391C76" w:rsidRDefault="00386C0A" w:rsidP="00730C62">
            <w:r w:rsidRPr="00391C76">
              <w:t>ООО «ИВЭЛС»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8739EB" w:rsidRDefault="00386C0A" w:rsidP="00730C62">
            <w:pPr>
              <w:jc w:val="center"/>
            </w:pPr>
            <w:r w:rsidRPr="008739EB">
              <w:t>Х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8739EB" w:rsidRDefault="00386C0A" w:rsidP="00730C62">
            <w:pPr>
              <w:jc w:val="center"/>
            </w:pPr>
            <w:r w:rsidRPr="008739EB">
              <w:t>Х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C0A" w:rsidRPr="008739EB" w:rsidRDefault="00386C0A" w:rsidP="00730C62">
            <w:pPr>
              <w:jc w:val="center"/>
            </w:pPr>
            <w:r w:rsidRPr="008739EB">
              <w:t>Х</w:t>
            </w:r>
          </w:p>
        </w:tc>
      </w:tr>
    </w:tbl>
    <w:p w:rsidR="00386C0A" w:rsidRPr="006722B8" w:rsidRDefault="00386C0A" w:rsidP="00386C0A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</w:rPr>
      </w:pPr>
    </w:p>
    <w:p w:rsidR="00390361" w:rsidRDefault="00390361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</w:rPr>
      </w:pPr>
    </w:p>
    <w:p w:rsidR="00D7356E" w:rsidRDefault="00D7356E" w:rsidP="00390361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bCs/>
        </w:rPr>
      </w:pPr>
    </w:p>
    <w:p w:rsidR="00D7356E" w:rsidRDefault="00D7356E" w:rsidP="00D7356E">
      <w:pPr>
        <w:tabs>
          <w:tab w:val="left" w:pos="1276"/>
        </w:tabs>
        <w:autoSpaceDE w:val="0"/>
        <w:autoSpaceDN w:val="0"/>
        <w:adjustRightInd w:val="0"/>
        <w:jc w:val="both"/>
        <w:rPr>
          <w:bCs/>
        </w:rPr>
        <w:sectPr w:rsidR="00D7356E" w:rsidSect="00390361">
          <w:headerReference w:type="even" r:id="rId22"/>
          <w:headerReference w:type="default" r:id="rId23"/>
          <w:pgSz w:w="16838" w:h="11906" w:orient="landscape"/>
          <w:pgMar w:top="1077" w:right="1418" w:bottom="425" w:left="567" w:header="284" w:footer="709" w:gutter="0"/>
          <w:cols w:space="708"/>
          <w:titlePg/>
          <w:docGrid w:linePitch="360"/>
        </w:sectPr>
      </w:pPr>
    </w:p>
    <w:p w:rsidR="00C03105" w:rsidRPr="001F2F47" w:rsidRDefault="00C03105" w:rsidP="001C7AD6">
      <w:pPr>
        <w:tabs>
          <w:tab w:val="left" w:pos="4020"/>
        </w:tabs>
        <w:spacing w:line="264" w:lineRule="auto"/>
        <w:ind w:firstLine="540"/>
        <w:jc w:val="both"/>
        <w:rPr>
          <w:sz w:val="24"/>
          <w:szCs w:val="24"/>
        </w:rPr>
      </w:pPr>
      <w:r w:rsidRPr="001F2F47">
        <w:rPr>
          <w:sz w:val="24"/>
          <w:szCs w:val="24"/>
        </w:rPr>
        <w:lastRenderedPageBreak/>
        <w:t>Результаты голосования:</w:t>
      </w:r>
    </w:p>
    <w:p w:rsidR="00EE3027" w:rsidRPr="001F2F47" w:rsidRDefault="00EE3027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№ </w:t>
            </w:r>
            <w:proofErr w:type="gramStart"/>
            <w:r w:rsidRPr="001F2F47">
              <w:rPr>
                <w:sz w:val="24"/>
                <w:szCs w:val="24"/>
              </w:rPr>
              <w:t>п</w:t>
            </w:r>
            <w:proofErr w:type="gramEnd"/>
            <w:r w:rsidRPr="001F2F47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Результаты голосования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Полозов И.Г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за</w:t>
            </w:r>
          </w:p>
        </w:tc>
      </w:tr>
      <w:tr w:rsidR="00207F48" w:rsidRPr="001F2F47" w:rsidTr="00C031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540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ind w:firstLine="15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5" w:rsidRPr="001F2F47" w:rsidRDefault="00D7356E" w:rsidP="00C03105">
            <w:pPr>
              <w:tabs>
                <w:tab w:val="left" w:pos="4020"/>
              </w:tabs>
              <w:spacing w:line="264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:rsidR="00EE3027" w:rsidRPr="001F2F47" w:rsidRDefault="00EE3027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</w:p>
    <w:p w:rsidR="00C03105" w:rsidRPr="001F2F47" w:rsidRDefault="00C03105" w:rsidP="00C03105">
      <w:pPr>
        <w:tabs>
          <w:tab w:val="left" w:pos="4020"/>
        </w:tabs>
        <w:spacing w:line="264" w:lineRule="auto"/>
        <w:ind w:firstLine="540"/>
        <w:rPr>
          <w:sz w:val="24"/>
          <w:szCs w:val="24"/>
        </w:rPr>
      </w:pPr>
      <w:r w:rsidRPr="001F2F47">
        <w:rPr>
          <w:sz w:val="24"/>
          <w:szCs w:val="24"/>
        </w:rPr>
        <w:t xml:space="preserve">Итого: за – </w:t>
      </w:r>
      <w:r w:rsidR="00D7356E">
        <w:rPr>
          <w:sz w:val="24"/>
          <w:szCs w:val="24"/>
        </w:rPr>
        <w:t>7</w:t>
      </w:r>
      <w:r w:rsidRPr="001F2F47">
        <w:rPr>
          <w:sz w:val="24"/>
          <w:szCs w:val="24"/>
        </w:rPr>
        <w:t xml:space="preserve">, против – </w:t>
      </w:r>
      <w:r w:rsidR="00D7356E">
        <w:rPr>
          <w:sz w:val="24"/>
          <w:szCs w:val="24"/>
        </w:rPr>
        <w:t>1</w:t>
      </w:r>
      <w:r w:rsidRPr="001F2F47">
        <w:rPr>
          <w:sz w:val="24"/>
          <w:szCs w:val="24"/>
        </w:rPr>
        <w:t>, воздержался – 0, отсутствуют – 0.</w:t>
      </w:r>
    </w:p>
    <w:p w:rsidR="00C03105" w:rsidRPr="001F2F47" w:rsidRDefault="00C03105" w:rsidP="00C03105">
      <w:pPr>
        <w:tabs>
          <w:tab w:val="left" w:pos="4020"/>
        </w:tabs>
        <w:spacing w:line="264" w:lineRule="auto"/>
        <w:ind w:left="284" w:firstLine="283"/>
        <w:jc w:val="both"/>
        <w:rPr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207F48" w:rsidRPr="001F2F47" w:rsidTr="00C03105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03105" w:rsidRPr="001F2F47" w:rsidRDefault="00D7356E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Карика</w:t>
            </w:r>
            <w:r w:rsidR="00C03105" w:rsidRPr="001F2F47">
              <w:rPr>
                <w:sz w:val="24"/>
                <w:szCs w:val="24"/>
              </w:rPr>
              <w:t xml:space="preserve"> </w:t>
            </w:r>
          </w:p>
        </w:tc>
      </w:tr>
      <w:tr w:rsidR="00207F48" w:rsidRPr="001F2F47" w:rsidTr="00C03105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3105" w:rsidRPr="001F2F47" w:rsidRDefault="00C03105" w:rsidP="00C03105">
            <w:pPr>
              <w:spacing w:line="264" w:lineRule="auto"/>
              <w:jc w:val="both"/>
              <w:rPr>
                <w:b/>
                <w:sz w:val="24"/>
                <w:szCs w:val="24"/>
              </w:rPr>
            </w:pPr>
            <w:r w:rsidRPr="001F2F47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Первый заместитель </w:t>
            </w:r>
            <w:r w:rsidR="00EE3027" w:rsidRPr="001F2F47">
              <w:rPr>
                <w:sz w:val="24"/>
                <w:szCs w:val="24"/>
              </w:rPr>
              <w:t>директора</w:t>
            </w:r>
            <w:r w:rsidRPr="001F2F47">
              <w:rPr>
                <w:sz w:val="24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С.Е. Бугаева 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EE302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Заместитель </w:t>
            </w:r>
            <w:r w:rsidR="00EE3027" w:rsidRPr="001F2F47">
              <w:rPr>
                <w:sz w:val="24"/>
                <w:szCs w:val="24"/>
              </w:rPr>
              <w:t>директора</w:t>
            </w:r>
            <w:r w:rsidRPr="001F2F47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Н.Б. Гущина 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Е.В. Турбачкина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Е.А. Коннова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И.Г. Полозов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Начальник отдела по утверждению нормативов и формированию це</w:t>
            </w:r>
            <w:r w:rsidR="001F2F47">
              <w:rPr>
                <w:sz w:val="24"/>
                <w:szCs w:val="24"/>
              </w:rPr>
              <w:t>н на природный и сжиженный газ Д</w:t>
            </w:r>
            <w:r w:rsidRPr="001F2F47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О.П. Агапова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D7356E" w:rsidP="00D7356E">
            <w:pPr>
              <w:spacing w:line="264" w:lineRule="auto"/>
              <w:rPr>
                <w:sz w:val="24"/>
                <w:szCs w:val="24"/>
              </w:rPr>
            </w:pPr>
            <w:r w:rsidRPr="00D7356E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D7356E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D7356E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 xml:space="preserve">З.Б. Виднова </w:t>
            </w:r>
          </w:p>
        </w:tc>
      </w:tr>
      <w:tr w:rsidR="00207F48" w:rsidRPr="001F2F47" w:rsidTr="00C03105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</w:p>
          <w:p w:rsidR="00C03105" w:rsidRPr="001F2F47" w:rsidRDefault="00C03105" w:rsidP="00C03105">
            <w:pPr>
              <w:tabs>
                <w:tab w:val="left" w:pos="4020"/>
              </w:tabs>
              <w:spacing w:line="264" w:lineRule="auto"/>
              <w:jc w:val="right"/>
              <w:rPr>
                <w:sz w:val="24"/>
                <w:szCs w:val="24"/>
              </w:rPr>
            </w:pPr>
            <w:r w:rsidRPr="001F2F47">
              <w:rPr>
                <w:sz w:val="24"/>
                <w:szCs w:val="24"/>
              </w:rPr>
              <w:t>А.И. Кулешов</w:t>
            </w:r>
          </w:p>
        </w:tc>
      </w:tr>
    </w:tbl>
    <w:p w:rsidR="00C03105" w:rsidRPr="001F2F47" w:rsidRDefault="00C03105" w:rsidP="00C03105">
      <w:pPr>
        <w:spacing w:line="264" w:lineRule="auto"/>
        <w:jc w:val="right"/>
        <w:rPr>
          <w:sz w:val="24"/>
          <w:szCs w:val="24"/>
        </w:rPr>
      </w:pPr>
      <w:r w:rsidRPr="001F2F47">
        <w:rPr>
          <w:sz w:val="24"/>
          <w:szCs w:val="24"/>
        </w:rPr>
        <w:t xml:space="preserve">                                    </w:t>
      </w:r>
    </w:p>
    <w:p w:rsidR="00740A3F" w:rsidRPr="001F2F47" w:rsidRDefault="00740A3F" w:rsidP="00740A3F">
      <w:pPr>
        <w:spacing w:line="264" w:lineRule="auto"/>
        <w:rPr>
          <w:sz w:val="24"/>
          <w:szCs w:val="24"/>
        </w:rPr>
      </w:pPr>
    </w:p>
    <w:sectPr w:rsidR="00740A3F" w:rsidRPr="001F2F47" w:rsidSect="00175CED"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5B" w:rsidRDefault="00861A5B">
      <w:r>
        <w:separator/>
      </w:r>
    </w:p>
  </w:endnote>
  <w:endnote w:type="continuationSeparator" w:id="0">
    <w:p w:rsidR="00861A5B" w:rsidRDefault="0086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5B" w:rsidRDefault="00861A5B">
      <w:r>
        <w:separator/>
      </w:r>
    </w:p>
  </w:footnote>
  <w:footnote w:type="continuationSeparator" w:id="0">
    <w:p w:rsidR="00861A5B" w:rsidRDefault="00861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5B" w:rsidRDefault="00861A5B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A5B" w:rsidRDefault="00861A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5B" w:rsidRDefault="00861A5B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356E">
      <w:rPr>
        <w:rStyle w:val="a5"/>
        <w:noProof/>
      </w:rPr>
      <w:t>30</w:t>
    </w:r>
    <w:r>
      <w:rPr>
        <w:rStyle w:val="a5"/>
      </w:rPr>
      <w:fldChar w:fldCharType="end"/>
    </w:r>
  </w:p>
  <w:p w:rsidR="00861A5B" w:rsidRDefault="00861A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AE1BD0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1DB97FFA"/>
    <w:multiLevelType w:val="multilevel"/>
    <w:tmpl w:val="CBE836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CE7FF9"/>
    <w:multiLevelType w:val="hybridMultilevel"/>
    <w:tmpl w:val="03D2DFB0"/>
    <w:lvl w:ilvl="0" w:tplc="8C8668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EA0EDC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9641514"/>
    <w:multiLevelType w:val="hybridMultilevel"/>
    <w:tmpl w:val="BEEE3DA8"/>
    <w:lvl w:ilvl="0" w:tplc="E912E6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2D5145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A59036D"/>
    <w:multiLevelType w:val="hybridMultilevel"/>
    <w:tmpl w:val="2ABCC626"/>
    <w:lvl w:ilvl="0" w:tplc="CAF0D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6">
    <w:nsid w:val="6A045B51"/>
    <w:multiLevelType w:val="hybridMultilevel"/>
    <w:tmpl w:val="C2FE3594"/>
    <w:lvl w:ilvl="0" w:tplc="989627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3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4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8"/>
  </w:num>
  <w:num w:numId="7">
    <w:abstractNumId w:val="34"/>
  </w:num>
  <w:num w:numId="8">
    <w:abstractNumId w:val="41"/>
  </w:num>
  <w:num w:numId="9">
    <w:abstractNumId w:val="3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1"/>
  </w:num>
  <w:num w:numId="13">
    <w:abstractNumId w:val="9"/>
  </w:num>
  <w:num w:numId="14">
    <w:abstractNumId w:val="25"/>
  </w:num>
  <w:num w:numId="15">
    <w:abstractNumId w:val="39"/>
  </w:num>
  <w:num w:numId="16">
    <w:abstractNumId w:val="32"/>
  </w:num>
  <w:num w:numId="17">
    <w:abstractNumId w:val="23"/>
  </w:num>
  <w:num w:numId="18">
    <w:abstractNumId w:val="13"/>
  </w:num>
  <w:num w:numId="19">
    <w:abstractNumId w:val="20"/>
  </w:num>
  <w:num w:numId="20">
    <w:abstractNumId w:val="30"/>
  </w:num>
  <w:num w:numId="21">
    <w:abstractNumId w:val="16"/>
  </w:num>
  <w:num w:numId="22">
    <w:abstractNumId w:val="29"/>
  </w:num>
  <w:num w:numId="23">
    <w:abstractNumId w:val="19"/>
  </w:num>
  <w:num w:numId="24">
    <w:abstractNumId w:val="1"/>
  </w:num>
  <w:num w:numId="25">
    <w:abstractNumId w:val="5"/>
  </w:num>
  <w:num w:numId="26">
    <w:abstractNumId w:val="0"/>
  </w:num>
  <w:num w:numId="27">
    <w:abstractNumId w:val="15"/>
  </w:num>
  <w:num w:numId="28">
    <w:abstractNumId w:val="26"/>
  </w:num>
  <w:num w:numId="29">
    <w:abstractNumId w:val="40"/>
  </w:num>
  <w:num w:numId="30">
    <w:abstractNumId w:val="7"/>
  </w:num>
  <w:num w:numId="31">
    <w:abstractNumId w:val="42"/>
  </w:num>
  <w:num w:numId="32">
    <w:abstractNumId w:val="18"/>
  </w:num>
  <w:num w:numId="33">
    <w:abstractNumId w:val="3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4"/>
  </w:num>
  <w:num w:numId="38">
    <w:abstractNumId w:val="22"/>
  </w:num>
  <w:num w:numId="39">
    <w:abstractNumId w:val="27"/>
  </w:num>
  <w:num w:numId="40">
    <w:abstractNumId w:val="19"/>
  </w:num>
  <w:num w:numId="41">
    <w:abstractNumId w:val="12"/>
  </w:num>
  <w:num w:numId="42">
    <w:abstractNumId w:val="36"/>
  </w:num>
  <w:num w:numId="43">
    <w:abstractNumId w:val="24"/>
  </w:num>
  <w:num w:numId="44">
    <w:abstractNumId w:val="2"/>
  </w:num>
  <w:num w:numId="45">
    <w:abstractNumId w:val="17"/>
  </w:num>
  <w:num w:numId="46">
    <w:abstractNumId w:val="10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172C6"/>
    <w:rsid w:val="00024856"/>
    <w:rsid w:val="000277EB"/>
    <w:rsid w:val="00027A19"/>
    <w:rsid w:val="000301BD"/>
    <w:rsid w:val="00030E80"/>
    <w:rsid w:val="00031365"/>
    <w:rsid w:val="00034065"/>
    <w:rsid w:val="00035973"/>
    <w:rsid w:val="00035D7B"/>
    <w:rsid w:val="000414ED"/>
    <w:rsid w:val="00042C3E"/>
    <w:rsid w:val="000453B8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7785F"/>
    <w:rsid w:val="00084D00"/>
    <w:rsid w:val="0008522D"/>
    <w:rsid w:val="00085EAD"/>
    <w:rsid w:val="00086DEB"/>
    <w:rsid w:val="00091843"/>
    <w:rsid w:val="000949BD"/>
    <w:rsid w:val="00096694"/>
    <w:rsid w:val="0009775D"/>
    <w:rsid w:val="000A224C"/>
    <w:rsid w:val="000A4B37"/>
    <w:rsid w:val="000A7052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185E"/>
    <w:rsid w:val="000D61F7"/>
    <w:rsid w:val="000D661E"/>
    <w:rsid w:val="000D6840"/>
    <w:rsid w:val="000E1851"/>
    <w:rsid w:val="000E6693"/>
    <w:rsid w:val="000E6C4A"/>
    <w:rsid w:val="000F6278"/>
    <w:rsid w:val="00100123"/>
    <w:rsid w:val="0010046E"/>
    <w:rsid w:val="00100BE5"/>
    <w:rsid w:val="00102665"/>
    <w:rsid w:val="00102CEC"/>
    <w:rsid w:val="00102ED2"/>
    <w:rsid w:val="0010702C"/>
    <w:rsid w:val="00107349"/>
    <w:rsid w:val="001101B2"/>
    <w:rsid w:val="001102DC"/>
    <w:rsid w:val="00110AC3"/>
    <w:rsid w:val="00112061"/>
    <w:rsid w:val="00113A9D"/>
    <w:rsid w:val="0011734F"/>
    <w:rsid w:val="001203D2"/>
    <w:rsid w:val="00120BE6"/>
    <w:rsid w:val="00125660"/>
    <w:rsid w:val="00126476"/>
    <w:rsid w:val="001339AF"/>
    <w:rsid w:val="001455C6"/>
    <w:rsid w:val="00145FCA"/>
    <w:rsid w:val="00147B89"/>
    <w:rsid w:val="00150B76"/>
    <w:rsid w:val="001512A5"/>
    <w:rsid w:val="00151E68"/>
    <w:rsid w:val="001528D9"/>
    <w:rsid w:val="00154EE7"/>
    <w:rsid w:val="0016798E"/>
    <w:rsid w:val="00174CA1"/>
    <w:rsid w:val="00174DB7"/>
    <w:rsid w:val="00175CED"/>
    <w:rsid w:val="0017733A"/>
    <w:rsid w:val="00181BF3"/>
    <w:rsid w:val="00181D4D"/>
    <w:rsid w:val="00181F32"/>
    <w:rsid w:val="00190A38"/>
    <w:rsid w:val="0019287F"/>
    <w:rsid w:val="0019314A"/>
    <w:rsid w:val="001933D0"/>
    <w:rsid w:val="001938D2"/>
    <w:rsid w:val="001A0B6E"/>
    <w:rsid w:val="001A1815"/>
    <w:rsid w:val="001A211D"/>
    <w:rsid w:val="001A68A8"/>
    <w:rsid w:val="001B5A51"/>
    <w:rsid w:val="001B7A12"/>
    <w:rsid w:val="001B7C15"/>
    <w:rsid w:val="001C3FF6"/>
    <w:rsid w:val="001C5116"/>
    <w:rsid w:val="001C7AD6"/>
    <w:rsid w:val="001D267C"/>
    <w:rsid w:val="001E33DC"/>
    <w:rsid w:val="001E449B"/>
    <w:rsid w:val="001E5FCE"/>
    <w:rsid w:val="001F0137"/>
    <w:rsid w:val="001F100B"/>
    <w:rsid w:val="001F29F1"/>
    <w:rsid w:val="001F2F47"/>
    <w:rsid w:val="001F40AC"/>
    <w:rsid w:val="001F414F"/>
    <w:rsid w:val="001F63FE"/>
    <w:rsid w:val="0020423A"/>
    <w:rsid w:val="00207F48"/>
    <w:rsid w:val="00211681"/>
    <w:rsid w:val="00211B49"/>
    <w:rsid w:val="0021547D"/>
    <w:rsid w:val="00217DC7"/>
    <w:rsid w:val="00222418"/>
    <w:rsid w:val="00230516"/>
    <w:rsid w:val="00230A1D"/>
    <w:rsid w:val="002329E3"/>
    <w:rsid w:val="00236422"/>
    <w:rsid w:val="00240D91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F64"/>
    <w:rsid w:val="002A2730"/>
    <w:rsid w:val="002A3B50"/>
    <w:rsid w:val="002B381B"/>
    <w:rsid w:val="002C33A0"/>
    <w:rsid w:val="002D024F"/>
    <w:rsid w:val="002D0435"/>
    <w:rsid w:val="002D04FB"/>
    <w:rsid w:val="002D0AF6"/>
    <w:rsid w:val="002D3480"/>
    <w:rsid w:val="002E3293"/>
    <w:rsid w:val="002E4504"/>
    <w:rsid w:val="002E7787"/>
    <w:rsid w:val="002F0C90"/>
    <w:rsid w:val="002F5643"/>
    <w:rsid w:val="002F5A20"/>
    <w:rsid w:val="002F7851"/>
    <w:rsid w:val="003008D3"/>
    <w:rsid w:val="00302408"/>
    <w:rsid w:val="003042C4"/>
    <w:rsid w:val="00305757"/>
    <w:rsid w:val="00306328"/>
    <w:rsid w:val="00310AE0"/>
    <w:rsid w:val="00315EEF"/>
    <w:rsid w:val="00316D6A"/>
    <w:rsid w:val="0032290B"/>
    <w:rsid w:val="00323333"/>
    <w:rsid w:val="00325F40"/>
    <w:rsid w:val="0033277F"/>
    <w:rsid w:val="00334250"/>
    <w:rsid w:val="003353B5"/>
    <w:rsid w:val="00335AB5"/>
    <w:rsid w:val="00342725"/>
    <w:rsid w:val="00353E00"/>
    <w:rsid w:val="00355402"/>
    <w:rsid w:val="0035588D"/>
    <w:rsid w:val="00356FFC"/>
    <w:rsid w:val="00357F20"/>
    <w:rsid w:val="00362392"/>
    <w:rsid w:val="00363B6E"/>
    <w:rsid w:val="003704B6"/>
    <w:rsid w:val="00370909"/>
    <w:rsid w:val="003729FF"/>
    <w:rsid w:val="003768AC"/>
    <w:rsid w:val="00381EDC"/>
    <w:rsid w:val="00386C0A"/>
    <w:rsid w:val="00390361"/>
    <w:rsid w:val="00390B94"/>
    <w:rsid w:val="00392BD2"/>
    <w:rsid w:val="00392DA8"/>
    <w:rsid w:val="00394351"/>
    <w:rsid w:val="003953E3"/>
    <w:rsid w:val="0039712C"/>
    <w:rsid w:val="003A0B82"/>
    <w:rsid w:val="003A2FBF"/>
    <w:rsid w:val="003A4496"/>
    <w:rsid w:val="003A4DE2"/>
    <w:rsid w:val="003A6C9D"/>
    <w:rsid w:val="003A78E2"/>
    <w:rsid w:val="003A7B41"/>
    <w:rsid w:val="003B0663"/>
    <w:rsid w:val="003B0C99"/>
    <w:rsid w:val="003C01FA"/>
    <w:rsid w:val="003C581C"/>
    <w:rsid w:val="003C7B75"/>
    <w:rsid w:val="003D2E03"/>
    <w:rsid w:val="003D339B"/>
    <w:rsid w:val="003E5106"/>
    <w:rsid w:val="003E55E7"/>
    <w:rsid w:val="003E5A74"/>
    <w:rsid w:val="003E7C83"/>
    <w:rsid w:val="003F073E"/>
    <w:rsid w:val="003F081D"/>
    <w:rsid w:val="003F2730"/>
    <w:rsid w:val="003F27AB"/>
    <w:rsid w:val="003F3FC6"/>
    <w:rsid w:val="003F73D6"/>
    <w:rsid w:val="003F73E1"/>
    <w:rsid w:val="003F7F39"/>
    <w:rsid w:val="00401E5C"/>
    <w:rsid w:val="004036D2"/>
    <w:rsid w:val="00403CE4"/>
    <w:rsid w:val="00410FAC"/>
    <w:rsid w:val="004118FC"/>
    <w:rsid w:val="00411CAD"/>
    <w:rsid w:val="0041444D"/>
    <w:rsid w:val="004179F8"/>
    <w:rsid w:val="00417DC8"/>
    <w:rsid w:val="0042027A"/>
    <w:rsid w:val="00420950"/>
    <w:rsid w:val="004268A5"/>
    <w:rsid w:val="00427593"/>
    <w:rsid w:val="0043169A"/>
    <w:rsid w:val="0043425C"/>
    <w:rsid w:val="00435EBD"/>
    <w:rsid w:val="0043607E"/>
    <w:rsid w:val="00456648"/>
    <w:rsid w:val="00461A72"/>
    <w:rsid w:val="0046283D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04CB"/>
    <w:rsid w:val="00481D13"/>
    <w:rsid w:val="0048693C"/>
    <w:rsid w:val="00487017"/>
    <w:rsid w:val="004A01D4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D0A10"/>
    <w:rsid w:val="004D31F2"/>
    <w:rsid w:val="004E1972"/>
    <w:rsid w:val="004E2154"/>
    <w:rsid w:val="004E2C77"/>
    <w:rsid w:val="004E35E5"/>
    <w:rsid w:val="004E3C26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15FCE"/>
    <w:rsid w:val="00520414"/>
    <w:rsid w:val="0052099A"/>
    <w:rsid w:val="00522274"/>
    <w:rsid w:val="00523705"/>
    <w:rsid w:val="0053263D"/>
    <w:rsid w:val="00532BDE"/>
    <w:rsid w:val="00533902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51275"/>
    <w:rsid w:val="00551589"/>
    <w:rsid w:val="00552585"/>
    <w:rsid w:val="0055285B"/>
    <w:rsid w:val="00554200"/>
    <w:rsid w:val="005614F7"/>
    <w:rsid w:val="005639E3"/>
    <w:rsid w:val="00566120"/>
    <w:rsid w:val="005713C6"/>
    <w:rsid w:val="00573E0E"/>
    <w:rsid w:val="005756E6"/>
    <w:rsid w:val="00576EDF"/>
    <w:rsid w:val="0058023A"/>
    <w:rsid w:val="005810A9"/>
    <w:rsid w:val="00593C83"/>
    <w:rsid w:val="00594CAE"/>
    <w:rsid w:val="005A073A"/>
    <w:rsid w:val="005A4E98"/>
    <w:rsid w:val="005B132A"/>
    <w:rsid w:val="005B2A72"/>
    <w:rsid w:val="005B384C"/>
    <w:rsid w:val="005B57C8"/>
    <w:rsid w:val="005B6B08"/>
    <w:rsid w:val="005B6F5B"/>
    <w:rsid w:val="005C0C82"/>
    <w:rsid w:val="005C1C49"/>
    <w:rsid w:val="005C4B31"/>
    <w:rsid w:val="005C5306"/>
    <w:rsid w:val="005D13EC"/>
    <w:rsid w:val="005D28A6"/>
    <w:rsid w:val="005D4BBE"/>
    <w:rsid w:val="005D4C80"/>
    <w:rsid w:val="005D77C2"/>
    <w:rsid w:val="005E1B86"/>
    <w:rsid w:val="005E25A2"/>
    <w:rsid w:val="005F268F"/>
    <w:rsid w:val="005F637D"/>
    <w:rsid w:val="00602E85"/>
    <w:rsid w:val="006030A5"/>
    <w:rsid w:val="00606AFA"/>
    <w:rsid w:val="00606D9D"/>
    <w:rsid w:val="00610136"/>
    <w:rsid w:val="00615F0C"/>
    <w:rsid w:val="00617633"/>
    <w:rsid w:val="006208AA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1CC5"/>
    <w:rsid w:val="006732ED"/>
    <w:rsid w:val="0067528C"/>
    <w:rsid w:val="00675453"/>
    <w:rsid w:val="00675A8B"/>
    <w:rsid w:val="00676EA1"/>
    <w:rsid w:val="00690883"/>
    <w:rsid w:val="00690DA4"/>
    <w:rsid w:val="00691745"/>
    <w:rsid w:val="00691BA6"/>
    <w:rsid w:val="00693F4E"/>
    <w:rsid w:val="00694117"/>
    <w:rsid w:val="00695640"/>
    <w:rsid w:val="006964F6"/>
    <w:rsid w:val="0069698E"/>
    <w:rsid w:val="00697C76"/>
    <w:rsid w:val="006A3BBE"/>
    <w:rsid w:val="006A3CEC"/>
    <w:rsid w:val="006B54D8"/>
    <w:rsid w:val="006B6625"/>
    <w:rsid w:val="006C2391"/>
    <w:rsid w:val="006C6386"/>
    <w:rsid w:val="006C7FD6"/>
    <w:rsid w:val="006D00A4"/>
    <w:rsid w:val="006D357B"/>
    <w:rsid w:val="006D4E10"/>
    <w:rsid w:val="006E1C8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401"/>
    <w:rsid w:val="00725F00"/>
    <w:rsid w:val="00731E3E"/>
    <w:rsid w:val="00733190"/>
    <w:rsid w:val="00737365"/>
    <w:rsid w:val="00740A3F"/>
    <w:rsid w:val="00742F8D"/>
    <w:rsid w:val="00744566"/>
    <w:rsid w:val="00745585"/>
    <w:rsid w:val="00750E43"/>
    <w:rsid w:val="00750E5D"/>
    <w:rsid w:val="00757CCA"/>
    <w:rsid w:val="0076171B"/>
    <w:rsid w:val="0076398B"/>
    <w:rsid w:val="007646BA"/>
    <w:rsid w:val="00764D5A"/>
    <w:rsid w:val="007660C9"/>
    <w:rsid w:val="00771B42"/>
    <w:rsid w:val="007721E4"/>
    <w:rsid w:val="00772D93"/>
    <w:rsid w:val="0077531F"/>
    <w:rsid w:val="007766B8"/>
    <w:rsid w:val="00780061"/>
    <w:rsid w:val="00784053"/>
    <w:rsid w:val="00784702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D1D4A"/>
    <w:rsid w:val="007D340D"/>
    <w:rsid w:val="007D42E6"/>
    <w:rsid w:val="007D5829"/>
    <w:rsid w:val="007D594F"/>
    <w:rsid w:val="007D776C"/>
    <w:rsid w:val="007E35A7"/>
    <w:rsid w:val="007E45B9"/>
    <w:rsid w:val="007E51F1"/>
    <w:rsid w:val="007E5A1F"/>
    <w:rsid w:val="007F5E44"/>
    <w:rsid w:val="008018D0"/>
    <w:rsid w:val="00802AFD"/>
    <w:rsid w:val="008033F0"/>
    <w:rsid w:val="00803D70"/>
    <w:rsid w:val="00804CFB"/>
    <w:rsid w:val="008064A2"/>
    <w:rsid w:val="008069CD"/>
    <w:rsid w:val="00806B96"/>
    <w:rsid w:val="00812695"/>
    <w:rsid w:val="00817FB8"/>
    <w:rsid w:val="00822448"/>
    <w:rsid w:val="00825D17"/>
    <w:rsid w:val="00827406"/>
    <w:rsid w:val="00827E05"/>
    <w:rsid w:val="00832278"/>
    <w:rsid w:val="00834454"/>
    <w:rsid w:val="00843EBE"/>
    <w:rsid w:val="008465E8"/>
    <w:rsid w:val="00847CC3"/>
    <w:rsid w:val="008555EC"/>
    <w:rsid w:val="008613DF"/>
    <w:rsid w:val="00861A5B"/>
    <w:rsid w:val="00884BA4"/>
    <w:rsid w:val="00884C58"/>
    <w:rsid w:val="00885A4A"/>
    <w:rsid w:val="008A0264"/>
    <w:rsid w:val="008A138A"/>
    <w:rsid w:val="008A2B72"/>
    <w:rsid w:val="008A3582"/>
    <w:rsid w:val="008A4803"/>
    <w:rsid w:val="008A5F9F"/>
    <w:rsid w:val="008B071D"/>
    <w:rsid w:val="008B469C"/>
    <w:rsid w:val="008B4AF5"/>
    <w:rsid w:val="008B720C"/>
    <w:rsid w:val="008B75D9"/>
    <w:rsid w:val="008C042F"/>
    <w:rsid w:val="008C0AD3"/>
    <w:rsid w:val="008C1BE4"/>
    <w:rsid w:val="008D0D47"/>
    <w:rsid w:val="008D1B66"/>
    <w:rsid w:val="008D44C1"/>
    <w:rsid w:val="008D7BC4"/>
    <w:rsid w:val="008E0921"/>
    <w:rsid w:val="008E188C"/>
    <w:rsid w:val="008E1C37"/>
    <w:rsid w:val="008E24DC"/>
    <w:rsid w:val="008E343B"/>
    <w:rsid w:val="008E3F9B"/>
    <w:rsid w:val="008E64CE"/>
    <w:rsid w:val="008E7EDA"/>
    <w:rsid w:val="008F0C67"/>
    <w:rsid w:val="008F4DB6"/>
    <w:rsid w:val="009015C6"/>
    <w:rsid w:val="00902327"/>
    <w:rsid w:val="00902DA7"/>
    <w:rsid w:val="009162DA"/>
    <w:rsid w:val="0091699A"/>
    <w:rsid w:val="00925ECE"/>
    <w:rsid w:val="0092634E"/>
    <w:rsid w:val="0093353A"/>
    <w:rsid w:val="0094584D"/>
    <w:rsid w:val="00945A23"/>
    <w:rsid w:val="00947799"/>
    <w:rsid w:val="00950173"/>
    <w:rsid w:val="00950A6E"/>
    <w:rsid w:val="00950EB3"/>
    <w:rsid w:val="00953B2F"/>
    <w:rsid w:val="009541AA"/>
    <w:rsid w:val="00954460"/>
    <w:rsid w:val="00957A06"/>
    <w:rsid w:val="00957CFE"/>
    <w:rsid w:val="00960CB6"/>
    <w:rsid w:val="00962BC9"/>
    <w:rsid w:val="009643B0"/>
    <w:rsid w:val="00965C1D"/>
    <w:rsid w:val="00966575"/>
    <w:rsid w:val="00970543"/>
    <w:rsid w:val="00971250"/>
    <w:rsid w:val="00980D4E"/>
    <w:rsid w:val="0098237F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32482"/>
    <w:rsid w:val="00A32FB4"/>
    <w:rsid w:val="00A33801"/>
    <w:rsid w:val="00A342A8"/>
    <w:rsid w:val="00A423D8"/>
    <w:rsid w:val="00A4262F"/>
    <w:rsid w:val="00A446D7"/>
    <w:rsid w:val="00A525DD"/>
    <w:rsid w:val="00A53A61"/>
    <w:rsid w:val="00A61DCE"/>
    <w:rsid w:val="00A64548"/>
    <w:rsid w:val="00A658B7"/>
    <w:rsid w:val="00A70B94"/>
    <w:rsid w:val="00A71156"/>
    <w:rsid w:val="00A73314"/>
    <w:rsid w:val="00A7432F"/>
    <w:rsid w:val="00A8315D"/>
    <w:rsid w:val="00A833E0"/>
    <w:rsid w:val="00A85775"/>
    <w:rsid w:val="00A8662B"/>
    <w:rsid w:val="00A94DEB"/>
    <w:rsid w:val="00A973F4"/>
    <w:rsid w:val="00AA1281"/>
    <w:rsid w:val="00AA1CE4"/>
    <w:rsid w:val="00AA3F49"/>
    <w:rsid w:val="00AA4D30"/>
    <w:rsid w:val="00AA5C1A"/>
    <w:rsid w:val="00AA676D"/>
    <w:rsid w:val="00AB2502"/>
    <w:rsid w:val="00AC336E"/>
    <w:rsid w:val="00AC3D2A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CDB"/>
    <w:rsid w:val="00B26D6D"/>
    <w:rsid w:val="00B30208"/>
    <w:rsid w:val="00B308D6"/>
    <w:rsid w:val="00B31BA4"/>
    <w:rsid w:val="00B31F9F"/>
    <w:rsid w:val="00B32BF9"/>
    <w:rsid w:val="00B44BB7"/>
    <w:rsid w:val="00B53384"/>
    <w:rsid w:val="00B62729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5D78"/>
    <w:rsid w:val="00B96B60"/>
    <w:rsid w:val="00BA20E7"/>
    <w:rsid w:val="00BA4212"/>
    <w:rsid w:val="00BA5435"/>
    <w:rsid w:val="00BA5A30"/>
    <w:rsid w:val="00BB0443"/>
    <w:rsid w:val="00BB51C6"/>
    <w:rsid w:val="00BB61D4"/>
    <w:rsid w:val="00BC172E"/>
    <w:rsid w:val="00BC1905"/>
    <w:rsid w:val="00BD0351"/>
    <w:rsid w:val="00BD3A99"/>
    <w:rsid w:val="00BD4C16"/>
    <w:rsid w:val="00BD50D3"/>
    <w:rsid w:val="00BE2600"/>
    <w:rsid w:val="00BE2AA8"/>
    <w:rsid w:val="00BF6CDF"/>
    <w:rsid w:val="00C007C7"/>
    <w:rsid w:val="00C03105"/>
    <w:rsid w:val="00C06793"/>
    <w:rsid w:val="00C10AF5"/>
    <w:rsid w:val="00C146D7"/>
    <w:rsid w:val="00C22068"/>
    <w:rsid w:val="00C2349C"/>
    <w:rsid w:val="00C2375A"/>
    <w:rsid w:val="00C306BE"/>
    <w:rsid w:val="00C34509"/>
    <w:rsid w:val="00C3474D"/>
    <w:rsid w:val="00C433FF"/>
    <w:rsid w:val="00C445E4"/>
    <w:rsid w:val="00C452E6"/>
    <w:rsid w:val="00C45974"/>
    <w:rsid w:val="00C530BA"/>
    <w:rsid w:val="00C53A73"/>
    <w:rsid w:val="00C57BF7"/>
    <w:rsid w:val="00C6399E"/>
    <w:rsid w:val="00C64358"/>
    <w:rsid w:val="00C645A4"/>
    <w:rsid w:val="00C64907"/>
    <w:rsid w:val="00C764C5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4F91"/>
    <w:rsid w:val="00CB5495"/>
    <w:rsid w:val="00CC54C9"/>
    <w:rsid w:val="00CC64E9"/>
    <w:rsid w:val="00CC6A50"/>
    <w:rsid w:val="00CC7576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D0313E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A58"/>
    <w:rsid w:val="00D50E8B"/>
    <w:rsid w:val="00D52A9D"/>
    <w:rsid w:val="00D6543B"/>
    <w:rsid w:val="00D6590F"/>
    <w:rsid w:val="00D65A0C"/>
    <w:rsid w:val="00D7356E"/>
    <w:rsid w:val="00D73DAD"/>
    <w:rsid w:val="00D7512E"/>
    <w:rsid w:val="00D81313"/>
    <w:rsid w:val="00D83E7C"/>
    <w:rsid w:val="00D84D3D"/>
    <w:rsid w:val="00D85D0B"/>
    <w:rsid w:val="00D86FA6"/>
    <w:rsid w:val="00D871F9"/>
    <w:rsid w:val="00D913B7"/>
    <w:rsid w:val="00D9277D"/>
    <w:rsid w:val="00D92982"/>
    <w:rsid w:val="00D937E2"/>
    <w:rsid w:val="00D946CE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D7FA7"/>
    <w:rsid w:val="00DE195F"/>
    <w:rsid w:val="00DE2892"/>
    <w:rsid w:val="00DE310B"/>
    <w:rsid w:val="00DE63F9"/>
    <w:rsid w:val="00DF11ED"/>
    <w:rsid w:val="00DF2186"/>
    <w:rsid w:val="00DF497E"/>
    <w:rsid w:val="00E03BA5"/>
    <w:rsid w:val="00E16844"/>
    <w:rsid w:val="00E2741D"/>
    <w:rsid w:val="00E27C14"/>
    <w:rsid w:val="00E330EB"/>
    <w:rsid w:val="00E34193"/>
    <w:rsid w:val="00E40365"/>
    <w:rsid w:val="00E40C35"/>
    <w:rsid w:val="00E424F9"/>
    <w:rsid w:val="00E454AF"/>
    <w:rsid w:val="00E455C0"/>
    <w:rsid w:val="00E4794F"/>
    <w:rsid w:val="00E51103"/>
    <w:rsid w:val="00E55D61"/>
    <w:rsid w:val="00E566D5"/>
    <w:rsid w:val="00E62528"/>
    <w:rsid w:val="00E62FA0"/>
    <w:rsid w:val="00E6421A"/>
    <w:rsid w:val="00E65D99"/>
    <w:rsid w:val="00E76A78"/>
    <w:rsid w:val="00E7714B"/>
    <w:rsid w:val="00E846C9"/>
    <w:rsid w:val="00E86E4E"/>
    <w:rsid w:val="00E95F9F"/>
    <w:rsid w:val="00EA2A52"/>
    <w:rsid w:val="00EA47A0"/>
    <w:rsid w:val="00EA6678"/>
    <w:rsid w:val="00EB4751"/>
    <w:rsid w:val="00EB5853"/>
    <w:rsid w:val="00EB6EE5"/>
    <w:rsid w:val="00EB77D5"/>
    <w:rsid w:val="00EB7A7F"/>
    <w:rsid w:val="00EC3712"/>
    <w:rsid w:val="00EC77B9"/>
    <w:rsid w:val="00ED077F"/>
    <w:rsid w:val="00ED0D6F"/>
    <w:rsid w:val="00ED3715"/>
    <w:rsid w:val="00ED711B"/>
    <w:rsid w:val="00EE3027"/>
    <w:rsid w:val="00EE38AB"/>
    <w:rsid w:val="00EE40BF"/>
    <w:rsid w:val="00EE48B6"/>
    <w:rsid w:val="00EF2B9A"/>
    <w:rsid w:val="00EF2F65"/>
    <w:rsid w:val="00EF369D"/>
    <w:rsid w:val="00EF709E"/>
    <w:rsid w:val="00F05DA8"/>
    <w:rsid w:val="00F065AF"/>
    <w:rsid w:val="00F07056"/>
    <w:rsid w:val="00F07C93"/>
    <w:rsid w:val="00F12CE2"/>
    <w:rsid w:val="00F138A2"/>
    <w:rsid w:val="00F14793"/>
    <w:rsid w:val="00F164B6"/>
    <w:rsid w:val="00F17E07"/>
    <w:rsid w:val="00F22034"/>
    <w:rsid w:val="00F23C80"/>
    <w:rsid w:val="00F24F21"/>
    <w:rsid w:val="00F31207"/>
    <w:rsid w:val="00F33ADF"/>
    <w:rsid w:val="00F35018"/>
    <w:rsid w:val="00F36FBC"/>
    <w:rsid w:val="00F37265"/>
    <w:rsid w:val="00F3743E"/>
    <w:rsid w:val="00F37527"/>
    <w:rsid w:val="00F40209"/>
    <w:rsid w:val="00F41503"/>
    <w:rsid w:val="00F43C50"/>
    <w:rsid w:val="00F446C0"/>
    <w:rsid w:val="00F508D3"/>
    <w:rsid w:val="00F56096"/>
    <w:rsid w:val="00F57773"/>
    <w:rsid w:val="00F60093"/>
    <w:rsid w:val="00F60681"/>
    <w:rsid w:val="00F620F1"/>
    <w:rsid w:val="00F64F61"/>
    <w:rsid w:val="00F66464"/>
    <w:rsid w:val="00F66CD0"/>
    <w:rsid w:val="00F72658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6DAE"/>
    <w:rsid w:val="00FA274E"/>
    <w:rsid w:val="00FA3885"/>
    <w:rsid w:val="00FA3D36"/>
    <w:rsid w:val="00FA663F"/>
    <w:rsid w:val="00FA7222"/>
    <w:rsid w:val="00FB144C"/>
    <w:rsid w:val="00FB2BA8"/>
    <w:rsid w:val="00FB447B"/>
    <w:rsid w:val="00FC0647"/>
    <w:rsid w:val="00FC453A"/>
    <w:rsid w:val="00FC4FDE"/>
    <w:rsid w:val="00FD3083"/>
    <w:rsid w:val="00FD5159"/>
    <w:rsid w:val="00FD73D3"/>
    <w:rsid w:val="00FE0A3A"/>
    <w:rsid w:val="00FE36CB"/>
    <w:rsid w:val="00FE4724"/>
    <w:rsid w:val="00FE5D55"/>
    <w:rsid w:val="00FE5E09"/>
    <w:rsid w:val="00FE7A71"/>
    <w:rsid w:val="00FF3B5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0361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3903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90361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0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0361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3903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90361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5F75-9DD9-410E-A1F2-23549DEE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24</Pages>
  <Words>8750</Words>
  <Characters>49878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9</cp:revision>
  <cp:lastPrinted>2020-11-05T06:24:00Z</cp:lastPrinted>
  <dcterms:created xsi:type="dcterms:W3CDTF">2024-12-17T09:07:00Z</dcterms:created>
  <dcterms:modified xsi:type="dcterms:W3CDTF">2024-12-25T09:54:00Z</dcterms:modified>
</cp:coreProperties>
</file>