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EE4D" w14:textId="77777777" w:rsidR="00A053EE" w:rsidRDefault="00A21E4D" w:rsidP="007F41E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7E2A11E" wp14:editId="5C4BE938">
            <wp:extent cx="750570" cy="647065"/>
            <wp:effectExtent l="0" t="0" r="0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1A2AA" w14:textId="77777777" w:rsidR="00A053EE" w:rsidRPr="00F46B9D" w:rsidRDefault="00A053EE" w:rsidP="007F41E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50A316B" w14:textId="77777777" w:rsidR="00A053EE" w:rsidRPr="00931988" w:rsidRDefault="00A053EE" w:rsidP="007F41E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ЭНЕРГЕТИКИ И ТАРИФОВ</w:t>
      </w:r>
    </w:p>
    <w:p w14:paraId="3316B1A9" w14:textId="77777777" w:rsidR="00A053EE" w:rsidRPr="00931988" w:rsidRDefault="00A053EE" w:rsidP="007F41E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1988">
        <w:rPr>
          <w:rFonts w:ascii="Times New Roman" w:hAnsi="Times New Roman"/>
          <w:b/>
          <w:sz w:val="28"/>
          <w:szCs w:val="28"/>
        </w:rPr>
        <w:t>ИВАНОВСКОЙ ОБЛАСТИ</w:t>
      </w:r>
    </w:p>
    <w:p w14:paraId="08AA676E" w14:textId="77777777" w:rsidR="00A053EE" w:rsidRPr="00931988" w:rsidRDefault="00A21E4D" w:rsidP="007F41E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73EE3B5" wp14:editId="72B272D7">
                <wp:simplePos x="0" y="0"/>
                <wp:positionH relativeFrom="column">
                  <wp:posOffset>655320</wp:posOffset>
                </wp:positionH>
                <wp:positionV relativeFrom="paragraph">
                  <wp:posOffset>54609</wp:posOffset>
                </wp:positionV>
                <wp:extent cx="45720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744AF3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" o:allowincell="f" strokeweight="2pt"/>
            </w:pict>
          </mc:Fallback>
        </mc:AlternateContent>
      </w:r>
    </w:p>
    <w:p w14:paraId="0C4EA1EF" w14:textId="77777777" w:rsidR="00A053EE" w:rsidRDefault="00A053EE" w:rsidP="007F41E5">
      <w:pPr>
        <w:pStyle w:val="2"/>
        <w:tabs>
          <w:tab w:val="left" w:pos="1276"/>
        </w:tabs>
        <w:rPr>
          <w:sz w:val="24"/>
          <w:szCs w:val="24"/>
        </w:rPr>
      </w:pPr>
      <w:r w:rsidRPr="00931988">
        <w:rPr>
          <w:sz w:val="24"/>
          <w:szCs w:val="24"/>
        </w:rPr>
        <w:t>П О С Т А Н О В Л Е Н И Е</w:t>
      </w:r>
    </w:p>
    <w:p w14:paraId="3FA6FF6D" w14:textId="77777777" w:rsidR="001530B9" w:rsidRPr="001530B9" w:rsidRDefault="001530B9" w:rsidP="001530B9">
      <w:pPr>
        <w:rPr>
          <w:lang w:eastAsia="ru-RU"/>
        </w:rPr>
      </w:pPr>
    </w:p>
    <w:p w14:paraId="04A1DBE2" w14:textId="08BD6A8B" w:rsidR="00A053EE" w:rsidRPr="00F07B1A" w:rsidRDefault="00A053EE" w:rsidP="001530B9">
      <w:pPr>
        <w:tabs>
          <w:tab w:val="left" w:pos="1276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7F6105">
        <w:rPr>
          <w:rFonts w:ascii="Times New Roman" w:hAnsi="Times New Roman"/>
          <w:sz w:val="24"/>
          <w:szCs w:val="24"/>
        </w:rPr>
        <w:t xml:space="preserve">от </w:t>
      </w:r>
      <w:r w:rsidR="00D02345">
        <w:rPr>
          <w:rFonts w:ascii="Times New Roman" w:hAnsi="Times New Roman"/>
          <w:sz w:val="24"/>
          <w:szCs w:val="24"/>
        </w:rPr>
        <w:t>01</w:t>
      </w:r>
      <w:r w:rsidRPr="007F6105">
        <w:rPr>
          <w:rFonts w:ascii="Times New Roman" w:hAnsi="Times New Roman"/>
          <w:sz w:val="24"/>
          <w:szCs w:val="24"/>
        </w:rPr>
        <w:t xml:space="preserve"> </w:t>
      </w:r>
      <w:r w:rsidR="00D02345">
        <w:rPr>
          <w:rFonts w:ascii="Times New Roman" w:hAnsi="Times New Roman"/>
          <w:sz w:val="24"/>
          <w:szCs w:val="24"/>
        </w:rPr>
        <w:t>декабря</w:t>
      </w:r>
      <w:r w:rsidRPr="007F6105">
        <w:rPr>
          <w:rFonts w:ascii="Times New Roman" w:hAnsi="Times New Roman"/>
          <w:sz w:val="24"/>
          <w:szCs w:val="24"/>
        </w:rPr>
        <w:t xml:space="preserve"> 20</w:t>
      </w:r>
      <w:r w:rsidR="00F046E0">
        <w:rPr>
          <w:rFonts w:ascii="Times New Roman" w:hAnsi="Times New Roman"/>
          <w:sz w:val="24"/>
          <w:szCs w:val="24"/>
        </w:rPr>
        <w:t>2</w:t>
      </w:r>
      <w:r w:rsidR="00D02345">
        <w:rPr>
          <w:rFonts w:ascii="Times New Roman" w:hAnsi="Times New Roman"/>
          <w:sz w:val="24"/>
          <w:szCs w:val="24"/>
        </w:rPr>
        <w:t>5</w:t>
      </w:r>
      <w:r w:rsidRPr="007F6105">
        <w:rPr>
          <w:rFonts w:ascii="Times New Roman" w:hAnsi="Times New Roman"/>
          <w:sz w:val="24"/>
          <w:szCs w:val="24"/>
        </w:rPr>
        <w:t xml:space="preserve"> г.</w:t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</w:r>
      <w:r w:rsidR="007E5923">
        <w:rPr>
          <w:rFonts w:ascii="Times New Roman" w:hAnsi="Times New Roman"/>
          <w:sz w:val="24"/>
          <w:szCs w:val="24"/>
        </w:rPr>
        <w:tab/>
      </w:r>
      <w:r w:rsidRPr="007F6105">
        <w:rPr>
          <w:rFonts w:ascii="Times New Roman" w:hAnsi="Times New Roman"/>
          <w:sz w:val="24"/>
          <w:szCs w:val="24"/>
        </w:rPr>
        <w:tab/>
        <w:t>№</w:t>
      </w:r>
      <w:r w:rsidR="00AD33BE">
        <w:rPr>
          <w:rFonts w:ascii="Times New Roman" w:hAnsi="Times New Roman"/>
          <w:sz w:val="24"/>
          <w:szCs w:val="24"/>
        </w:rPr>
        <w:t xml:space="preserve"> </w:t>
      </w:r>
      <w:r w:rsidR="00D02345">
        <w:rPr>
          <w:rFonts w:ascii="Times New Roman" w:hAnsi="Times New Roman"/>
          <w:sz w:val="24"/>
          <w:szCs w:val="24"/>
        </w:rPr>
        <w:t>57</w:t>
      </w:r>
      <w:r w:rsidR="00252BB1">
        <w:rPr>
          <w:rFonts w:ascii="Times New Roman" w:hAnsi="Times New Roman"/>
          <w:sz w:val="24"/>
          <w:szCs w:val="24"/>
        </w:rPr>
        <w:t>-э/</w:t>
      </w:r>
      <w:r w:rsidR="00E46942">
        <w:rPr>
          <w:rFonts w:ascii="Times New Roman" w:hAnsi="Times New Roman"/>
          <w:sz w:val="24"/>
          <w:szCs w:val="24"/>
        </w:rPr>
        <w:t>1</w:t>
      </w:r>
    </w:p>
    <w:p w14:paraId="507D1410" w14:textId="77777777" w:rsidR="001530B9" w:rsidRPr="00DB6E6C" w:rsidRDefault="001530B9" w:rsidP="00F07B1A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79508" w14:textId="77777777" w:rsidR="00F93D70" w:rsidRDefault="00C104FB" w:rsidP="00F07B1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30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</w:t>
      </w:r>
      <w:r w:rsidR="00664701" w:rsidRPr="001530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установлении</w:t>
      </w:r>
      <w:r w:rsidRPr="001530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стандартизированных тарифных ставок</w:t>
      </w:r>
      <w:r w:rsid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4B2DAC" w:rsidRPr="004B2DAC">
        <w:t xml:space="preserve"> </w:t>
      </w:r>
      <w:r w:rsidR="004B2DAC" w:rsidRP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льготны</w:t>
      </w:r>
      <w:r w:rsid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</w:t>
      </w:r>
      <w:r w:rsidR="004B2DAC" w:rsidRP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став</w:t>
      </w:r>
      <w:r w:rsid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</w:t>
      </w:r>
      <w:r w:rsidR="004B2DAC" w:rsidRPr="004B2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за 1 кВт запрашиваемой максимальной мощности</w:t>
      </w:r>
      <w:r w:rsidRPr="001530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формул платы за технологическое присоединение к электрическим сетям территориальных сетевых</w:t>
      </w:r>
      <w:r w:rsidR="009112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организаций </w:t>
      </w:r>
    </w:p>
    <w:p w14:paraId="2B9D5156" w14:textId="3CDCCAAD" w:rsidR="000237C5" w:rsidRDefault="0091128E" w:rsidP="00F07B1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Ивановской области</w:t>
      </w:r>
      <w:r w:rsidR="00E46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D023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E469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4D462CA1" w14:textId="77777777" w:rsidR="00C104FB" w:rsidRPr="00DB6E6C" w:rsidRDefault="00C104FB" w:rsidP="00F07B1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2AF4E8" w14:textId="77777777" w:rsidR="00C104FB" w:rsidRPr="00F26F9C" w:rsidRDefault="00C104FB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Федеральным законом</w:t>
      </w:r>
      <w:r w:rsidR="000237C5" w:rsidRPr="00F26F9C">
        <w:t xml:space="preserve"> </w:t>
      </w:r>
      <w:r w:rsidR="000237C5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от 26.03.2003 № 35-ФЗ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 электроэнергетике», постановлением Правительства Российской Федерации от 29.12.2011</w:t>
      </w:r>
      <w:r w:rsidR="00D57F1E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1178 «О ценообразовании в области регулируемых цен (тарифов) в электроэнергетике», 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равил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ами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</w:t>
      </w:r>
      <w:r w:rsidR="00F023B7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х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сетевым организациям и и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ным лицам к электрическим сетям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утвержденными постановлением Правительства Российской Федерации от 27.12.2004 № 861</w:t>
      </w:r>
      <w:r w:rsidR="00677C45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Правила технологического присоединения)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, М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етодически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указани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ями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определению размера платы за технологическое присоединение к элект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рическим сетям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утвержденными</w:t>
      </w:r>
      <w:r w:rsidR="000237C5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приказом Федеральной антимонопольной службы от </w:t>
      </w:r>
      <w:r w:rsidR="00882642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30.06.2022 № 490/22</w:t>
      </w:r>
      <w:r w:rsidR="003520AA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Методические указания</w:t>
      </w:r>
      <w:r w:rsidR="00FC7827" w:rsidRPr="00F26F9C">
        <w:t xml:space="preserve"> </w:t>
      </w:r>
      <w:r w:rsidR="00FC7827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по определению размера платы за технологическое присоединение к электрическим сетям</w:t>
      </w:r>
      <w:r w:rsidR="003520AA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0237C5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етодически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ми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указани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ями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определению выпадающих доходов, связанных с осуществлением технологического прис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оединения к электрическим сетям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утвержденными приказом Федеральной службы по тарифам от 11.09.2014 № 215-э/1,</w:t>
      </w:r>
      <w:r w:rsidR="00F27E6C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64701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Департамент энергетики и тарифов Ивановской области постановляет</w:t>
      </w: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430228A5" w14:textId="3C28E213" w:rsidR="00C104FB" w:rsidRPr="00F26F9C" w:rsidRDefault="00C104FB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1. У</w:t>
      </w:r>
      <w:r w:rsidR="001530B9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станов</w:t>
      </w:r>
      <w:r w:rsidR="0065529A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ить на 20</w:t>
      </w:r>
      <w:r w:rsidR="00B86CDB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D02345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5529A" w:rsidRPr="00F26F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год:</w:t>
      </w:r>
    </w:p>
    <w:p w14:paraId="44DE1CE8" w14:textId="77777777" w:rsidR="00C104FB" w:rsidRPr="006C4DCC" w:rsidRDefault="00C104FB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1.1. Стандартизированные тарифные ставки для расчета платы за технологическое присоединение к электрическим сетям территориальных сетевых организаций 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Ивановск</w:t>
      </w:r>
      <w:r w:rsidR="00F023B7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ой области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покрытие расходов, не связанных со строительством объектов электросетевого хозяйства</w:t>
      </w:r>
      <w:r w:rsidR="005D4F7F" w:rsidRPr="006C4DCC">
        <w:t xml:space="preserve"> </w:t>
      </w:r>
      <w:r w:rsidR="005D4F7F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и обеспечением средствами коммерческого учета электрической энергии</w:t>
      </w:r>
      <w:r w:rsidR="0065529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BD661B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</w:t>
      </w:r>
      <w:r w:rsidR="00BD661B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риложени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 к настоящему 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постановлению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807B764" w14:textId="77777777" w:rsidR="00C104FB" w:rsidRPr="006C4DCC" w:rsidRDefault="00C104FB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1.2. Стан</w:t>
      </w:r>
      <w:r w:rsidR="000B0A80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дартизированные тарифные ставки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расчета платы за технологическое присоединение к электрическим сетям территориальных сетевых организаций 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ской области на покрытие расходов, связанных со строительством объектов электросетевого хозяйства</w:t>
      </w:r>
      <w:r w:rsidR="005D4F7F" w:rsidRPr="006C4DCC">
        <w:t xml:space="preserve"> </w:t>
      </w:r>
      <w:r w:rsidR="005D4F7F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и обеспечением средствами коммерческого учета электрической энергии</w:t>
      </w:r>
      <w:r w:rsidR="007377E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D661B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риложени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 к настоящему п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остановлению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B133943" w14:textId="77777777" w:rsidR="00C104FB" w:rsidRPr="006C4DCC" w:rsidRDefault="00C104FB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 w:rsidR="00F27E6C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Формулы платы за технологическое присоединение к электрическим сетям территориальных сетевых организаций 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</w:t>
      </w:r>
      <w:r w:rsidR="00087532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ской области 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</w:t>
      </w:r>
      <w:r w:rsidR="00087532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</w:t>
      </w:r>
      <w:r w:rsidR="00721CAA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ем</w:t>
      </w:r>
      <w:r w:rsidR="00087532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27E6C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настоящему п</w:t>
      </w:r>
      <w:r w:rsidR="00664701"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остановлению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B88B98D" w14:textId="77777777" w:rsidR="00F27E6C" w:rsidRPr="006C4DCC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Установить льготные ставки за 1 кВт запрашиваемой максимальной мощности в отношении всей совокупности мероприятий по технологическому присоединению к электрическим сетям сетевых организаций на территории Ивановской </w:t>
      </w:r>
      <w:r w:rsidR="00DC46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области </w:t>
      </w:r>
      <w:r w:rsidRPr="006C4DCC">
        <w:rPr>
          <w:rFonts w:ascii="Times New Roman" w:eastAsia="Times New Roman" w:hAnsi="Times New Roman"/>
          <w:bCs/>
          <w:sz w:val="24"/>
          <w:szCs w:val="24"/>
          <w:lang w:eastAsia="ru-RU"/>
        </w:rPr>
        <w:t>в следующих размерах:</w:t>
      </w:r>
    </w:p>
    <w:p w14:paraId="37431397" w14:textId="1202B4BC" w:rsidR="00F27E6C" w:rsidRPr="001452F5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2.1. </w:t>
      </w:r>
      <w:r w:rsidR="00771119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01.</w:t>
      </w:r>
      <w:r w:rsidR="00E46942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D02345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r w:rsidR="00AA627F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</w:t>
      </w:r>
      <w:r w:rsidR="00E46942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E5A25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2E5A25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D02345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A627F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r w:rsidR="00291579" w:rsidRP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91579" w:rsidRP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522,09 </w:t>
      </w:r>
      <w:r w:rsidR="00614D77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руб. за кВт (с учетом НДС)</w:t>
      </w:r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определения стоимости мероприятий по технологическому присоединению:</w:t>
      </w:r>
    </w:p>
    <w:p w14:paraId="235358A1" w14:textId="6B4F4EDF" w:rsidR="00F27E6C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объектов микрогенерации заявителей - физических лиц, в том числе за одновременное </w:t>
      </w:r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технологическое присоединение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="00B86CC3" w:rsidRPr="00B86CC3">
        <w:rPr>
          <w:rFonts w:ascii="Times New Roman" w:hAnsi="Times New Roman"/>
          <w:sz w:val="24"/>
          <w:szCs w:val="24"/>
          <w:lang w:eastAsia="ru-RU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</w:t>
      </w:r>
      <w:r w:rsidR="00A4491B"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и объектов микрогенерации, в случае</w:t>
      </w:r>
      <w:proofErr w:type="gramEnd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технологического присоединения энергопринимающих устройств и (или) объектов микрогенерации, отнесенных к третьей категории надежности (по одному источнику электроснабжения), к объектам 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</w:t>
      </w:r>
      <w:proofErr w:type="gramEnd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gramStart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>поселках</w:t>
      </w:r>
      <w:proofErr w:type="gramEnd"/>
      <w:r w:rsidRPr="001452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городского типа и не более 500 метров в сельской местности;</w:t>
      </w:r>
    </w:p>
    <w:p w14:paraId="4F7BEAFC" w14:textId="4E38FA0A" w:rsidR="00F27E6C" w:rsidRPr="004869AE" w:rsidRDefault="00F27E6C" w:rsidP="00A449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</w:t>
      </w:r>
      <w:r w:rsidR="00B86CC3" w:rsidRPr="00B86CC3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E16AC6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E16AC6" w:rsidRPr="00E16A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86CC3" w:rsidRPr="00B86CC3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технологического присоединения энергопринимающих устройств</w:t>
      </w:r>
      <w:r w:rsidR="00B86CC3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B86CC3" w:rsidRPr="00B86C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>отнесенных к третьей категории надежности (по одному источнику электроснабжения)</w:t>
      </w:r>
      <w:r w:rsidR="004869A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4869AE" w:rsidRPr="004869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>к объектам</w:t>
      </w:r>
      <w:proofErr w:type="gramEnd"/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>электросетевого хозяйства сетевой организации на уровне напряжения 0,4 кВ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местности;</w:t>
      </w:r>
      <w:proofErr w:type="gramEnd"/>
    </w:p>
    <w:p w14:paraId="5FF29EDC" w14:textId="77777777" w:rsidR="00F27E6C" w:rsidRPr="0052325D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25D">
        <w:rPr>
          <w:rFonts w:ascii="Times New Roman" w:eastAsia="Times New Roman" w:hAnsi="Times New Roman"/>
          <w:bCs/>
          <w:sz w:val="24"/>
          <w:szCs w:val="24"/>
          <w:lang w:eastAsia="ru-RU"/>
        </w:rPr>
        <w:t>- объектов микрогенерации в случае подачи заявки юридическим лицом или индивидуальным предпринимателем в целях технологического присоединения объектов микрогенерации, а также одновременного технологического присоединения объектов микрогенерации и энергопринимающих устройств максимальной мощностью 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местности.</w:t>
      </w:r>
    </w:p>
    <w:p w14:paraId="79C54B8A" w14:textId="5E8A3698" w:rsidR="00F27E6C" w:rsidRPr="00112963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2.2.</w:t>
      </w:r>
      <w:r w:rsidR="00614D77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71119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614D77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11CD5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01.</w:t>
      </w:r>
      <w:r w:rsidR="00614D77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B11CD5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AD3BDE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B11CD5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 по 31.12.202</w:t>
      </w:r>
      <w:r w:rsidR="00AD3BDE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B11CD5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– </w:t>
      </w:r>
      <w:r w:rsidR="00291579" w:rsidRP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91579" w:rsidRPr="002915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304,42 </w:t>
      </w:r>
      <w:r w:rsidR="00B11CD5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руб. за кВт (с учетом НДС)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определения стоимости мероприятий по технологическому присоединению объектов микрогенерации, в том числе за одновременное технологическое присоединение энергопринимающих устройств и объектов микрогенерации, и энергопринимающих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энергопринимающих устройств), владеющих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объектами, отнесенными к третьей категории надежности (по одному источнику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электроснабжения), </w:t>
      </w:r>
      <w:r w:rsidR="00F539EC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которые используются для бытовых и иных нужд, не связанных с осуществлением предпринимательской деятельности,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при условии, что расстояние от границ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участка заявителя до объектов электросетевого хозяйства на уровне напряжения 0,4 кВ и ниже необходимого заявителю класса напряжения сетевой организации, в которую подана заявка, составляет не более 300 метров в городах и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поселках городского типа и не более 500 метров в сельской местности, при заключении договора на технологическое присоединение членом малообеспеченной семьи (одиноко проживающим гражданином), среднедушевой доход которого ниже величины прожиточного минимума, установленного в Ивановской области, определенным в соответствии с Федеральным законом «О прожиточном минимуме в Российской Федерации», а также лицами, указанными в статьях 14–16, 18 и 21 Федерального закона «О ветеранах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»,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статье 17 Федерального закона «О социальной защите инвалидов в Российской Федерации»</w:t>
      </w:r>
      <w:r w:rsid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529F7" w:rsidRP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(вне зависимости от того, являются ли лица, указанные в статье 17 </w:t>
      </w:r>
      <w:r w:rsid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«</w:t>
      </w:r>
      <w:r w:rsidR="009529F7" w:rsidRP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>О социальной защите инвалидов в Российской Федерации</w:t>
      </w:r>
      <w:r w:rsid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9529F7" w:rsidRP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>, нуждающимися в улучшении жилищных условий)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статье 14 Закона Российской Федерации «О социальной защите граждан, 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подвергшихся воздействию радиации вследствие катастрофы на Чернобыльской АЭС», статье 2 Федерального закона «О социальных гарантиях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гражданам, подвергшимся радиационному воздействию вследствие ядерных испытаний на Семипалатинском полигоне», части 8 статьи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Федерации» и «Об общих принципах организации местного самоуправления в Российской Федерации», статье 1 Федерального закона «О социальной защите граждан Российской Федерации, подвергшихся  воздействию радиации вследствие аварии в 1957 году на производственном объединении «Маяк» и сбросов радиоактивных отходов в реку Теча», пункте 1 и абзаце четвертом пункта 2 постановления Верховного Совета Российской Федерации от 27 декабря 1991 года № 2123-1 «О распространении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риска, Указе Президента 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Российской Федерации </w:t>
      </w:r>
      <w:r w:rsidR="004869AE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от 23 января 2024 г. №</w:t>
      </w:r>
      <w:r w:rsidR="004869AE" w:rsidRPr="00DC137D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4869AE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63 «О мерах социальной поддержки многодетных семей»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, в случае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представления заявителем документов, оформленных уполномоченным федеральным органом исполнительной власти (исполнительн</w:t>
      </w:r>
      <w:r w:rsidR="009529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ым </w:t>
      </w:r>
      <w:r w:rsidR="009529F7"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органом</w:t>
      </w:r>
      <w:r w:rsidR="00D809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субъекта Российской Федерации, управомоченным им государственным учреждением, органом местного самоуправления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proofErr w:type="gramStart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>подтверждающих</w:t>
      </w:r>
      <w:proofErr w:type="gramEnd"/>
      <w:r w:rsidRPr="001129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соответствие заявителя указанным категориям.</w:t>
      </w:r>
    </w:p>
    <w:p w14:paraId="20EFE35F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2.3. Плата за технологическое присоединение определяется:</w:t>
      </w:r>
    </w:p>
    <w:p w14:paraId="2DF27F44" w14:textId="17A25D5B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2.3.1. Для заявителей, 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указанных в абзацах </w:t>
      </w:r>
      <w:r w:rsidR="001F04B0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втором и третьем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2.1 </w:t>
      </w:r>
      <w:r w:rsidR="00E1469E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постановления, в соответствии с формулой (1.1)</w:t>
      </w:r>
      <w:r w:rsidR="00581003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4491B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учетом </w:t>
      </w:r>
      <w:r w:rsidR="00581003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условий, изложенных в </w:t>
      </w:r>
      <w:r w:rsidR="00A4491B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абзац</w:t>
      </w:r>
      <w:r w:rsidR="00581003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4491B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третье</w:t>
      </w:r>
      <w:r w:rsidR="00581003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A4491B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17 </w:t>
      </w:r>
      <w:r w:rsidR="001F04B0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 технологического присоединения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4B091FAE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113718" w14:textId="4AE41D96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(</w:t>
      </w:r>
      <w:proofErr w:type="spellStart"/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несоц</w:t>
      </w:r>
      <w:proofErr w:type="spellEnd"/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)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max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{</w:t>
      </w:r>
      <w:r w:rsidRPr="003F4E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</w:t>
      </w:r>
      <w:r w:rsidR="00AA627F" w:rsidRPr="003F4E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3F4EC7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n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{</w:t>
      </w:r>
      <w:proofErr w:type="spellStart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станд.ст</w:t>
      </w:r>
      <w:proofErr w:type="spellEnd"/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  <w:proofErr w:type="spellStart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несоц</w:t>
      </w:r>
      <w:proofErr w:type="spellEnd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*</w:t>
      </w:r>
      <w:r w:rsidRPr="003F4EC7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N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}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;З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С1.1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+З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С1.2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+З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С8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}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, (1.1),</w:t>
      </w:r>
    </w:p>
    <w:p w14:paraId="077B683E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45AC1CE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48C9C6EA" w14:textId="77777777" w:rsidR="00EC5B0E" w:rsidRPr="00273D00" w:rsidRDefault="00EC5B0E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FE0D8FE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станд.ст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.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– стоимость мероприятий по технологическому присоединению, рассчитанная с использованием стандартизированных тарифных ставок, руб.;</w:t>
      </w:r>
    </w:p>
    <w:p w14:paraId="6FF18E3E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несоц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льготная ставка за 1 кВт запрашиваемой максимальной мощности, указанная в пункте 2.1 </w:t>
      </w:r>
      <w:r w:rsidR="00EC5B0E"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постановления, руб./кВт;</w:t>
      </w:r>
    </w:p>
    <w:p w14:paraId="20EAD809" w14:textId="0C7F3626" w:rsidR="00B11CD5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запрашиваемая</w:t>
      </w:r>
      <w:proofErr w:type="gram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максимальная мощност</w:t>
      </w:r>
      <w:r w:rsidR="006A5AD8">
        <w:rPr>
          <w:rFonts w:ascii="Times New Roman" w:eastAsia="Times New Roman" w:hAnsi="Times New Roman"/>
          <w:bCs/>
          <w:sz w:val="24"/>
          <w:szCs w:val="24"/>
          <w:lang w:eastAsia="ru-RU"/>
        </w:rPr>
        <w:t>ь присоединяемых устройств, кВт;</w:t>
      </w:r>
    </w:p>
    <w:p w14:paraId="1E0A35C9" w14:textId="4E61714E" w:rsidR="006A5AD8" w:rsidRPr="003F4EC7" w:rsidRDefault="00FE5B2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</w:t>
      </w:r>
      <w:proofErr w:type="gramStart"/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.1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затраты, связанные с подготовкой и выдачей сетевой организацией технических условий заявителю, рассчитанные с применением стандартизированной тарифной ставки С1.1, указанной в приложении 1 к настоящему постановлению</w:t>
      </w:r>
      <w:r w:rsidR="00ED2CA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, руб.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7E9A2555" w14:textId="15378480" w:rsidR="006A5AD8" w:rsidRPr="003F4EC7" w:rsidRDefault="00FE5B2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</w:t>
      </w:r>
      <w:proofErr w:type="gramStart"/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1</w:t>
      </w:r>
      <w:proofErr w:type="gramEnd"/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.2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затраты, связанные с проверкой сетевой организацией выполнения заявителем технических условий (в случаях, если в соответствии с Правилами технологического присоединения предусматривается проверка выполнения технических условий заявителем), рассчитанные с применением стандартизированной тарифной ставки С1.2, указанной в приложении 1 к настоящему постановлению</w:t>
      </w:r>
      <w:r w:rsidR="00ED2CA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, руб.</w:t>
      </w:r>
      <w:r w:rsidR="00492C27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bookmarkStart w:id="0" w:name="_GoBack"/>
      <w:bookmarkEnd w:id="0"/>
    </w:p>
    <w:p w14:paraId="7B79D8CD" w14:textId="63345653" w:rsidR="006A5AD8" w:rsidRPr="00FE5B2C" w:rsidRDefault="00FE5B2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6A5AD8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С8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затраты на обеспечение средствами коммерческого учета электрической энергии (мощности) (в случаях, если техническими условиями предусмотрена замена прибора учета электрической энергии (мощности), рассчитанные с применением стандартизированной тарифной ставки С8, указанной в приложении 2 к настоящему постановлению</w:t>
      </w:r>
      <w:r w:rsidR="00ED2CA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, руб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</w:p>
    <w:p w14:paraId="6C6EA051" w14:textId="5D1206F9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2.3.2. </w:t>
      </w:r>
      <w:r w:rsidR="00E1469E"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DC137D">
        <w:rPr>
          <w:rFonts w:ascii="Times New Roman" w:eastAsia="Times New Roman" w:hAnsi="Times New Roman"/>
          <w:bCs/>
          <w:sz w:val="24"/>
          <w:szCs w:val="24"/>
          <w:lang w:eastAsia="ru-RU"/>
        </w:rPr>
        <w:t>ля заявителей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указанных в абзаце </w:t>
      </w:r>
      <w:r w:rsidR="001F04B0">
        <w:rPr>
          <w:rFonts w:ascii="Times New Roman" w:eastAsia="Times New Roman" w:hAnsi="Times New Roman"/>
          <w:bCs/>
          <w:sz w:val="24"/>
          <w:szCs w:val="24"/>
          <w:lang w:eastAsia="ru-RU"/>
        </w:rPr>
        <w:t>четвертом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2.1 </w:t>
      </w:r>
      <w:r w:rsidR="00EC5B0E"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постановления, в соответствии с формулой (1.2):</w:t>
      </w:r>
    </w:p>
    <w:p w14:paraId="6B093577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B5501C0" w14:textId="00913104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proofErr w:type="gram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ЭПУ до 150+мкг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</w:t>
      </w:r>
      <w:r w:rsidR="00AA627F"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{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станд.ст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несоц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*</w:t>
      </w:r>
      <w:r w:rsidRPr="00273D00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} + 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ЭПУ до 150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, (1.2),</w:t>
      </w:r>
    </w:p>
    <w:p w14:paraId="673115C3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11CD312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29DA55B2" w14:textId="77777777" w:rsidR="00B11CD5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1666AE" w14:textId="55BFBE1E" w:rsidR="00F27E6C" w:rsidRPr="00273D00" w:rsidRDefault="00B11CD5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Р</w:t>
      </w:r>
      <w:proofErr w:type="gram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ЭПУ до 150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плата за технологическое присоединение энергопринимающих устройств максимальной мощностью до 150 кВт включительно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</w:t>
      </w: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хозяйства сетевых организаций составляет не более 200 метров в городах и поселках городского типа и не более 300 метров в сельской местности, определяемая в соответствии с пунктом 12 Методических указаний по определению размера платы за технологическое присоединение к электрическим сетям, руб.</w:t>
      </w:r>
      <w:r w:rsidR="00942484" w:rsidRPr="00942484">
        <w:t xml:space="preserve"> </w:t>
      </w:r>
      <w:r w:rsidR="00942484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При технологическом присоединении только объектов микрогенерации P</w:t>
      </w:r>
      <w:r w:rsidR="00942484"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 ЭПУ до 150</w:t>
      </w:r>
      <w:r w:rsidR="00942484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приравнивается к нулю.</w:t>
      </w:r>
      <w:r w:rsidR="009424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End"/>
    </w:p>
    <w:p w14:paraId="4E6DF2F5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2.4. Плата за технологическое присоединение для заявителей, указанных в пункте 2.2 </w:t>
      </w:r>
      <w:r w:rsidR="00D87606"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постановления, определяется в соответствии с формулой (2):</w:t>
      </w:r>
    </w:p>
    <w:p w14:paraId="6B0E815C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68596E4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proofErr w:type="gram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(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соц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)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=</w:t>
      </w:r>
      <w:r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</w:t>
      </w:r>
      <w:r w:rsidR="00AA627F"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Pr="00273D0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{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станд.ст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;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соц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*</w:t>
      </w:r>
      <w:r w:rsidRPr="00273D00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}, (2),</w:t>
      </w:r>
    </w:p>
    <w:p w14:paraId="6DFA7507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688355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10831C0A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станд.ст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.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– стоимость мероприятий по технологическому присоединению, рассчитанная с использованием стандартизированных тарифных ставок, руб.;</w:t>
      </w:r>
    </w:p>
    <w:p w14:paraId="10D75C0A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proofErr w:type="spellStart"/>
      <w:r w:rsidRPr="00273D00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соц</w:t>
      </w:r>
      <w:proofErr w:type="spell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льготная ставка за 1 кВт запрашиваемой максимальной мощности, указанная в пункте 2.2 </w:t>
      </w:r>
      <w:r w:rsidR="00D87606"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постановления, руб./кВт;</w:t>
      </w:r>
    </w:p>
    <w:p w14:paraId="30F2AC26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C2F057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N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запрашиваемая максимальная мощность присоединяемых устройств, кВт.</w:t>
      </w:r>
    </w:p>
    <w:p w14:paraId="198B1ED6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92ABA6F" w14:textId="55E51BB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2.5. Льготные ставки и положения о размере платы за технологическое присоединение, указанные в пунктах 2.1, 2.2 и 2.3 </w:t>
      </w:r>
      <w:r w:rsidR="00D87606"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настоящего 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постановления, не применяются в случаях, определенных абзацами </w:t>
      </w:r>
      <w:r w:rsidR="001F04B0">
        <w:rPr>
          <w:rFonts w:ascii="Times New Roman" w:eastAsia="Times New Roman" w:hAnsi="Times New Roman"/>
          <w:bCs/>
          <w:sz w:val="24"/>
          <w:szCs w:val="24"/>
          <w:lang w:eastAsia="ru-RU"/>
        </w:rPr>
        <w:t>тридцатым – тридцать третьим</w:t>
      </w: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17 Правил технологического присоединения.</w:t>
      </w:r>
    </w:p>
    <w:p w14:paraId="473EDAC3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2.6. В состав платы за технологическое присоединение энергопринимающих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энергопринимающих устройств и (или) объектов электроэнергетики, в отношении:</w:t>
      </w:r>
    </w:p>
    <w:p w14:paraId="515B4BA5" w14:textId="77777777" w:rsidR="00F27E6C" w:rsidRPr="00273D00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- энергопринимающих устройств заявителей - юридических лиц или индивидуальных предпринимателей в случае одновременного технологического присоединения объектов микрогенерации и энергопринимающих устройств максимальной мощностью не более 150 кВт (с учетом ранее присоединенных в данной точке присоединения энергопринимающих устройств), присоединяемых по третьей категории надежности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и (или)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местности;</w:t>
      </w:r>
    </w:p>
    <w:p w14:paraId="3671ECDB" w14:textId="77777777" w:rsidR="00651817" w:rsidRDefault="00F27E6C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>- энергопринимающих устройств заявителей, указанных в пункте 12(1) Правил технологического присоединения,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кВ и ниже, при условии,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</w:t>
      </w:r>
      <w:proofErr w:type="gramEnd"/>
      <w:r w:rsidRPr="00273D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типа и не более 300 метров в сельской местности.</w:t>
      </w:r>
    </w:p>
    <w:p w14:paraId="2F6E9AB4" w14:textId="77777777" w:rsidR="00ED2CA1" w:rsidRPr="003F4EC7" w:rsidRDefault="00ED2CA1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2.7. </w:t>
      </w:r>
      <w:proofErr w:type="gramStart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объектов электросетевого хозяйства, в том числе на</w:t>
      </w:r>
      <w:proofErr w:type="gramEnd"/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строительство объектов электросетевого хозяйства от существующих объектов электросетевого хозяйства до присоединяемых энергопринимающих устройств. При этом плата за технологическое присоединение таких заявителей определяется в соответствии с формулой (3):</w:t>
      </w:r>
    </w:p>
    <w:p w14:paraId="14D8707B" w14:textId="77777777" w:rsidR="00ED2CA1" w:rsidRPr="003F4EC7" w:rsidRDefault="00ED2CA1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3A7A80" w14:textId="7A487A3D" w:rsidR="00ED2CA1" w:rsidRDefault="00ED2CA1" w:rsidP="00ED2CA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E137E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= З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С1.1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+З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С1.2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+З</w:t>
      </w:r>
      <w:r w:rsidRPr="003F4EC7">
        <w:rPr>
          <w:rFonts w:ascii="Times New Roman" w:eastAsia="Times New Roman" w:hAnsi="Times New Roman"/>
          <w:bCs/>
          <w:sz w:val="24"/>
          <w:szCs w:val="24"/>
          <w:vertAlign w:val="subscript"/>
          <w:lang w:eastAsia="ru-RU"/>
        </w:rPr>
        <w:t>С8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(3).</w:t>
      </w:r>
    </w:p>
    <w:p w14:paraId="4E5FDB00" w14:textId="77777777" w:rsidR="00ED2CA1" w:rsidRPr="00ED2CA1" w:rsidRDefault="00ED2CA1" w:rsidP="00ED2CA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0C0A5DB" w14:textId="6B5315F5" w:rsidR="001530B9" w:rsidRPr="00C7325E" w:rsidRDefault="00EE03DD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. Стандартизированные тарифные ставки, установленные в пп. 1.1.</w:t>
      </w:r>
      <w:r w:rsidR="00832FED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1.2. настоящего постановления, действуют с 01.</w:t>
      </w:r>
      <w:r w:rsidR="00AC023F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ED0F77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D2CA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31.12.20</w:t>
      </w:r>
      <w:r w:rsidR="00ED0F77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D2CA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9A7A011" w14:textId="1E08B4AF" w:rsidR="00481D0E" w:rsidRPr="00C7325E" w:rsidRDefault="00EE03DD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. С</w:t>
      </w:r>
      <w:r w:rsidR="002D5CD2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01.</w:t>
      </w:r>
      <w:r w:rsidR="00AC023F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2D5CD2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ED0F77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D2CA1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2D5CD2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признать утратившим</w:t>
      </w:r>
      <w:r w:rsidR="00481D0E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силу</w:t>
      </w:r>
      <w:r w:rsidR="00481D0E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5EB4A063" w14:textId="4E0030D1" w:rsidR="001530B9" w:rsidRPr="00C7325E" w:rsidRDefault="00000E77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0E203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постановления</w:t>
      </w:r>
      <w:r w:rsidR="001530B9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Департамента энергетики и тарифов Ивановской области от 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D0F77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11</w:t>
      </w:r>
      <w:r w:rsidR="00ED0F77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9357DC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ED0F77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 w:rsidR="000E203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-э/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0E2031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7-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э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/1, 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1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-э/1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24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32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-э/1, 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5.0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 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41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-э/1, 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19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.0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 № 42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-э/1, от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31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.10.202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1F6378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8-э/1</w:t>
      </w:r>
      <w:r w:rsidR="00EE03DD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, от 27.11.2025 № 55-э/1</w:t>
      </w:r>
      <w:r w:rsidR="0056623B" w:rsidRP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279EB9A" w14:textId="3A361F7D" w:rsidR="00C104FB" w:rsidRPr="00C7325E" w:rsidRDefault="00EE03DD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Настоящее постановление вступает в силу </w:t>
      </w:r>
      <w:r w:rsidR="0056623B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</w:t>
      </w:r>
      <w:r w:rsidR="001530B9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дня </w:t>
      </w:r>
      <w:r w:rsidR="000677BC" w:rsidRPr="00C7325E">
        <w:rPr>
          <w:rFonts w:ascii="Times New Roman" w:eastAsia="Times New Roman" w:hAnsi="Times New Roman"/>
          <w:bCs/>
          <w:sz w:val="24"/>
          <w:szCs w:val="24"/>
          <w:lang w:eastAsia="ru-RU"/>
        </w:rPr>
        <w:t>его официального опубликования.</w:t>
      </w:r>
    </w:p>
    <w:p w14:paraId="2A505388" w14:textId="77777777" w:rsidR="002D5CD2" w:rsidRPr="00C7325E" w:rsidRDefault="002D5CD2" w:rsidP="00F26F9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6A1410D" w14:textId="77777777" w:rsidR="00C104FB" w:rsidRPr="00C7325E" w:rsidRDefault="00C104FB" w:rsidP="001530B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34975D9" w14:textId="77777777" w:rsidR="00324F13" w:rsidRPr="00C7325E" w:rsidRDefault="00324F13" w:rsidP="001530B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3AF5C6" w14:textId="77777777" w:rsidR="00E46942" w:rsidRPr="00C7325E" w:rsidRDefault="00E46942" w:rsidP="00C979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Член Правительства Ивановской</w:t>
      </w:r>
    </w:p>
    <w:p w14:paraId="24F39502" w14:textId="77777777" w:rsidR="008D7D87" w:rsidRPr="00C7325E" w:rsidRDefault="00E46942" w:rsidP="00C979F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8D7D87" w:rsidRPr="00C7325E" w:rsidSect="00DD3EC4">
          <w:headerReference w:type="default" r:id="rId9"/>
          <w:pgSz w:w="11905" w:h="16840"/>
          <w:pgMar w:top="851" w:right="848" w:bottom="992" w:left="993" w:header="0" w:footer="0" w:gutter="0"/>
          <w:cols w:space="720"/>
          <w:noEndnote/>
          <w:titlePg/>
          <w:docGrid w:linePitch="299"/>
        </w:sectPr>
      </w:pPr>
      <w:r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области – директор </w:t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Департамента</w:t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C979F1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="00C104FB" w:rsidRPr="00C732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Е.Н. Морева</w:t>
      </w:r>
    </w:p>
    <w:p w14:paraId="2FA82CAB" w14:textId="77777777" w:rsidR="00C104FB" w:rsidRPr="007E5923" w:rsidRDefault="00C104FB" w:rsidP="001530B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C665C6" w14:textId="77777777" w:rsidR="004E34F9" w:rsidRPr="007E5923" w:rsidRDefault="00172423" w:rsidP="0017242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1 к </w:t>
      </w:r>
      <w:r w:rsidR="00AA3EDB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остановлению Департамента энергетики и тарифов</w:t>
      </w:r>
      <w:r w:rsidR="00142DEF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Ивановской области</w:t>
      </w:r>
    </w:p>
    <w:p w14:paraId="133B4BFA" w14:textId="69940E3E" w:rsidR="00172423" w:rsidRPr="007E5923" w:rsidRDefault="00172423" w:rsidP="0017242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252BB1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95A14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252BB1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ED0F77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57</w:t>
      </w:r>
      <w:r w:rsidR="00252BB1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-э/</w:t>
      </w:r>
      <w:r w:rsidR="0056623B" w:rsidRPr="007E592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14:paraId="64DE70A3" w14:textId="77777777" w:rsidR="00172423" w:rsidRPr="007E5923" w:rsidRDefault="00172423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940D9B" w14:textId="77777777" w:rsidR="00995A14" w:rsidRPr="007E5923" w:rsidRDefault="00995A14" w:rsidP="00995A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59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Стандартизированные тарифные ставки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не связанных со строительством объектов электросетевого хозяйства</w:t>
      </w:r>
      <w:r w:rsidR="005D4F7F" w:rsidRPr="007E5923">
        <w:t xml:space="preserve"> </w:t>
      </w:r>
      <w:r w:rsidR="005D4F7F" w:rsidRPr="007E59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обеспечением средствами коммерческого учета электрической энергии</w:t>
      </w:r>
      <w:r w:rsidRPr="007E59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исключая потребителей, указанных в пункте 2 настоящего приложения</w:t>
      </w:r>
    </w:p>
    <w:p w14:paraId="7EDADED4" w14:textId="77777777" w:rsidR="00995A14" w:rsidRPr="007E5923" w:rsidRDefault="00995A14" w:rsidP="00995A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1180"/>
        <w:gridCol w:w="10732"/>
        <w:gridCol w:w="3119"/>
      </w:tblGrid>
      <w:tr w:rsidR="00F26F9C" w:rsidRPr="00CB3A9E" w14:paraId="7A1373BB" w14:textId="77777777" w:rsidTr="00D532DC">
        <w:trPr>
          <w:trHeight w:val="12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DF5" w14:textId="77777777" w:rsidR="00995A14" w:rsidRPr="00CB3A9E" w:rsidRDefault="00995A14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C0E" w14:textId="77777777" w:rsidR="00995A14" w:rsidRPr="00CB3A9E" w:rsidRDefault="00995A14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стандартизированной тарифной  ставки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CF0" w14:textId="77777777" w:rsidR="00995A14" w:rsidRPr="00CB3A9E" w:rsidRDefault="00995A14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стандартизированной тарифной ставки, руб. за одно присоединение (без НДС)</w:t>
            </w:r>
          </w:p>
        </w:tc>
      </w:tr>
      <w:tr w:rsidR="00F26F9C" w:rsidRPr="00CB3A9E" w14:paraId="148FB471" w14:textId="77777777" w:rsidTr="00D532DC">
        <w:trPr>
          <w:trHeight w:val="4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D740" w14:textId="77777777" w:rsidR="00536DB6" w:rsidRPr="00CB3A9E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815" w14:textId="77777777" w:rsidR="00536DB6" w:rsidRPr="00CB3A9E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0B56" w14:textId="78B1FEDB" w:rsidR="00536DB6" w:rsidRPr="00CB3A9E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39 928,87</w:t>
            </w:r>
          </w:p>
        </w:tc>
      </w:tr>
      <w:tr w:rsidR="00F26F9C" w:rsidRPr="00CB3A9E" w14:paraId="1F637F35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07D" w14:textId="77777777" w:rsidR="00536DB6" w:rsidRPr="00CB3A9E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983" w14:textId="77777777" w:rsidR="00536DB6" w:rsidRPr="00CB3A9E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С1.1 - Подготовка и выдача сетевой организацией технических условий Заявителю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5B54" w14:textId="79B740FA" w:rsidR="00536DB6" w:rsidRPr="00CB3A9E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12 366,98</w:t>
            </w:r>
          </w:p>
        </w:tc>
      </w:tr>
      <w:tr w:rsidR="00F26F9C" w:rsidRPr="00CB3A9E" w14:paraId="5C6B3640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D7FD" w14:textId="77777777" w:rsidR="00536DB6" w:rsidRPr="00CB3A9E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E68A" w14:textId="77777777" w:rsidR="00536DB6" w:rsidRPr="00CB3A9E" w:rsidRDefault="00536DB6" w:rsidP="00536D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С1.2 - Проверка сетевой организацией выполнения Заявителем технических условий в следующей дифференциации: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2FF8" w14:textId="4E8FE8DF" w:rsidR="00536DB6" w:rsidRPr="00CB3A9E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27 561,89</w:t>
            </w:r>
          </w:p>
        </w:tc>
      </w:tr>
      <w:tr w:rsidR="00F26F9C" w:rsidRPr="00CB3A9E" w14:paraId="39FBD90F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A71" w14:textId="77777777" w:rsidR="00536DB6" w:rsidRPr="00CB3A9E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E7D3" w14:textId="77777777" w:rsidR="00536DB6" w:rsidRPr="00CB3A9E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С1.2.1 - Выдача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5B06" w14:textId="77777777" w:rsidR="00536DB6" w:rsidRPr="00CB3A9E" w:rsidRDefault="005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A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F9C" w:rsidRPr="00CB3A9E" w14:paraId="1A84103A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329" w14:textId="77777777" w:rsidR="00536DB6" w:rsidRPr="00CB3A9E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627" w14:textId="77777777" w:rsidR="00536DB6" w:rsidRPr="00CB3A9E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A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С1.2.2 - Проверка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9DE" w14:textId="7C2504AC" w:rsidR="00536DB6" w:rsidRPr="00CB3A9E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27 561,89</w:t>
            </w:r>
          </w:p>
        </w:tc>
      </w:tr>
    </w:tbl>
    <w:p w14:paraId="576F4E18" w14:textId="77777777" w:rsidR="00995A14" w:rsidRPr="00CB3A9E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6413E46E" w14:textId="77777777" w:rsidR="00995A14" w:rsidRPr="00CB3A9E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B3A9E">
        <w:rPr>
          <w:rFonts w:ascii="Times New Roman" w:eastAsia="Times New Roman" w:hAnsi="Times New Roman"/>
          <w:bCs/>
          <w:sz w:val="20"/>
          <w:szCs w:val="20"/>
          <w:lang w:eastAsia="ru-RU"/>
        </w:rPr>
        <w:t>Примечание:</w:t>
      </w:r>
    </w:p>
    <w:p w14:paraId="6A2F3782" w14:textId="77777777" w:rsidR="00995A14" w:rsidRPr="00CB3A9E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B3A9E">
        <w:rPr>
          <w:rFonts w:ascii="Times New Roman" w:eastAsia="Times New Roman" w:hAnsi="Times New Roman"/>
          <w:bCs/>
          <w:sz w:val="20"/>
          <w:szCs w:val="20"/>
          <w:lang w:eastAsia="ru-RU"/>
        </w:rPr>
        <w:t>Стандартизированные тарифные ставки применяются для постоянной схемы электроснабжения и для временной схемы электроснабжения, в том числе для обеспечения электрической энергией передвижных энергопринимающих устройств с максимальной мощностью до 150 кВт включительно (с учетом мощности ранее присоединенных в данной точке присоединения энергопринимающих устройств).</w:t>
      </w:r>
    </w:p>
    <w:p w14:paraId="3071777B" w14:textId="77777777" w:rsidR="00995A14" w:rsidRPr="00F26F9C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FF0000"/>
          <w:sz w:val="20"/>
          <w:szCs w:val="20"/>
          <w:lang w:eastAsia="ru-RU"/>
        </w:rPr>
        <w:sectPr w:rsidR="00995A14" w:rsidRPr="00F26F9C" w:rsidSect="00DD3EC4">
          <w:endnotePr>
            <w:numFmt w:val="decimal"/>
          </w:endnotePr>
          <w:pgSz w:w="16840" w:h="11907" w:orient="landscape"/>
          <w:pgMar w:top="1134" w:right="567" w:bottom="709" w:left="992" w:header="720" w:footer="720" w:gutter="0"/>
          <w:cols w:space="720"/>
          <w:docGrid w:linePitch="299"/>
        </w:sectPr>
      </w:pPr>
    </w:p>
    <w:p w14:paraId="0C0169D3" w14:textId="77777777" w:rsidR="00995A14" w:rsidRPr="00A10807" w:rsidRDefault="00995A14" w:rsidP="00995A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08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Стандартизированные тарифные ставки для расчета платы за технологическое присоединение энергопринимающих устройств потребителей, указанных в пунктах 12(1), 13(2) – 13(5), 14 Правил технологического присоединения, к электрическим сетям территориальных сетевых организаций Ивановской области на покрытие расходов, не связанных со строительством объектов электросетевого хозяйства</w:t>
      </w:r>
      <w:r w:rsidR="005D4F7F" w:rsidRPr="00A10807">
        <w:t xml:space="preserve"> </w:t>
      </w:r>
      <w:r w:rsidR="005D4F7F" w:rsidRPr="00A108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обеспечением средствами коммерческого учета электрической энергии </w:t>
      </w:r>
      <w:r w:rsidRPr="00A108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*</w:t>
      </w:r>
    </w:p>
    <w:p w14:paraId="2D4589B6" w14:textId="77777777" w:rsidR="00995A14" w:rsidRPr="00A10807" w:rsidRDefault="00995A14" w:rsidP="00995A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031" w:type="dxa"/>
        <w:tblInd w:w="103" w:type="dxa"/>
        <w:tblLook w:val="04A0" w:firstRow="1" w:lastRow="0" w:firstColumn="1" w:lastColumn="0" w:noHBand="0" w:noVBand="1"/>
      </w:tblPr>
      <w:tblGrid>
        <w:gridCol w:w="1180"/>
        <w:gridCol w:w="10732"/>
        <w:gridCol w:w="3119"/>
      </w:tblGrid>
      <w:tr w:rsidR="00F26F9C" w:rsidRPr="00A10807" w14:paraId="01697B28" w14:textId="77777777" w:rsidTr="00D532DC">
        <w:trPr>
          <w:trHeight w:val="12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E96" w14:textId="77777777" w:rsidR="00995A14" w:rsidRPr="00A10807" w:rsidRDefault="00995A14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07AC" w14:textId="77777777" w:rsidR="00995A14" w:rsidRPr="00A10807" w:rsidRDefault="00995A14" w:rsidP="004E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стандартизированной тарифной ставки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0987" w14:textId="77777777" w:rsidR="00995A14" w:rsidRPr="00A10807" w:rsidRDefault="00995A14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стандартизированной тарифной ставки, руб. за одно присоединение (без НДС)</w:t>
            </w:r>
          </w:p>
        </w:tc>
      </w:tr>
      <w:tr w:rsidR="00F26F9C" w:rsidRPr="00A10807" w14:paraId="0BBA429C" w14:textId="77777777" w:rsidTr="00D532DC">
        <w:trPr>
          <w:trHeight w:val="4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B6D" w14:textId="77777777" w:rsidR="00536DB6" w:rsidRPr="00A10807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80A4" w14:textId="77777777" w:rsidR="00536DB6" w:rsidRPr="00A10807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в том числе: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C65" w14:textId="445419EC" w:rsidR="00536DB6" w:rsidRPr="00A10807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16 131,72</w:t>
            </w:r>
          </w:p>
        </w:tc>
      </w:tr>
      <w:tr w:rsidR="00F26F9C" w:rsidRPr="00A10807" w14:paraId="348F3258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E27" w14:textId="77777777" w:rsidR="00536DB6" w:rsidRPr="00A10807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997A" w14:textId="77777777" w:rsidR="00536DB6" w:rsidRPr="00A10807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С1.1 - Подготовка и выдача сетевой организацией технических условий заявителю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6B6" w14:textId="3D4C359A" w:rsidR="00536DB6" w:rsidRPr="00A10807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12 366,98</w:t>
            </w:r>
          </w:p>
        </w:tc>
      </w:tr>
      <w:tr w:rsidR="00F26F9C" w:rsidRPr="00A10807" w14:paraId="58F6D043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25B8" w14:textId="77777777" w:rsidR="00536DB6" w:rsidRPr="00A10807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630" w14:textId="77777777" w:rsidR="00536DB6" w:rsidRPr="00A10807" w:rsidRDefault="00536DB6" w:rsidP="00995A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С1.2 - Проверка сетевой организацией выполнения заявителем технических условий в следующей дифференциации: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4A1B" w14:textId="4CD23DD2" w:rsidR="00536DB6" w:rsidRPr="00A10807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3 764,74</w:t>
            </w:r>
          </w:p>
        </w:tc>
      </w:tr>
      <w:tr w:rsidR="00F26F9C" w:rsidRPr="00A10807" w14:paraId="5E21D6A7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8E1B" w14:textId="77777777" w:rsidR="00536DB6" w:rsidRPr="00A10807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DA3" w14:textId="77777777" w:rsidR="00536DB6" w:rsidRPr="00A10807" w:rsidRDefault="00536DB6" w:rsidP="00D532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С1.2.1 - Выдача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D929" w14:textId="5CB42D0D" w:rsidR="00536DB6" w:rsidRPr="00A10807" w:rsidRDefault="00626E25" w:rsidP="0083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E25">
              <w:rPr>
                <w:rFonts w:ascii="Times New Roman" w:hAnsi="Times New Roman"/>
                <w:sz w:val="24"/>
                <w:szCs w:val="24"/>
              </w:rPr>
              <w:t>3 764,74</w:t>
            </w:r>
          </w:p>
        </w:tc>
      </w:tr>
      <w:tr w:rsidR="00F26F9C" w:rsidRPr="00A10807" w14:paraId="0E239E94" w14:textId="77777777" w:rsidTr="00D532DC">
        <w:trPr>
          <w:trHeight w:val="6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BFED" w14:textId="77777777" w:rsidR="00536DB6" w:rsidRPr="00A10807" w:rsidRDefault="00536DB6" w:rsidP="00995A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0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B939" w14:textId="77777777" w:rsidR="00536DB6" w:rsidRPr="00A10807" w:rsidRDefault="00536DB6" w:rsidP="00D532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С1.2.2 - Проверка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762D" w14:textId="77777777" w:rsidR="00536DB6" w:rsidRPr="00A10807" w:rsidRDefault="005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8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7873B8E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Примечание:</w:t>
      </w:r>
    </w:p>
    <w:p w14:paraId="6A047B5E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*Стандартизированная тарифная ставка (С 1) применяется в отношении:</w:t>
      </w:r>
    </w:p>
    <w:p w14:paraId="48FDBB9C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- 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14:paraId="4913302E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-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14:paraId="002C2CC2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- юридических лиц или индивидуальных предпринимателей в целях технологического присоединения объектов микрогенерации к объектам электросетевого хозяйства с уровнем напряжения до 1000 В,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14:paraId="39BDAC00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- юридических лиц или индивидуальных предпринимателей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электроснабжение которых предусматривается по одному источнику, и объектов микрогенерации,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14:paraId="3C7C4535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- физических лиц в целях технологического присоединения объекта микрогенерации к объектам электросетевого хозяйства с уровнем напряжения до 1000 В, если технологическое присоединение энергопринимающих устройств таких заявителей осуществляется на уровне напряжения 0,4 кВ и ниже;</w:t>
      </w:r>
    </w:p>
    <w:p w14:paraId="0677D5E1" w14:textId="77777777" w:rsidR="00995A14" w:rsidRPr="00A10807" w:rsidRDefault="00995A14" w:rsidP="00995A1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- физических лиц в целях одновременного технологического присоединения к объектам электросетевого хозяйства с уровнем напряжения до 1000 В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и объектов микрогенерации, если технологическое присоединение энергопринимающих устройств таких заявителей осуществляется на уровне напряжения 0,4 кВ и ниже.</w:t>
      </w:r>
    </w:p>
    <w:p w14:paraId="3E54C120" w14:textId="77777777" w:rsidR="00E272ED" w:rsidRPr="00A10807" w:rsidRDefault="00995A14" w:rsidP="00397F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>Стандартизированные тарифные ставки применяются для постоянной схемы электроснабжения.</w:t>
      </w:r>
      <w:r w:rsidR="006850E0" w:rsidRPr="00A1080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14:paraId="5481BECB" w14:textId="77777777" w:rsidR="00397F8D" w:rsidRPr="00A10807" w:rsidRDefault="00397F8D" w:rsidP="00397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  <w:sectPr w:rsidR="00397F8D" w:rsidRPr="00A10807" w:rsidSect="00397F8D">
          <w:pgSz w:w="16840" w:h="11905" w:orient="landscape"/>
          <w:pgMar w:top="567" w:right="851" w:bottom="1134" w:left="992" w:header="0" w:footer="0" w:gutter="0"/>
          <w:cols w:space="720"/>
          <w:noEndnote/>
          <w:docGrid w:linePitch="299"/>
        </w:sectPr>
      </w:pPr>
    </w:p>
    <w:p w14:paraId="1081473E" w14:textId="77777777" w:rsidR="00E43344" w:rsidRPr="0020059A" w:rsidRDefault="00E43344" w:rsidP="00E4334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Cs/>
          <w:lang w:eastAsia="ru-RU"/>
        </w:rPr>
      </w:pPr>
    </w:p>
    <w:p w14:paraId="4A96D2AA" w14:textId="77777777" w:rsidR="004E34F9" w:rsidRPr="0020059A" w:rsidRDefault="00F15D89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2 к </w:t>
      </w:r>
      <w:r w:rsidR="00AA3EDB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остановлению Департамента энергетики и тарифов</w:t>
      </w:r>
      <w:r w:rsidR="004E34F9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Ивановской области</w:t>
      </w:r>
    </w:p>
    <w:p w14:paraId="171CA5FE" w14:textId="1F92FF1B" w:rsidR="00F15D89" w:rsidRPr="0020059A" w:rsidRDefault="00F15D89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E34F9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252BB1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532DC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252BB1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4A2725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626E25">
        <w:rPr>
          <w:rFonts w:ascii="Times New Roman" w:eastAsia="Times New Roman" w:hAnsi="Times New Roman"/>
          <w:bCs/>
          <w:sz w:val="24"/>
          <w:szCs w:val="24"/>
          <w:lang w:eastAsia="ru-RU"/>
        </w:rPr>
        <w:t>57</w:t>
      </w:r>
      <w:r w:rsidR="00252BB1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-э/</w:t>
      </w:r>
      <w:r w:rsidR="00BB7BD7" w:rsidRPr="0020059A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</w:p>
    <w:p w14:paraId="4118B9C5" w14:textId="77777777" w:rsidR="004A2725" w:rsidRPr="0020059A" w:rsidRDefault="004A2725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C9B92C1" w14:textId="77777777" w:rsidR="00F15D89" w:rsidRPr="0020059A" w:rsidRDefault="00AD16F6" w:rsidP="00F86C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5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</w:t>
      </w:r>
      <w:r w:rsidR="005B35ED" w:rsidRPr="002005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дартизированные тарифные ставки</w:t>
      </w:r>
      <w:r w:rsidRPr="002005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расчета платы за технологическое присоединение к 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  <w:r w:rsidR="005B1EC4" w:rsidRPr="0020059A">
        <w:t xml:space="preserve"> </w:t>
      </w:r>
      <w:r w:rsidR="005B1EC4" w:rsidRPr="002005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обеспечением средствами коммерческого учета электрической энергии</w:t>
      </w:r>
    </w:p>
    <w:p w14:paraId="2759EE4D" w14:textId="77777777" w:rsidR="00F15D89" w:rsidRPr="0020059A" w:rsidRDefault="00F15D89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1"/>
        <w:gridCol w:w="4597"/>
        <w:gridCol w:w="2480"/>
        <w:gridCol w:w="2620"/>
      </w:tblGrid>
      <w:tr w:rsidR="00C043AD" w:rsidRPr="00C043AD" w14:paraId="14ACC4CB" w14:textId="77777777" w:rsidTr="00C043AD">
        <w:trPr>
          <w:trHeight w:val="855"/>
        </w:trPr>
        <w:tc>
          <w:tcPr>
            <w:tcW w:w="1120" w:type="dxa"/>
            <w:vMerge w:val="restart"/>
            <w:noWrap/>
            <w:hideMark/>
          </w:tcPr>
          <w:p w14:paraId="7A91D6A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№ п/п</w:t>
            </w:r>
          </w:p>
        </w:tc>
        <w:tc>
          <w:tcPr>
            <w:tcW w:w="5280" w:type="dxa"/>
            <w:vMerge w:val="restart"/>
            <w:hideMark/>
          </w:tcPr>
          <w:p w14:paraId="47E50ED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Наименование</w:t>
            </w:r>
          </w:p>
        </w:tc>
        <w:tc>
          <w:tcPr>
            <w:tcW w:w="5100" w:type="dxa"/>
            <w:gridSpan w:val="2"/>
            <w:noWrap/>
            <w:hideMark/>
          </w:tcPr>
          <w:p w14:paraId="3976913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 xml:space="preserve">Размер </w:t>
            </w:r>
            <w:proofErr w:type="spellStart"/>
            <w:r w:rsidRPr="00C043AD">
              <w:rPr>
                <w:lang w:eastAsia="ru-RU"/>
              </w:rPr>
              <w:t>стандартизированной</w:t>
            </w:r>
            <w:proofErr w:type="spellEnd"/>
            <w:r w:rsidRPr="00C043AD">
              <w:rPr>
                <w:lang w:eastAsia="ru-RU"/>
              </w:rPr>
              <w:t xml:space="preserve"> </w:t>
            </w:r>
            <w:proofErr w:type="spellStart"/>
            <w:r w:rsidRPr="00C043AD">
              <w:rPr>
                <w:lang w:eastAsia="ru-RU"/>
              </w:rPr>
              <w:t>тарифной</w:t>
            </w:r>
            <w:proofErr w:type="spellEnd"/>
            <w:r w:rsidRPr="00C043AD">
              <w:rPr>
                <w:lang w:eastAsia="ru-RU"/>
              </w:rPr>
              <w:t xml:space="preserve"> </w:t>
            </w:r>
            <w:proofErr w:type="spellStart"/>
            <w:r w:rsidRPr="00C043AD">
              <w:rPr>
                <w:lang w:eastAsia="ru-RU"/>
              </w:rPr>
              <w:t>ставки</w:t>
            </w:r>
            <w:proofErr w:type="spellEnd"/>
          </w:p>
        </w:tc>
      </w:tr>
      <w:tr w:rsidR="00C043AD" w:rsidRPr="00C043AD" w14:paraId="5A8E581C" w14:textId="77777777" w:rsidTr="00C043AD">
        <w:trPr>
          <w:trHeight w:val="1485"/>
        </w:trPr>
        <w:tc>
          <w:tcPr>
            <w:tcW w:w="1120" w:type="dxa"/>
            <w:vMerge/>
            <w:hideMark/>
          </w:tcPr>
          <w:p w14:paraId="430657D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5280" w:type="dxa"/>
            <w:vMerge/>
            <w:hideMark/>
          </w:tcPr>
          <w:p w14:paraId="6565BB5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2480" w:type="dxa"/>
            <w:hideMark/>
          </w:tcPr>
          <w:p w14:paraId="0AD19ED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Уровень напряжения для С</w:t>
            </w:r>
            <w:proofErr w:type="gramStart"/>
            <w:r w:rsidRPr="00C043AD">
              <w:rPr>
                <w:lang w:val="ru-RU" w:eastAsia="ru-RU"/>
              </w:rPr>
              <w:t>2</w:t>
            </w:r>
            <w:proofErr w:type="gramEnd"/>
            <w:r w:rsidRPr="00C043AD">
              <w:rPr>
                <w:lang w:val="ru-RU" w:eastAsia="ru-RU"/>
              </w:rPr>
              <w:t>, С3, С4, С8 - 0,4 кВ и ниже; для С5 - 6/0,4 кВ, 10/0,4 кВ</w:t>
            </w:r>
          </w:p>
        </w:tc>
        <w:tc>
          <w:tcPr>
            <w:tcW w:w="2620" w:type="dxa"/>
            <w:hideMark/>
          </w:tcPr>
          <w:p w14:paraId="26C7D04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Уровень напряжения для С</w:t>
            </w:r>
            <w:proofErr w:type="gramStart"/>
            <w:r w:rsidRPr="00C043AD">
              <w:rPr>
                <w:lang w:val="ru-RU" w:eastAsia="ru-RU"/>
              </w:rPr>
              <w:t>2</w:t>
            </w:r>
            <w:proofErr w:type="gramEnd"/>
            <w:r w:rsidRPr="00C043AD">
              <w:rPr>
                <w:lang w:val="ru-RU" w:eastAsia="ru-RU"/>
              </w:rPr>
              <w:t>, С4, С8 - 1-20 кВ; для С3 - 1-10 кВ; для С5 - 6/0,4 кВ, 10/0,4 кВ; для С6 - 6(10)/0,4 кВ; для С7 - 35/6(10) кВ</w:t>
            </w:r>
          </w:p>
        </w:tc>
      </w:tr>
      <w:tr w:rsidR="00C043AD" w:rsidRPr="00C043AD" w14:paraId="386F7951" w14:textId="77777777" w:rsidTr="00C043AD">
        <w:trPr>
          <w:trHeight w:val="630"/>
        </w:trPr>
        <w:tc>
          <w:tcPr>
            <w:tcW w:w="1120" w:type="dxa"/>
            <w:noWrap/>
            <w:hideMark/>
          </w:tcPr>
          <w:p w14:paraId="21D710FA" w14:textId="77777777" w:rsidR="00C043AD" w:rsidRPr="00C043AD" w:rsidRDefault="00C043AD" w:rsidP="00C043AD">
            <w:pPr>
              <w:spacing w:after="0" w:line="240" w:lineRule="auto"/>
              <w:jc w:val="both"/>
              <w:rPr>
                <w:b/>
                <w:bCs/>
                <w:lang w:eastAsia="ru-RU"/>
              </w:rPr>
            </w:pPr>
            <w:r w:rsidRPr="00C043AD">
              <w:rPr>
                <w:b/>
                <w:bCs/>
                <w:lang w:eastAsia="ru-RU"/>
              </w:rPr>
              <w:t>2.</w:t>
            </w:r>
          </w:p>
        </w:tc>
        <w:tc>
          <w:tcPr>
            <w:tcW w:w="10380" w:type="dxa"/>
            <w:gridSpan w:val="3"/>
            <w:hideMark/>
          </w:tcPr>
          <w:p w14:paraId="52B30263" w14:textId="77777777" w:rsidR="00C043AD" w:rsidRPr="00C043AD" w:rsidRDefault="00C043AD" w:rsidP="00C043AD">
            <w:pPr>
              <w:spacing w:after="0" w:line="240" w:lineRule="auto"/>
              <w:jc w:val="both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</w:t>
            </w:r>
            <w:proofErr w:type="gramStart"/>
            <w:r w:rsidRPr="00C043AD">
              <w:rPr>
                <w:b/>
                <w:bCs/>
                <w:lang w:val="ru-RU" w:eastAsia="ru-RU"/>
              </w:rPr>
              <w:t>2</w:t>
            </w:r>
            <w:proofErr w:type="gramEnd"/>
            <w:r w:rsidRPr="00C043AD">
              <w:rPr>
                <w:b/>
                <w:bCs/>
                <w:lang w:val="ru-RU" w:eastAsia="ru-RU"/>
              </w:rPr>
              <w:t xml:space="preserve"> – стандартизированная тарифная ставка на покрытие расходов сетевой организации на строительство воздушных линий электропередачи, руб./км без НДС</w:t>
            </w:r>
          </w:p>
        </w:tc>
      </w:tr>
      <w:tr w:rsidR="00C043AD" w:rsidRPr="00C043AD" w14:paraId="30E84A5A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278DDAB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2.1.1.4.1.1</w:t>
            </w:r>
          </w:p>
        </w:tc>
        <w:tc>
          <w:tcPr>
            <w:tcW w:w="5280" w:type="dxa"/>
            <w:hideMark/>
          </w:tcPr>
          <w:p w14:paraId="080D54F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деревянных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0282169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685 612,22</w:t>
            </w:r>
          </w:p>
        </w:tc>
        <w:tc>
          <w:tcPr>
            <w:tcW w:w="2620" w:type="dxa"/>
            <w:vAlign w:val="center"/>
            <w:hideMark/>
          </w:tcPr>
          <w:p w14:paraId="53A9B742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7D7E58C0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5A79345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2.1.1.4.2.1</w:t>
            </w:r>
          </w:p>
        </w:tc>
        <w:tc>
          <w:tcPr>
            <w:tcW w:w="5280" w:type="dxa"/>
            <w:hideMark/>
          </w:tcPr>
          <w:p w14:paraId="76D9B8A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деревянных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198EEB9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AEFD30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F160758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731FAEF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2.1.1.4.3.1</w:t>
            </w:r>
          </w:p>
        </w:tc>
        <w:tc>
          <w:tcPr>
            <w:tcW w:w="5280" w:type="dxa"/>
            <w:hideMark/>
          </w:tcPr>
          <w:p w14:paraId="2188254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деревянных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7F09FB4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CF9329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22644E45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4B24A1E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2.3.1.4.1.1</w:t>
            </w:r>
          </w:p>
        </w:tc>
        <w:tc>
          <w:tcPr>
            <w:tcW w:w="5280" w:type="dxa"/>
            <w:hideMark/>
          </w:tcPr>
          <w:p w14:paraId="5764A43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4AFD994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1 467 906,13</w:t>
            </w:r>
          </w:p>
        </w:tc>
        <w:tc>
          <w:tcPr>
            <w:tcW w:w="2620" w:type="dxa"/>
            <w:vAlign w:val="center"/>
            <w:hideMark/>
          </w:tcPr>
          <w:p w14:paraId="7DEDAF2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2 992 041,53</w:t>
            </w:r>
          </w:p>
        </w:tc>
      </w:tr>
      <w:tr w:rsidR="00C043AD" w:rsidRPr="00C043AD" w14:paraId="1B8A2F78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7D1B796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2.3.1.4.1.2</w:t>
            </w:r>
          </w:p>
        </w:tc>
        <w:tc>
          <w:tcPr>
            <w:tcW w:w="5280" w:type="dxa"/>
            <w:hideMark/>
          </w:tcPr>
          <w:p w14:paraId="220DDB3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14:paraId="08A04CD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08B1796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E34883C" w14:textId="77777777" w:rsidTr="00C043AD">
        <w:trPr>
          <w:trHeight w:val="1245"/>
        </w:trPr>
        <w:tc>
          <w:tcPr>
            <w:tcW w:w="1120" w:type="dxa"/>
            <w:noWrap/>
            <w:hideMark/>
          </w:tcPr>
          <w:p w14:paraId="1F4BCF0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2.3.1.4.2.1</w:t>
            </w:r>
          </w:p>
        </w:tc>
        <w:tc>
          <w:tcPr>
            <w:tcW w:w="5280" w:type="dxa"/>
            <w:hideMark/>
          </w:tcPr>
          <w:p w14:paraId="3A5247D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019AC61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1 578 428,05</w:t>
            </w:r>
          </w:p>
        </w:tc>
        <w:tc>
          <w:tcPr>
            <w:tcW w:w="2620" w:type="dxa"/>
            <w:vAlign w:val="center"/>
            <w:hideMark/>
          </w:tcPr>
          <w:p w14:paraId="29AE490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3 581 616,47</w:t>
            </w:r>
          </w:p>
        </w:tc>
      </w:tr>
      <w:tr w:rsidR="00C043AD" w:rsidRPr="00C043AD" w14:paraId="5573E3E8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605B19F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2.3.1.4.2.2</w:t>
            </w:r>
          </w:p>
        </w:tc>
        <w:tc>
          <w:tcPr>
            <w:tcW w:w="5280" w:type="dxa"/>
            <w:hideMark/>
          </w:tcPr>
          <w:p w14:paraId="2200B2E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14:paraId="0FDB00C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5FB8F3F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213D7BEA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59FB165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2.3.1.4.3.1</w:t>
            </w:r>
          </w:p>
        </w:tc>
        <w:tc>
          <w:tcPr>
            <w:tcW w:w="5280" w:type="dxa"/>
            <w:hideMark/>
          </w:tcPr>
          <w:p w14:paraId="109415D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1C17A37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1 630 156,30</w:t>
            </w:r>
          </w:p>
        </w:tc>
        <w:tc>
          <w:tcPr>
            <w:tcW w:w="2620" w:type="dxa"/>
            <w:vAlign w:val="center"/>
            <w:hideMark/>
          </w:tcPr>
          <w:p w14:paraId="51E6E07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693D47F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EC7753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2.3.1.4.3.2</w:t>
            </w:r>
          </w:p>
        </w:tc>
        <w:tc>
          <w:tcPr>
            <w:tcW w:w="5280" w:type="dxa"/>
            <w:hideMark/>
          </w:tcPr>
          <w:p w14:paraId="54E84AB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двухцепные</w:t>
            </w:r>
          </w:p>
        </w:tc>
        <w:tc>
          <w:tcPr>
            <w:tcW w:w="2480" w:type="dxa"/>
            <w:vAlign w:val="center"/>
            <w:hideMark/>
          </w:tcPr>
          <w:p w14:paraId="6E8848B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D5A91A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92DD16F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04BD19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2.3.1.4.4.1</w:t>
            </w:r>
          </w:p>
        </w:tc>
        <w:tc>
          <w:tcPr>
            <w:tcW w:w="5280" w:type="dxa"/>
            <w:hideMark/>
          </w:tcPr>
          <w:p w14:paraId="37B49CA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изолированным алюминиевым проводом сечением от 200 до 500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26EB2DE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74CD25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7FB53852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7DC85EE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2.3.2.3.1.1</w:t>
            </w:r>
          </w:p>
        </w:tc>
        <w:tc>
          <w:tcPr>
            <w:tcW w:w="5280" w:type="dxa"/>
            <w:hideMark/>
          </w:tcPr>
          <w:p w14:paraId="0AED73A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сталеалюминиевым проводом сечением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527A75E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333 426,22</w:t>
            </w:r>
          </w:p>
        </w:tc>
        <w:tc>
          <w:tcPr>
            <w:tcW w:w="2620" w:type="dxa"/>
            <w:vAlign w:val="center"/>
            <w:hideMark/>
          </w:tcPr>
          <w:p w14:paraId="3F0A0D8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2 741 680,27</w:t>
            </w:r>
          </w:p>
        </w:tc>
      </w:tr>
      <w:tr w:rsidR="00C043AD" w:rsidRPr="00C043AD" w14:paraId="76C07E74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63EAAE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2.3.2.3.2.1</w:t>
            </w:r>
          </w:p>
        </w:tc>
        <w:tc>
          <w:tcPr>
            <w:tcW w:w="5280" w:type="dxa"/>
            <w:hideMark/>
          </w:tcPr>
          <w:p w14:paraId="0D2F6FB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сталеалюминиевым проводом сечением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6FDD3C0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554F17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3 676 147,79</w:t>
            </w:r>
          </w:p>
        </w:tc>
      </w:tr>
      <w:tr w:rsidR="00C043AD" w:rsidRPr="00C043AD" w14:paraId="719858C6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51C01DA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2.3.2.3.3.1</w:t>
            </w:r>
          </w:p>
        </w:tc>
        <w:tc>
          <w:tcPr>
            <w:tcW w:w="5280" w:type="dxa"/>
            <w:hideMark/>
          </w:tcPr>
          <w:p w14:paraId="523D7C22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сталеалюминиевым проводом сечением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1BD00B9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759F85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079C9C1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7C928ED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2.3.2.3.4.1</w:t>
            </w:r>
          </w:p>
        </w:tc>
        <w:tc>
          <w:tcPr>
            <w:tcW w:w="5280" w:type="dxa"/>
            <w:hideMark/>
          </w:tcPr>
          <w:p w14:paraId="1D7F22D4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сталеалюминиевым проводом сечением от 200 до 500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3167EC9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AEB507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E593C59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4B3DCEB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2.3.2.4.1.1</w:t>
            </w:r>
          </w:p>
        </w:tc>
        <w:tc>
          <w:tcPr>
            <w:tcW w:w="5280" w:type="dxa"/>
            <w:hideMark/>
          </w:tcPr>
          <w:p w14:paraId="1D2F7DD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алюминиевым проводом сечением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41FBB8FC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1 228 811,71</w:t>
            </w:r>
          </w:p>
        </w:tc>
        <w:tc>
          <w:tcPr>
            <w:tcW w:w="2620" w:type="dxa"/>
            <w:vAlign w:val="center"/>
            <w:hideMark/>
          </w:tcPr>
          <w:p w14:paraId="70F47C8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2 659 775,98</w:t>
            </w:r>
          </w:p>
        </w:tc>
      </w:tr>
      <w:tr w:rsidR="00C043AD" w:rsidRPr="00C043AD" w14:paraId="5868CF0C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706D1A4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2.3.2.4.2.1</w:t>
            </w:r>
          </w:p>
        </w:tc>
        <w:tc>
          <w:tcPr>
            <w:tcW w:w="5280" w:type="dxa"/>
            <w:hideMark/>
          </w:tcPr>
          <w:p w14:paraId="249681B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алюминиевым проводом сечением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3CFC2F6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1B3C3BC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E874012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7DBF1B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2.3.2.4.3.1</w:t>
            </w:r>
          </w:p>
        </w:tc>
        <w:tc>
          <w:tcPr>
            <w:tcW w:w="5280" w:type="dxa"/>
            <w:hideMark/>
          </w:tcPr>
          <w:p w14:paraId="5BD440E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алюминиевым проводом сечением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78CAFF2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EABC3E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7A071CF1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5B1D37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2.3.2.4.4.1</w:t>
            </w:r>
          </w:p>
        </w:tc>
        <w:tc>
          <w:tcPr>
            <w:tcW w:w="5280" w:type="dxa"/>
            <w:hideMark/>
          </w:tcPr>
          <w:p w14:paraId="720B8A9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воздушные линии на железобетонных опорах неизолированным алюминиевым проводом сечением от 200 до 500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одноцепные</w:t>
            </w:r>
          </w:p>
        </w:tc>
        <w:tc>
          <w:tcPr>
            <w:tcW w:w="2480" w:type="dxa"/>
            <w:vAlign w:val="center"/>
            <w:hideMark/>
          </w:tcPr>
          <w:p w14:paraId="3FD1EDA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396C4C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078BFCA" w14:textId="77777777" w:rsidTr="00C043AD">
        <w:trPr>
          <w:trHeight w:val="675"/>
        </w:trPr>
        <w:tc>
          <w:tcPr>
            <w:tcW w:w="1120" w:type="dxa"/>
            <w:noWrap/>
            <w:hideMark/>
          </w:tcPr>
          <w:p w14:paraId="7DEE3B1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375CDC35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С3 – стандартизированная тарифная ставка на покрытие расходов сетевой организации на строительство кабельных линий электропередачи, руб./</w:t>
            </w:r>
            <w:proofErr w:type="gramStart"/>
            <w:r w:rsidRPr="00C043AD">
              <w:rPr>
                <w:b/>
                <w:bCs/>
                <w:lang w:val="ru-RU" w:eastAsia="ru-RU"/>
              </w:rPr>
              <w:t>км</w:t>
            </w:r>
            <w:proofErr w:type="gramEnd"/>
            <w:r w:rsidRPr="00C043AD">
              <w:rPr>
                <w:b/>
                <w:bCs/>
                <w:lang w:val="ru-RU" w:eastAsia="ru-RU"/>
              </w:rPr>
              <w:t xml:space="preserve"> без НДС</w:t>
            </w:r>
          </w:p>
        </w:tc>
      </w:tr>
      <w:tr w:rsidR="00C043AD" w:rsidRPr="00C043AD" w14:paraId="6B7075A6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33625664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3.1.2.1.1.1</w:t>
            </w:r>
          </w:p>
        </w:tc>
        <w:tc>
          <w:tcPr>
            <w:tcW w:w="5280" w:type="dxa"/>
            <w:hideMark/>
          </w:tcPr>
          <w:p w14:paraId="5E99020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2EEFF21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1 104 171,97</w:t>
            </w:r>
          </w:p>
        </w:tc>
        <w:tc>
          <w:tcPr>
            <w:tcW w:w="2620" w:type="dxa"/>
            <w:vAlign w:val="center"/>
            <w:hideMark/>
          </w:tcPr>
          <w:p w14:paraId="4627443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9D25003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545E5DA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3.1.2.1.1.2</w:t>
            </w:r>
          </w:p>
        </w:tc>
        <w:tc>
          <w:tcPr>
            <w:tcW w:w="5280" w:type="dxa"/>
            <w:hideMark/>
          </w:tcPr>
          <w:p w14:paraId="433CF07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13E2FD8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0624B8C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96564E9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24545E2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3.1.2.1.2.1</w:t>
            </w:r>
          </w:p>
        </w:tc>
        <w:tc>
          <w:tcPr>
            <w:tcW w:w="5280" w:type="dxa"/>
            <w:hideMark/>
          </w:tcPr>
          <w:p w14:paraId="53ABE61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04A5D7F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95BFF7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EF3CC7E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11DCF3D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3.1.2.1.2.2</w:t>
            </w:r>
          </w:p>
        </w:tc>
        <w:tc>
          <w:tcPr>
            <w:tcW w:w="5280" w:type="dxa"/>
            <w:hideMark/>
          </w:tcPr>
          <w:p w14:paraId="64837DF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23840DB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1 948 827,46</w:t>
            </w:r>
          </w:p>
        </w:tc>
        <w:tc>
          <w:tcPr>
            <w:tcW w:w="2620" w:type="dxa"/>
            <w:vAlign w:val="center"/>
            <w:hideMark/>
          </w:tcPr>
          <w:p w14:paraId="1C0E62D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863A4F3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19F8E28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3.1.2.1.3.1</w:t>
            </w:r>
          </w:p>
        </w:tc>
        <w:tc>
          <w:tcPr>
            <w:tcW w:w="5280" w:type="dxa"/>
            <w:hideMark/>
          </w:tcPr>
          <w:p w14:paraId="7C1820E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44B3040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2 228 030,51</w:t>
            </w:r>
          </w:p>
        </w:tc>
        <w:tc>
          <w:tcPr>
            <w:tcW w:w="2620" w:type="dxa"/>
            <w:vAlign w:val="center"/>
            <w:hideMark/>
          </w:tcPr>
          <w:p w14:paraId="22AF412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6DE376B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1BBDD0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3.1.2.1.3.2</w:t>
            </w:r>
          </w:p>
        </w:tc>
        <w:tc>
          <w:tcPr>
            <w:tcW w:w="5280" w:type="dxa"/>
            <w:hideMark/>
          </w:tcPr>
          <w:p w14:paraId="7F1C800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0368AF3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2 813 500,90</w:t>
            </w:r>
          </w:p>
        </w:tc>
        <w:tc>
          <w:tcPr>
            <w:tcW w:w="2620" w:type="dxa"/>
            <w:vAlign w:val="center"/>
            <w:hideMark/>
          </w:tcPr>
          <w:p w14:paraId="621691A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6B222DB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600BA7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3.1.2.1.3.3</w:t>
            </w:r>
          </w:p>
        </w:tc>
        <w:tc>
          <w:tcPr>
            <w:tcW w:w="5280" w:type="dxa"/>
            <w:hideMark/>
          </w:tcPr>
          <w:p w14:paraId="44FF5D92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тремя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13B5962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84E80D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E3DA8FD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AF0087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3.1.2.1.4.1</w:t>
            </w:r>
          </w:p>
        </w:tc>
        <w:tc>
          <w:tcPr>
            <w:tcW w:w="5280" w:type="dxa"/>
            <w:hideMark/>
          </w:tcPr>
          <w:p w14:paraId="1581C66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2EA60D8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362BEC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FB0B3A2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E88E3C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3.1.2.1.4.2</w:t>
            </w:r>
          </w:p>
        </w:tc>
        <w:tc>
          <w:tcPr>
            <w:tcW w:w="5280" w:type="dxa"/>
            <w:hideMark/>
          </w:tcPr>
          <w:p w14:paraId="74980CE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08340D8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3 765 999,00</w:t>
            </w:r>
          </w:p>
        </w:tc>
        <w:tc>
          <w:tcPr>
            <w:tcW w:w="2620" w:type="dxa"/>
            <w:vAlign w:val="center"/>
            <w:hideMark/>
          </w:tcPr>
          <w:p w14:paraId="4FF7C79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135068C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8E84E8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3.1.2.1.4.4</w:t>
            </w:r>
          </w:p>
        </w:tc>
        <w:tc>
          <w:tcPr>
            <w:tcW w:w="5280" w:type="dxa"/>
            <w:hideMark/>
          </w:tcPr>
          <w:p w14:paraId="3318800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4DF5871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5F4BFCF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097BB6F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A48E8C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3.1.2.2.1.1</w:t>
            </w:r>
          </w:p>
        </w:tc>
        <w:tc>
          <w:tcPr>
            <w:tcW w:w="5280" w:type="dxa"/>
            <w:hideMark/>
          </w:tcPr>
          <w:p w14:paraId="0A16CB7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2787BFB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DD2872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2 605 232,19</w:t>
            </w:r>
          </w:p>
        </w:tc>
      </w:tr>
      <w:tr w:rsidR="00C043AD" w:rsidRPr="00C043AD" w14:paraId="519BEAF8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7FE6A1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3.1.2.2.2.1</w:t>
            </w:r>
          </w:p>
        </w:tc>
        <w:tc>
          <w:tcPr>
            <w:tcW w:w="5280" w:type="dxa"/>
            <w:hideMark/>
          </w:tcPr>
          <w:p w14:paraId="0639BDB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7030E86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F4FC09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2 727 703,93</w:t>
            </w:r>
          </w:p>
        </w:tc>
      </w:tr>
      <w:tr w:rsidR="00C043AD" w:rsidRPr="00C043AD" w14:paraId="540EEF6A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659219F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3.1.2.2.2.2</w:t>
            </w:r>
          </w:p>
        </w:tc>
        <w:tc>
          <w:tcPr>
            <w:tcW w:w="5280" w:type="dxa"/>
            <w:hideMark/>
          </w:tcPr>
          <w:p w14:paraId="30F9F0F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7F9E195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F3EB76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ABB7F96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5C039F3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3.1.2.2.3.1</w:t>
            </w:r>
          </w:p>
        </w:tc>
        <w:tc>
          <w:tcPr>
            <w:tcW w:w="5280" w:type="dxa"/>
            <w:hideMark/>
          </w:tcPr>
          <w:p w14:paraId="12007F9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382B7F9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7C9FB52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2 988 503,06</w:t>
            </w:r>
          </w:p>
        </w:tc>
      </w:tr>
      <w:tr w:rsidR="00C043AD" w:rsidRPr="00C043AD" w14:paraId="6E315749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261A6EA4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3.1.2.2.3.2</w:t>
            </w:r>
          </w:p>
        </w:tc>
        <w:tc>
          <w:tcPr>
            <w:tcW w:w="5280" w:type="dxa"/>
            <w:hideMark/>
          </w:tcPr>
          <w:p w14:paraId="5F13588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0439044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A66A0B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2927454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75EE898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3.1.2.2.3.4</w:t>
            </w:r>
          </w:p>
        </w:tc>
        <w:tc>
          <w:tcPr>
            <w:tcW w:w="5280" w:type="dxa"/>
            <w:hideMark/>
          </w:tcPr>
          <w:p w14:paraId="5B1FADC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695A971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53641BFC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F24B4BD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078595E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3.1.2.2.4.1</w:t>
            </w:r>
          </w:p>
        </w:tc>
        <w:tc>
          <w:tcPr>
            <w:tcW w:w="5280" w:type="dxa"/>
            <w:hideMark/>
          </w:tcPr>
          <w:p w14:paraId="2AD59604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одним кабелем в траншее</w:t>
            </w:r>
          </w:p>
        </w:tc>
        <w:tc>
          <w:tcPr>
            <w:tcW w:w="2480" w:type="dxa"/>
            <w:vAlign w:val="center"/>
            <w:hideMark/>
          </w:tcPr>
          <w:p w14:paraId="5EE8E70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7F3CDA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3 587 061,45</w:t>
            </w:r>
          </w:p>
        </w:tc>
      </w:tr>
      <w:tr w:rsidR="00C043AD" w:rsidRPr="00C043AD" w14:paraId="029E9319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4E369E4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3.1.2.2.4.2</w:t>
            </w:r>
          </w:p>
        </w:tc>
        <w:tc>
          <w:tcPr>
            <w:tcW w:w="5280" w:type="dxa"/>
            <w:hideMark/>
          </w:tcPr>
          <w:p w14:paraId="2063386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19769D42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67BB36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51BAE74" w14:textId="77777777" w:rsidTr="00C043AD">
        <w:trPr>
          <w:trHeight w:val="1200"/>
        </w:trPr>
        <w:tc>
          <w:tcPr>
            <w:tcW w:w="1120" w:type="dxa"/>
            <w:noWrap/>
            <w:hideMark/>
          </w:tcPr>
          <w:p w14:paraId="187DD25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3.1.2.2.4.4</w:t>
            </w:r>
          </w:p>
        </w:tc>
        <w:tc>
          <w:tcPr>
            <w:tcW w:w="5280" w:type="dxa"/>
            <w:hideMark/>
          </w:tcPr>
          <w:p w14:paraId="2DFC210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кабелями в траншее</w:t>
            </w:r>
          </w:p>
        </w:tc>
        <w:tc>
          <w:tcPr>
            <w:tcW w:w="2480" w:type="dxa"/>
            <w:vAlign w:val="center"/>
            <w:hideMark/>
          </w:tcPr>
          <w:p w14:paraId="3C8C52A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E4B983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351ABC6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720079C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3.6.2.1.1.1</w:t>
            </w:r>
          </w:p>
        </w:tc>
        <w:tc>
          <w:tcPr>
            <w:tcW w:w="5280" w:type="dxa"/>
            <w:hideMark/>
          </w:tcPr>
          <w:p w14:paraId="174C6E6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6A345EB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622E25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F1A26C4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5F379D2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3.6.2.1.2.1</w:t>
            </w:r>
          </w:p>
        </w:tc>
        <w:tc>
          <w:tcPr>
            <w:tcW w:w="5280" w:type="dxa"/>
            <w:hideMark/>
          </w:tcPr>
          <w:p w14:paraId="7393B86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05172BB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4F466D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CD70887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794DECD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3.6.2.1.2.2</w:t>
            </w:r>
          </w:p>
        </w:tc>
        <w:tc>
          <w:tcPr>
            <w:tcW w:w="5280" w:type="dxa"/>
            <w:hideMark/>
          </w:tcPr>
          <w:p w14:paraId="3D82EFE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633B6DC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9EF4FD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98AE64D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106F150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3.6.2.1.3.1</w:t>
            </w:r>
          </w:p>
        </w:tc>
        <w:tc>
          <w:tcPr>
            <w:tcW w:w="5280" w:type="dxa"/>
            <w:hideMark/>
          </w:tcPr>
          <w:p w14:paraId="1085D23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78DE04F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872073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5216E3E9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70B1E96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3.6.2.1.3.2</w:t>
            </w:r>
          </w:p>
        </w:tc>
        <w:tc>
          <w:tcPr>
            <w:tcW w:w="5280" w:type="dxa"/>
            <w:hideMark/>
          </w:tcPr>
          <w:p w14:paraId="745498B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6C73A59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5 054 425,98</w:t>
            </w:r>
          </w:p>
        </w:tc>
        <w:tc>
          <w:tcPr>
            <w:tcW w:w="2620" w:type="dxa"/>
            <w:vAlign w:val="center"/>
            <w:hideMark/>
          </w:tcPr>
          <w:p w14:paraId="2BA41DC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5F5CEFA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5332373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3.6.2.1.3.4</w:t>
            </w:r>
          </w:p>
        </w:tc>
        <w:tc>
          <w:tcPr>
            <w:tcW w:w="5280" w:type="dxa"/>
            <w:hideMark/>
          </w:tcPr>
          <w:p w14:paraId="487CFD1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7E06397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4FD7697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4C0BC08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12121102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3.6.2.1.4.1</w:t>
            </w:r>
          </w:p>
        </w:tc>
        <w:tc>
          <w:tcPr>
            <w:tcW w:w="5280" w:type="dxa"/>
            <w:hideMark/>
          </w:tcPr>
          <w:p w14:paraId="5A23387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1439222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EE07A4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2315467D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60FA53A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3.6.2.1.4.2</w:t>
            </w:r>
          </w:p>
        </w:tc>
        <w:tc>
          <w:tcPr>
            <w:tcW w:w="5280" w:type="dxa"/>
            <w:hideMark/>
          </w:tcPr>
          <w:p w14:paraId="7E67F1D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74B61D4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098DE19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540D3CF7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023DE5F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3.6.2.1.4.4</w:t>
            </w:r>
          </w:p>
        </w:tc>
        <w:tc>
          <w:tcPr>
            <w:tcW w:w="5280" w:type="dxa"/>
            <w:hideMark/>
          </w:tcPr>
          <w:p w14:paraId="1BAB927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201F9EE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81EE39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7E4C3B3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1AE8C35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3.6.2.2.1.1</w:t>
            </w:r>
          </w:p>
        </w:tc>
        <w:tc>
          <w:tcPr>
            <w:tcW w:w="5280" w:type="dxa"/>
            <w:hideMark/>
          </w:tcPr>
          <w:p w14:paraId="6E9AEB3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483EC4E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B14614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3 560 300,50</w:t>
            </w:r>
          </w:p>
        </w:tc>
      </w:tr>
      <w:tr w:rsidR="00C043AD" w:rsidRPr="00C043AD" w14:paraId="199D54AA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2E347AE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3.6.2.2.1.2</w:t>
            </w:r>
          </w:p>
        </w:tc>
        <w:tc>
          <w:tcPr>
            <w:tcW w:w="5280" w:type="dxa"/>
            <w:hideMark/>
          </w:tcPr>
          <w:p w14:paraId="2E5ABCD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6A0B594C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506DA69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C10AF07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43C5B4C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3.6.2.2.2.1</w:t>
            </w:r>
          </w:p>
        </w:tc>
        <w:tc>
          <w:tcPr>
            <w:tcW w:w="5280" w:type="dxa"/>
            <w:hideMark/>
          </w:tcPr>
          <w:p w14:paraId="12B4366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269771D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AF74B4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9 768 288,31</w:t>
            </w:r>
          </w:p>
        </w:tc>
      </w:tr>
      <w:tr w:rsidR="00C043AD" w:rsidRPr="00C043AD" w14:paraId="22D00978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4717622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3.6.2.2.2.2</w:t>
            </w:r>
          </w:p>
        </w:tc>
        <w:tc>
          <w:tcPr>
            <w:tcW w:w="5280" w:type="dxa"/>
            <w:hideMark/>
          </w:tcPr>
          <w:p w14:paraId="671D5E5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6CB9FAB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5D40BA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BFFB40B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2208077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3.6.2.2.2.4</w:t>
            </w:r>
          </w:p>
        </w:tc>
        <w:tc>
          <w:tcPr>
            <w:tcW w:w="5280" w:type="dxa"/>
            <w:hideMark/>
          </w:tcPr>
          <w:p w14:paraId="2913A6B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71EF9AB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00E347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F3DBD66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6BAAB24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3.6.2.2.3.1</w:t>
            </w:r>
          </w:p>
        </w:tc>
        <w:tc>
          <w:tcPr>
            <w:tcW w:w="5280" w:type="dxa"/>
            <w:hideMark/>
          </w:tcPr>
          <w:p w14:paraId="0E874FE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7811043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FDCA89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10 178 500,01</w:t>
            </w:r>
          </w:p>
        </w:tc>
      </w:tr>
      <w:tr w:rsidR="00C043AD" w:rsidRPr="00C043AD" w14:paraId="3D115AD8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4E97992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3.6.2.2.3.2</w:t>
            </w:r>
          </w:p>
        </w:tc>
        <w:tc>
          <w:tcPr>
            <w:tcW w:w="5280" w:type="dxa"/>
            <w:hideMark/>
          </w:tcPr>
          <w:p w14:paraId="28DBD96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двумя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1530ACB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075E05CE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6A01DA5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5DD6F45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3.6.2.2.3.4</w:t>
            </w:r>
          </w:p>
        </w:tc>
        <w:tc>
          <w:tcPr>
            <w:tcW w:w="5280" w:type="dxa"/>
            <w:hideMark/>
          </w:tcPr>
          <w:p w14:paraId="1A68D90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435B454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F7C825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3DFAD08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479DE99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3.6.2.2.4.1</w:t>
            </w:r>
          </w:p>
        </w:tc>
        <w:tc>
          <w:tcPr>
            <w:tcW w:w="5280" w:type="dxa"/>
            <w:hideMark/>
          </w:tcPr>
          <w:p w14:paraId="1017AEA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одной трубой в скважине</w:t>
            </w:r>
          </w:p>
        </w:tc>
        <w:tc>
          <w:tcPr>
            <w:tcW w:w="2480" w:type="dxa"/>
            <w:vAlign w:val="center"/>
            <w:hideMark/>
          </w:tcPr>
          <w:p w14:paraId="77944A9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0EFE110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D43466C" w14:textId="77777777" w:rsidTr="00C043AD">
        <w:trPr>
          <w:trHeight w:val="1500"/>
        </w:trPr>
        <w:tc>
          <w:tcPr>
            <w:tcW w:w="1120" w:type="dxa"/>
            <w:noWrap/>
            <w:hideMark/>
          </w:tcPr>
          <w:p w14:paraId="76FDD8E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3.6.2.2.4.4</w:t>
            </w:r>
          </w:p>
        </w:tc>
        <w:tc>
          <w:tcPr>
            <w:tcW w:w="5280" w:type="dxa"/>
            <w:hideMark/>
          </w:tcPr>
          <w:p w14:paraId="0378182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 xml:space="preserve">кабельные линии, прокладываемые путем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C043AD">
              <w:rPr>
                <w:lang w:val="ru-RU" w:eastAsia="ru-RU"/>
              </w:rPr>
              <w:t>мм</w:t>
            </w:r>
            <w:proofErr w:type="gramEnd"/>
            <w:r w:rsidRPr="00C043AD">
              <w:rPr>
                <w:lang w:val="ru-RU" w:eastAsia="ru-RU"/>
              </w:rPr>
              <w:t xml:space="preserve"> включительно с четырьмя трубами в скважине</w:t>
            </w:r>
          </w:p>
        </w:tc>
        <w:tc>
          <w:tcPr>
            <w:tcW w:w="2480" w:type="dxa"/>
            <w:vAlign w:val="center"/>
            <w:hideMark/>
          </w:tcPr>
          <w:p w14:paraId="3144379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1163D8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217B822" w14:textId="77777777" w:rsidTr="00C043AD">
        <w:trPr>
          <w:trHeight w:val="645"/>
        </w:trPr>
        <w:tc>
          <w:tcPr>
            <w:tcW w:w="1120" w:type="dxa"/>
            <w:noWrap/>
            <w:hideMark/>
          </w:tcPr>
          <w:p w14:paraId="48F18A0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754924DA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</w:t>
            </w:r>
            <w:proofErr w:type="gramStart"/>
            <w:r w:rsidRPr="00C043AD">
              <w:rPr>
                <w:b/>
                <w:bCs/>
                <w:lang w:val="ru-RU" w:eastAsia="ru-RU"/>
              </w:rPr>
              <w:t>4</w:t>
            </w:r>
            <w:proofErr w:type="gramEnd"/>
            <w:r w:rsidRPr="00C043AD">
              <w:rPr>
                <w:b/>
                <w:bCs/>
                <w:lang w:val="ru-RU" w:eastAsia="ru-RU"/>
              </w:rPr>
              <w:t xml:space="preserve"> – стандартизированная тарифная ставка на покрытие расходов сетевой организации  на строительство пунктов секционирования (реклоузеров, распределительных пунктов, переключательных пунктов), руб./шт. без НДС</w:t>
            </w:r>
          </w:p>
        </w:tc>
      </w:tr>
      <w:tr w:rsidR="00C043AD" w:rsidRPr="00C043AD" w14:paraId="29BD6340" w14:textId="77777777" w:rsidTr="00C043AD">
        <w:trPr>
          <w:trHeight w:val="645"/>
        </w:trPr>
        <w:tc>
          <w:tcPr>
            <w:tcW w:w="1120" w:type="dxa"/>
            <w:noWrap/>
            <w:hideMark/>
          </w:tcPr>
          <w:p w14:paraId="32FFAA6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4.1.1</w:t>
            </w:r>
          </w:p>
        </w:tc>
        <w:tc>
          <w:tcPr>
            <w:tcW w:w="5280" w:type="dxa"/>
            <w:hideMark/>
          </w:tcPr>
          <w:p w14:paraId="1539C24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реклоузеры номинальным током до 100</w:t>
            </w:r>
            <w:proofErr w:type="gramStart"/>
            <w:r w:rsidRPr="00C043AD">
              <w:rPr>
                <w:lang w:val="ru-RU" w:eastAsia="ru-RU"/>
              </w:rPr>
              <w:t xml:space="preserve"> А</w:t>
            </w:r>
            <w:proofErr w:type="gramEnd"/>
            <w:r w:rsidRPr="00C043AD">
              <w:rPr>
                <w:lang w:val="ru-RU" w:eastAsia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14:paraId="63E018B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720A09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4EE17D07" w14:textId="77777777" w:rsidTr="00C043AD">
        <w:trPr>
          <w:trHeight w:val="645"/>
        </w:trPr>
        <w:tc>
          <w:tcPr>
            <w:tcW w:w="1120" w:type="dxa"/>
            <w:noWrap/>
            <w:hideMark/>
          </w:tcPr>
          <w:p w14:paraId="6195500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4.1.3</w:t>
            </w:r>
          </w:p>
        </w:tc>
        <w:tc>
          <w:tcPr>
            <w:tcW w:w="5280" w:type="dxa"/>
            <w:hideMark/>
          </w:tcPr>
          <w:p w14:paraId="382C558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реклоузеры номинальным током от 250 до 500</w:t>
            </w:r>
            <w:proofErr w:type="gramStart"/>
            <w:r w:rsidRPr="00C043AD">
              <w:rPr>
                <w:lang w:val="ru-RU" w:eastAsia="ru-RU"/>
              </w:rPr>
              <w:t xml:space="preserve"> А</w:t>
            </w:r>
            <w:proofErr w:type="gramEnd"/>
            <w:r w:rsidRPr="00C043AD">
              <w:rPr>
                <w:lang w:val="ru-RU" w:eastAsia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14:paraId="17DA7B0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3AEAAF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3C816B4D" w14:textId="77777777" w:rsidTr="00C043AD">
        <w:trPr>
          <w:trHeight w:val="600"/>
        </w:trPr>
        <w:tc>
          <w:tcPr>
            <w:tcW w:w="1120" w:type="dxa"/>
            <w:noWrap/>
            <w:hideMark/>
          </w:tcPr>
          <w:p w14:paraId="3B865155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4.1.4</w:t>
            </w:r>
          </w:p>
        </w:tc>
        <w:tc>
          <w:tcPr>
            <w:tcW w:w="5280" w:type="dxa"/>
            <w:hideMark/>
          </w:tcPr>
          <w:p w14:paraId="2AEAF0E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реклоузеры номинальным током от 500 до 1000</w:t>
            </w:r>
            <w:proofErr w:type="gramStart"/>
            <w:r w:rsidRPr="00C043AD">
              <w:rPr>
                <w:lang w:val="ru-RU" w:eastAsia="ru-RU"/>
              </w:rPr>
              <w:t xml:space="preserve"> А</w:t>
            </w:r>
            <w:proofErr w:type="gramEnd"/>
            <w:r w:rsidRPr="00C043AD">
              <w:rPr>
                <w:lang w:val="ru-RU" w:eastAsia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14:paraId="1228FBF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49577DC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6E3CBA1" w14:textId="77777777" w:rsidTr="00C043AD">
        <w:trPr>
          <w:trHeight w:val="600"/>
        </w:trPr>
        <w:tc>
          <w:tcPr>
            <w:tcW w:w="1120" w:type="dxa"/>
            <w:noWrap/>
            <w:hideMark/>
          </w:tcPr>
          <w:p w14:paraId="4BFE364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4.2.1</w:t>
            </w:r>
          </w:p>
        </w:tc>
        <w:tc>
          <w:tcPr>
            <w:tcW w:w="5280" w:type="dxa"/>
            <w:hideMark/>
          </w:tcPr>
          <w:p w14:paraId="7275ECD4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линейные разъединители номинальным током до 100</w:t>
            </w:r>
            <w:proofErr w:type="gramStart"/>
            <w:r w:rsidRPr="00C043AD">
              <w:rPr>
                <w:lang w:val="ru-RU" w:eastAsia="ru-RU"/>
              </w:rPr>
              <w:t xml:space="preserve"> А</w:t>
            </w:r>
            <w:proofErr w:type="gramEnd"/>
            <w:r w:rsidRPr="00C043AD">
              <w:rPr>
                <w:lang w:val="ru-RU" w:eastAsia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14:paraId="310B7E72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20FEB7F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19 165,98</w:t>
            </w:r>
          </w:p>
        </w:tc>
      </w:tr>
      <w:tr w:rsidR="00C043AD" w:rsidRPr="00C043AD" w14:paraId="1DA79128" w14:textId="77777777" w:rsidTr="00C043AD">
        <w:trPr>
          <w:trHeight w:val="600"/>
        </w:trPr>
        <w:tc>
          <w:tcPr>
            <w:tcW w:w="1120" w:type="dxa"/>
            <w:noWrap/>
            <w:hideMark/>
          </w:tcPr>
          <w:p w14:paraId="4C07BDF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4.2.3</w:t>
            </w:r>
          </w:p>
        </w:tc>
        <w:tc>
          <w:tcPr>
            <w:tcW w:w="5280" w:type="dxa"/>
            <w:hideMark/>
          </w:tcPr>
          <w:p w14:paraId="600FD52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линейные разъединители номинальным током от 250 до 500</w:t>
            </w:r>
            <w:proofErr w:type="gramStart"/>
            <w:r w:rsidRPr="00C043AD">
              <w:rPr>
                <w:lang w:val="ru-RU" w:eastAsia="ru-RU"/>
              </w:rPr>
              <w:t xml:space="preserve"> А</w:t>
            </w:r>
            <w:proofErr w:type="gramEnd"/>
            <w:r w:rsidRPr="00C043AD">
              <w:rPr>
                <w:lang w:val="ru-RU" w:eastAsia="ru-RU"/>
              </w:rPr>
              <w:t xml:space="preserve"> включительно</w:t>
            </w:r>
          </w:p>
        </w:tc>
        <w:tc>
          <w:tcPr>
            <w:tcW w:w="2480" w:type="dxa"/>
            <w:vAlign w:val="center"/>
            <w:hideMark/>
          </w:tcPr>
          <w:p w14:paraId="5A71B90C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57D4E6D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51 491,38</w:t>
            </w:r>
          </w:p>
        </w:tc>
      </w:tr>
      <w:tr w:rsidR="00C043AD" w:rsidRPr="00C043AD" w14:paraId="448F2E87" w14:textId="77777777" w:rsidTr="00C043AD">
        <w:trPr>
          <w:trHeight w:val="945"/>
        </w:trPr>
        <w:tc>
          <w:tcPr>
            <w:tcW w:w="1120" w:type="dxa"/>
            <w:noWrap/>
            <w:hideMark/>
          </w:tcPr>
          <w:p w14:paraId="40786BF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66D2EB06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С5 - стандартизированная тарифная ставка на покрытие расходов сетевой организации  на строительство трансформаторных подстанций, за исключением распределительных трансформаторных подстанций (РТП), с уровнем напряжения до 35 кВ руб./кВт без НДС</w:t>
            </w:r>
          </w:p>
        </w:tc>
      </w:tr>
      <w:tr w:rsidR="00C043AD" w:rsidRPr="00C043AD" w14:paraId="55B9726A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43F8D9B8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5.1.1.1</w:t>
            </w:r>
          </w:p>
        </w:tc>
        <w:tc>
          <w:tcPr>
            <w:tcW w:w="5280" w:type="dxa"/>
            <w:hideMark/>
          </w:tcPr>
          <w:p w14:paraId="3CC5382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14:paraId="750898A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15 248,54</w:t>
            </w:r>
          </w:p>
        </w:tc>
        <w:tc>
          <w:tcPr>
            <w:tcW w:w="2620" w:type="dxa"/>
            <w:vAlign w:val="center"/>
            <w:hideMark/>
          </w:tcPr>
          <w:p w14:paraId="65D5CA2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15 248,54</w:t>
            </w:r>
          </w:p>
        </w:tc>
      </w:tr>
      <w:tr w:rsidR="00C043AD" w:rsidRPr="00C043AD" w14:paraId="171257FA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46673F7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5.1.2.1</w:t>
            </w:r>
          </w:p>
        </w:tc>
        <w:tc>
          <w:tcPr>
            <w:tcW w:w="5280" w:type="dxa"/>
            <w:hideMark/>
          </w:tcPr>
          <w:p w14:paraId="01F9EAA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14:paraId="6BACEF1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14 766,63</w:t>
            </w:r>
          </w:p>
        </w:tc>
        <w:tc>
          <w:tcPr>
            <w:tcW w:w="2620" w:type="dxa"/>
            <w:vAlign w:val="center"/>
            <w:hideMark/>
          </w:tcPr>
          <w:p w14:paraId="645E774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14 766,63</w:t>
            </w:r>
          </w:p>
        </w:tc>
      </w:tr>
      <w:tr w:rsidR="00C043AD" w:rsidRPr="00C043AD" w14:paraId="4616CCAD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35C5D75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5.1.2.2</w:t>
            </w:r>
          </w:p>
        </w:tc>
        <w:tc>
          <w:tcPr>
            <w:tcW w:w="5280" w:type="dxa"/>
            <w:hideMark/>
          </w:tcPr>
          <w:p w14:paraId="01E3871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10C3413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8 416,60</w:t>
            </w:r>
          </w:p>
        </w:tc>
        <w:tc>
          <w:tcPr>
            <w:tcW w:w="2620" w:type="dxa"/>
            <w:vAlign w:val="center"/>
            <w:hideMark/>
          </w:tcPr>
          <w:p w14:paraId="2DA8F6F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8 416,60</w:t>
            </w:r>
          </w:p>
        </w:tc>
      </w:tr>
      <w:tr w:rsidR="00C043AD" w:rsidRPr="00C043AD" w14:paraId="3EECEF87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73B6E11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5.1.3.1</w:t>
            </w:r>
          </w:p>
        </w:tc>
        <w:tc>
          <w:tcPr>
            <w:tcW w:w="5280" w:type="dxa"/>
            <w:hideMark/>
          </w:tcPr>
          <w:p w14:paraId="49E6EE5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2480" w:type="dxa"/>
            <w:vAlign w:val="center"/>
            <w:hideMark/>
          </w:tcPr>
          <w:p w14:paraId="3B51C96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4BA974A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09B6BA2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22ADE51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5.1.3.2</w:t>
            </w:r>
          </w:p>
        </w:tc>
        <w:tc>
          <w:tcPr>
            <w:tcW w:w="5280" w:type="dxa"/>
            <w:hideMark/>
          </w:tcPr>
          <w:p w14:paraId="043B3F9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7002295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6 123,51</w:t>
            </w:r>
          </w:p>
        </w:tc>
        <w:tc>
          <w:tcPr>
            <w:tcW w:w="2620" w:type="dxa"/>
            <w:vAlign w:val="center"/>
            <w:hideMark/>
          </w:tcPr>
          <w:p w14:paraId="1DF9BB8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6 123,51</w:t>
            </w:r>
          </w:p>
        </w:tc>
      </w:tr>
      <w:tr w:rsidR="00C043AD" w:rsidRPr="00C043AD" w14:paraId="2A8E7358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357CCD9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5.1.4.2</w:t>
            </w:r>
          </w:p>
        </w:tc>
        <w:tc>
          <w:tcPr>
            <w:tcW w:w="5280" w:type="dxa"/>
            <w:hideMark/>
          </w:tcPr>
          <w:p w14:paraId="0FE6F17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29CB42F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5 636,41</w:t>
            </w:r>
          </w:p>
        </w:tc>
        <w:tc>
          <w:tcPr>
            <w:tcW w:w="2620" w:type="dxa"/>
            <w:vAlign w:val="center"/>
            <w:hideMark/>
          </w:tcPr>
          <w:p w14:paraId="75D5EA6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5 636,41</w:t>
            </w:r>
          </w:p>
        </w:tc>
      </w:tr>
      <w:tr w:rsidR="00C043AD" w:rsidRPr="00C043AD" w14:paraId="062F9ACB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35EBCF9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5.1.4.3</w:t>
            </w:r>
          </w:p>
        </w:tc>
        <w:tc>
          <w:tcPr>
            <w:tcW w:w="5280" w:type="dxa"/>
            <w:hideMark/>
          </w:tcPr>
          <w:p w14:paraId="328868F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250 до 400 кВА включительно блочного типа</w:t>
            </w:r>
          </w:p>
        </w:tc>
        <w:tc>
          <w:tcPr>
            <w:tcW w:w="2480" w:type="dxa"/>
            <w:vAlign w:val="center"/>
            <w:hideMark/>
          </w:tcPr>
          <w:p w14:paraId="362EB427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38C2046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1ECD408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6B521A2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5.1.5.2</w:t>
            </w:r>
          </w:p>
        </w:tc>
        <w:tc>
          <w:tcPr>
            <w:tcW w:w="5280" w:type="dxa"/>
            <w:hideMark/>
          </w:tcPr>
          <w:p w14:paraId="47C199F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693D60B0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2 850,43</w:t>
            </w:r>
          </w:p>
        </w:tc>
        <w:tc>
          <w:tcPr>
            <w:tcW w:w="2620" w:type="dxa"/>
            <w:vAlign w:val="center"/>
            <w:hideMark/>
          </w:tcPr>
          <w:p w14:paraId="72B341B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2 850,43</w:t>
            </w:r>
          </w:p>
        </w:tc>
      </w:tr>
      <w:tr w:rsidR="00C043AD" w:rsidRPr="00C043AD" w14:paraId="257D063F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558F2CE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5.1.6.2</w:t>
            </w:r>
          </w:p>
        </w:tc>
        <w:tc>
          <w:tcPr>
            <w:tcW w:w="5280" w:type="dxa"/>
            <w:hideMark/>
          </w:tcPr>
          <w:p w14:paraId="70BB106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однотрансформаторные подстанции (за исключением РТП) мощностью от 630  до 1000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53723CB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609093A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5B4BDCB7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4865688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5.2.3.2</w:t>
            </w:r>
          </w:p>
        </w:tc>
        <w:tc>
          <w:tcPr>
            <w:tcW w:w="5280" w:type="dxa"/>
            <w:hideMark/>
          </w:tcPr>
          <w:p w14:paraId="7568652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40FE5088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5 547,26</w:t>
            </w:r>
          </w:p>
        </w:tc>
        <w:tc>
          <w:tcPr>
            <w:tcW w:w="2620" w:type="dxa"/>
            <w:vAlign w:val="center"/>
            <w:hideMark/>
          </w:tcPr>
          <w:p w14:paraId="77643B82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5 547,26</w:t>
            </w:r>
          </w:p>
        </w:tc>
      </w:tr>
      <w:tr w:rsidR="00C043AD" w:rsidRPr="00C043AD" w14:paraId="2676F0F7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085F474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5.2.4.2</w:t>
            </w:r>
          </w:p>
        </w:tc>
        <w:tc>
          <w:tcPr>
            <w:tcW w:w="5280" w:type="dxa"/>
            <w:hideMark/>
          </w:tcPr>
          <w:p w14:paraId="4A3F214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двухтрансформаторные и более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72EB6AA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5 304,44</w:t>
            </w:r>
          </w:p>
        </w:tc>
        <w:tc>
          <w:tcPr>
            <w:tcW w:w="2620" w:type="dxa"/>
            <w:vAlign w:val="center"/>
            <w:hideMark/>
          </w:tcPr>
          <w:p w14:paraId="4C66FFF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5 304,44</w:t>
            </w:r>
          </w:p>
        </w:tc>
      </w:tr>
      <w:tr w:rsidR="00C043AD" w:rsidRPr="00C043AD" w14:paraId="2BE83BD5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3C06F0B9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5.2.4.3</w:t>
            </w:r>
          </w:p>
        </w:tc>
        <w:tc>
          <w:tcPr>
            <w:tcW w:w="5280" w:type="dxa"/>
            <w:hideMark/>
          </w:tcPr>
          <w:p w14:paraId="714DBD8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2480" w:type="dxa"/>
            <w:vAlign w:val="center"/>
            <w:hideMark/>
          </w:tcPr>
          <w:p w14:paraId="4E6BBE9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67BF16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04D621F0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074C1E31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5.2.6.2</w:t>
            </w:r>
          </w:p>
        </w:tc>
        <w:tc>
          <w:tcPr>
            <w:tcW w:w="5280" w:type="dxa"/>
            <w:hideMark/>
          </w:tcPr>
          <w:p w14:paraId="0E2F000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двухтрансформаторные и более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3C2148FD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4 468,55</w:t>
            </w:r>
          </w:p>
        </w:tc>
        <w:tc>
          <w:tcPr>
            <w:tcW w:w="2620" w:type="dxa"/>
            <w:vAlign w:val="center"/>
            <w:hideMark/>
          </w:tcPr>
          <w:p w14:paraId="63F9E514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4 468,55</w:t>
            </w:r>
          </w:p>
        </w:tc>
      </w:tr>
      <w:tr w:rsidR="00C043AD" w:rsidRPr="00C043AD" w14:paraId="2F504040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25E0965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5.2.7.2</w:t>
            </w:r>
          </w:p>
        </w:tc>
        <w:tc>
          <w:tcPr>
            <w:tcW w:w="5280" w:type="dxa"/>
            <w:hideMark/>
          </w:tcPr>
          <w:p w14:paraId="33F4F44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двухтрансформаторные и более подстанции (за исключением РТП) мощностью от 1000 кВА до 1250 кВА включительно шкафного или киоскового типа</w:t>
            </w:r>
          </w:p>
        </w:tc>
        <w:tc>
          <w:tcPr>
            <w:tcW w:w="2480" w:type="dxa"/>
            <w:vAlign w:val="center"/>
            <w:hideMark/>
          </w:tcPr>
          <w:p w14:paraId="574D269B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45CEF31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CF65B1E" w14:textId="77777777" w:rsidTr="00C043AD">
        <w:trPr>
          <w:trHeight w:val="1095"/>
        </w:trPr>
        <w:tc>
          <w:tcPr>
            <w:tcW w:w="1120" w:type="dxa"/>
            <w:noWrap/>
            <w:hideMark/>
          </w:tcPr>
          <w:p w14:paraId="34BDA600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6.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6A96242A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</w:t>
            </w:r>
            <w:proofErr w:type="gramStart"/>
            <w:r w:rsidRPr="00C043AD">
              <w:rPr>
                <w:b/>
                <w:bCs/>
                <w:lang w:val="ru-RU" w:eastAsia="ru-RU"/>
              </w:rPr>
              <w:t>6</w:t>
            </w:r>
            <w:proofErr w:type="gramEnd"/>
            <w:r w:rsidRPr="00C043AD">
              <w:rPr>
                <w:b/>
                <w:bCs/>
                <w:lang w:val="ru-RU" w:eastAsia="ru-RU"/>
              </w:rPr>
              <w:t xml:space="preserve"> - стандартизированная тарифная ставка на покрытие расходов сетевой организации  на строительство распределительных трансформаторных подстанций  (РТП) с уровнем напряжения до 35 кВ), руб./кВт без НДС</w:t>
            </w:r>
          </w:p>
        </w:tc>
      </w:tr>
      <w:tr w:rsidR="00C043AD" w:rsidRPr="00C043AD" w14:paraId="0C95EBAE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32124B0B" w14:textId="458D610D" w:rsidR="00C043AD" w:rsidRPr="003F4EC7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</w:p>
        </w:tc>
        <w:tc>
          <w:tcPr>
            <w:tcW w:w="5280" w:type="dxa"/>
            <w:hideMark/>
          </w:tcPr>
          <w:p w14:paraId="02D5A0DE" w14:textId="5BD0FF72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</w:p>
        </w:tc>
        <w:tc>
          <w:tcPr>
            <w:tcW w:w="2480" w:type="dxa"/>
            <w:vAlign w:val="center"/>
            <w:hideMark/>
          </w:tcPr>
          <w:p w14:paraId="58891D2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1F2FECA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6F067BAF" w14:textId="77777777" w:rsidTr="00C043AD">
        <w:trPr>
          <w:trHeight w:val="1020"/>
        </w:trPr>
        <w:tc>
          <w:tcPr>
            <w:tcW w:w="1120" w:type="dxa"/>
            <w:noWrap/>
            <w:hideMark/>
          </w:tcPr>
          <w:p w14:paraId="6E7F2A1B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lastRenderedPageBreak/>
              <w:t>7.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1F7F3AFB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</w:t>
            </w:r>
            <w:proofErr w:type="gramStart"/>
            <w:r w:rsidRPr="00C043AD">
              <w:rPr>
                <w:b/>
                <w:bCs/>
                <w:lang w:val="ru-RU" w:eastAsia="ru-RU"/>
              </w:rPr>
              <w:t>7</w:t>
            </w:r>
            <w:proofErr w:type="gramEnd"/>
            <w:r w:rsidRPr="00C043AD">
              <w:rPr>
                <w:b/>
                <w:bCs/>
                <w:lang w:val="ru-RU" w:eastAsia="ru-RU"/>
              </w:rPr>
              <w:t xml:space="preserve"> - стандартизированная тарифная ставка на покрытие расходов сетевой организации  на строительство трансформаторных подстанций уровнем напряжения 35 кВ и выше (ПС), руб./кВт без НДС</w:t>
            </w:r>
          </w:p>
        </w:tc>
      </w:tr>
      <w:tr w:rsidR="00C043AD" w:rsidRPr="00C043AD" w14:paraId="4402BDB7" w14:textId="77777777" w:rsidTr="00C043AD">
        <w:trPr>
          <w:trHeight w:val="705"/>
        </w:trPr>
        <w:tc>
          <w:tcPr>
            <w:tcW w:w="1120" w:type="dxa"/>
            <w:noWrap/>
            <w:hideMark/>
          </w:tcPr>
          <w:p w14:paraId="66C3D3DF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eastAsia="ru-RU"/>
              </w:rPr>
              <w:t> </w:t>
            </w:r>
          </w:p>
        </w:tc>
        <w:tc>
          <w:tcPr>
            <w:tcW w:w="5280" w:type="dxa"/>
            <w:hideMark/>
          </w:tcPr>
          <w:p w14:paraId="01A3F00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eastAsia="ru-RU"/>
              </w:rPr>
              <w:t> </w:t>
            </w:r>
          </w:p>
        </w:tc>
        <w:tc>
          <w:tcPr>
            <w:tcW w:w="2480" w:type="dxa"/>
            <w:vAlign w:val="center"/>
            <w:hideMark/>
          </w:tcPr>
          <w:p w14:paraId="093CD4A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7DB5D6EA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22A78542" w14:textId="77777777" w:rsidTr="00C043AD">
        <w:trPr>
          <w:trHeight w:val="705"/>
        </w:trPr>
        <w:tc>
          <w:tcPr>
            <w:tcW w:w="1120" w:type="dxa"/>
            <w:noWrap/>
            <w:hideMark/>
          </w:tcPr>
          <w:p w14:paraId="3834EA8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8.</w:t>
            </w:r>
          </w:p>
        </w:tc>
        <w:tc>
          <w:tcPr>
            <w:tcW w:w="10380" w:type="dxa"/>
            <w:gridSpan w:val="3"/>
            <w:vAlign w:val="center"/>
            <w:hideMark/>
          </w:tcPr>
          <w:p w14:paraId="6115F6BC" w14:textId="77777777" w:rsidR="00C043AD" w:rsidRPr="00C043AD" w:rsidRDefault="00C043AD" w:rsidP="00C043AD">
            <w:pPr>
              <w:spacing w:after="0" w:line="240" w:lineRule="auto"/>
              <w:jc w:val="center"/>
              <w:rPr>
                <w:b/>
                <w:bCs/>
                <w:lang w:val="ru-RU" w:eastAsia="ru-RU"/>
              </w:rPr>
            </w:pPr>
            <w:r w:rsidRPr="00C043AD">
              <w:rPr>
                <w:b/>
                <w:bCs/>
                <w:lang w:val="ru-RU" w:eastAsia="ru-RU"/>
              </w:rPr>
              <w:t>С8 - стандартизированная тарифная ставка на обеспечение средствами коммерческого учета электрической энергии (мощности), руб. за точку учета (без НДС)</w:t>
            </w:r>
          </w:p>
        </w:tc>
      </w:tr>
      <w:tr w:rsidR="00C043AD" w:rsidRPr="00C043AD" w14:paraId="533CA1CB" w14:textId="77777777" w:rsidTr="00C043AD">
        <w:trPr>
          <w:trHeight w:val="630"/>
        </w:trPr>
        <w:tc>
          <w:tcPr>
            <w:tcW w:w="1120" w:type="dxa"/>
            <w:noWrap/>
            <w:hideMark/>
          </w:tcPr>
          <w:p w14:paraId="0FAFEB3A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8.1.1</w:t>
            </w:r>
          </w:p>
        </w:tc>
        <w:tc>
          <w:tcPr>
            <w:tcW w:w="5280" w:type="dxa"/>
            <w:hideMark/>
          </w:tcPr>
          <w:p w14:paraId="6ADFD706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2480" w:type="dxa"/>
            <w:vAlign w:val="center"/>
            <w:hideMark/>
          </w:tcPr>
          <w:p w14:paraId="284901E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21 170,87</w:t>
            </w:r>
          </w:p>
        </w:tc>
        <w:tc>
          <w:tcPr>
            <w:tcW w:w="2620" w:type="dxa"/>
            <w:vAlign w:val="center"/>
            <w:hideMark/>
          </w:tcPr>
          <w:p w14:paraId="13DAFD85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5F1C338" w14:textId="77777777" w:rsidTr="00C043AD">
        <w:trPr>
          <w:trHeight w:val="600"/>
        </w:trPr>
        <w:tc>
          <w:tcPr>
            <w:tcW w:w="1120" w:type="dxa"/>
            <w:noWrap/>
            <w:hideMark/>
          </w:tcPr>
          <w:p w14:paraId="5817D7B7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8.2.1</w:t>
            </w:r>
          </w:p>
        </w:tc>
        <w:tc>
          <w:tcPr>
            <w:tcW w:w="5280" w:type="dxa"/>
            <w:hideMark/>
          </w:tcPr>
          <w:p w14:paraId="25BB61B2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2480" w:type="dxa"/>
            <w:vAlign w:val="center"/>
            <w:hideMark/>
          </w:tcPr>
          <w:p w14:paraId="209FB7D1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32 161,62</w:t>
            </w:r>
          </w:p>
        </w:tc>
        <w:tc>
          <w:tcPr>
            <w:tcW w:w="2620" w:type="dxa"/>
            <w:vAlign w:val="center"/>
            <w:hideMark/>
          </w:tcPr>
          <w:p w14:paraId="2A5B91B6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528 579,79</w:t>
            </w:r>
          </w:p>
        </w:tc>
      </w:tr>
      <w:tr w:rsidR="00C043AD" w:rsidRPr="00C043AD" w14:paraId="6E990FDF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76DAF57C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8.2.2</w:t>
            </w:r>
          </w:p>
        </w:tc>
        <w:tc>
          <w:tcPr>
            <w:tcW w:w="5280" w:type="dxa"/>
            <w:hideMark/>
          </w:tcPr>
          <w:p w14:paraId="49089473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2480" w:type="dxa"/>
            <w:vAlign w:val="center"/>
            <w:hideMark/>
          </w:tcPr>
          <w:p w14:paraId="6933EA19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55 383,02</w:t>
            </w:r>
          </w:p>
        </w:tc>
        <w:tc>
          <w:tcPr>
            <w:tcW w:w="2620" w:type="dxa"/>
            <w:vAlign w:val="center"/>
            <w:hideMark/>
          </w:tcPr>
          <w:p w14:paraId="07A8B79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</w:tr>
      <w:tr w:rsidR="00C043AD" w:rsidRPr="00C043AD" w14:paraId="1B8930AA" w14:textId="77777777" w:rsidTr="00C043AD">
        <w:trPr>
          <w:trHeight w:val="900"/>
        </w:trPr>
        <w:tc>
          <w:tcPr>
            <w:tcW w:w="1120" w:type="dxa"/>
            <w:noWrap/>
            <w:hideMark/>
          </w:tcPr>
          <w:p w14:paraId="0102D84D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eastAsia="ru-RU"/>
              </w:rPr>
            </w:pPr>
            <w:r w:rsidRPr="00C043AD">
              <w:rPr>
                <w:lang w:eastAsia="ru-RU"/>
              </w:rPr>
              <w:t>8.2.3</w:t>
            </w:r>
          </w:p>
        </w:tc>
        <w:tc>
          <w:tcPr>
            <w:tcW w:w="5280" w:type="dxa"/>
            <w:hideMark/>
          </w:tcPr>
          <w:p w14:paraId="65309FDE" w14:textId="77777777" w:rsidR="00C043AD" w:rsidRPr="00C043AD" w:rsidRDefault="00C043AD" w:rsidP="00C043AD">
            <w:pPr>
              <w:spacing w:after="0" w:line="240" w:lineRule="auto"/>
              <w:jc w:val="both"/>
              <w:rPr>
                <w:lang w:val="ru-RU" w:eastAsia="ru-RU"/>
              </w:rPr>
            </w:pPr>
            <w:r w:rsidRPr="00C043AD">
              <w:rPr>
                <w:lang w:val="ru-RU"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2480" w:type="dxa"/>
            <w:vAlign w:val="center"/>
            <w:hideMark/>
          </w:tcPr>
          <w:p w14:paraId="1571F3B3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Х</w:t>
            </w:r>
          </w:p>
        </w:tc>
        <w:tc>
          <w:tcPr>
            <w:tcW w:w="2620" w:type="dxa"/>
            <w:vAlign w:val="center"/>
            <w:hideMark/>
          </w:tcPr>
          <w:p w14:paraId="4F9ED61F" w14:textId="77777777" w:rsidR="00C043AD" w:rsidRPr="00C043AD" w:rsidRDefault="00C043AD" w:rsidP="00C043AD">
            <w:pPr>
              <w:spacing w:after="0" w:line="240" w:lineRule="auto"/>
              <w:jc w:val="center"/>
              <w:rPr>
                <w:lang w:eastAsia="ru-RU"/>
              </w:rPr>
            </w:pPr>
            <w:r w:rsidRPr="00C043AD">
              <w:rPr>
                <w:lang w:eastAsia="ru-RU"/>
              </w:rPr>
              <w:t>372 369,98</w:t>
            </w:r>
          </w:p>
        </w:tc>
      </w:tr>
    </w:tbl>
    <w:p w14:paraId="0D82E7CF" w14:textId="77777777" w:rsidR="0036796C" w:rsidRPr="008308A5" w:rsidRDefault="0036796C" w:rsidP="00BB7BD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203A578" w14:textId="77777777" w:rsidR="000B0A80" w:rsidRPr="008308A5" w:rsidRDefault="000B0A80" w:rsidP="000B0A8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308A5">
        <w:rPr>
          <w:rFonts w:ascii="Times New Roman" w:eastAsia="Times New Roman" w:hAnsi="Times New Roman"/>
          <w:lang w:eastAsia="ru-RU"/>
        </w:rPr>
        <w:t>Примечание:</w:t>
      </w:r>
    </w:p>
    <w:p w14:paraId="10EFF26B" w14:textId="77777777" w:rsidR="003C4415" w:rsidRPr="0003363F" w:rsidRDefault="003C4415" w:rsidP="00D32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3363F">
        <w:rPr>
          <w:rFonts w:ascii="Times New Roman" w:eastAsia="Times New Roman" w:hAnsi="Times New Roman"/>
          <w:lang w:eastAsia="ru-RU"/>
        </w:rPr>
        <w:t xml:space="preserve">Стандартизированные тарифные ставки на обеспечение средствами коммерческого учета электрической энергии (мощности) </w:t>
      </w:r>
      <w:r w:rsidR="00A67C2C" w:rsidRPr="0003363F">
        <w:rPr>
          <w:rFonts w:ascii="Times New Roman" w:eastAsia="Times New Roman" w:hAnsi="Times New Roman"/>
          <w:lang w:eastAsia="ru-RU"/>
        </w:rPr>
        <w:t>предусматривают установку</w:t>
      </w:r>
      <w:r w:rsidR="00D327D2" w:rsidRPr="0003363F">
        <w:rPr>
          <w:rFonts w:ascii="Times New Roman" w:eastAsia="Times New Roman" w:hAnsi="Times New Roman"/>
          <w:lang w:eastAsia="ru-RU"/>
        </w:rPr>
        <w:t xml:space="preserve"> </w:t>
      </w:r>
      <w:r w:rsidR="00D327D2" w:rsidRPr="0003363F">
        <w:rPr>
          <w:rFonts w:ascii="Times New Roman" w:hAnsi="Times New Roman"/>
          <w:lang w:eastAsia="ru-RU"/>
        </w:rPr>
        <w:t>прибор</w:t>
      </w:r>
      <w:r w:rsidR="00A67C2C" w:rsidRPr="0003363F">
        <w:rPr>
          <w:rFonts w:ascii="Times New Roman" w:hAnsi="Times New Roman"/>
          <w:lang w:eastAsia="ru-RU"/>
        </w:rPr>
        <w:t>ов</w:t>
      </w:r>
      <w:r w:rsidR="00D327D2" w:rsidRPr="0003363F">
        <w:rPr>
          <w:rFonts w:ascii="Times New Roman" w:hAnsi="Times New Roman"/>
          <w:lang w:eastAsia="ru-RU"/>
        </w:rPr>
        <w:t xml:space="preserve"> учета, соответствующи</w:t>
      </w:r>
      <w:r w:rsidR="00A67C2C" w:rsidRPr="0003363F">
        <w:rPr>
          <w:rFonts w:ascii="Times New Roman" w:hAnsi="Times New Roman"/>
          <w:lang w:eastAsia="ru-RU"/>
        </w:rPr>
        <w:t>х</w:t>
      </w:r>
      <w:r w:rsidR="00D327D2" w:rsidRPr="0003363F">
        <w:rPr>
          <w:rFonts w:ascii="Times New Roman" w:hAnsi="Times New Roman"/>
          <w:lang w:eastAsia="ru-RU"/>
        </w:rPr>
        <w:t xml:space="preserve"> требованиям к приборам учета электрической энергии, которые могут быть присоединены к интеллектуальной системе учета электрической энергии (мощности), в соответствии с Правилами предоставления доступа к минимальному набору функций интеллектуальных систем учета электрической энергии (мощности), утвержденными постановлением Правительства Российской Федерации от 19.06.2020 № 890.</w:t>
      </w:r>
    </w:p>
    <w:p w14:paraId="6033B63B" w14:textId="77777777" w:rsidR="00CF1E86" w:rsidRPr="0003363F" w:rsidRDefault="00CF1E86" w:rsidP="00CF1E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AE2DA96" w14:textId="77777777" w:rsidR="00F15D89" w:rsidRPr="0003363F" w:rsidRDefault="00F15D89" w:rsidP="000B0A8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BE88E93" w14:textId="77777777" w:rsidR="00F15D89" w:rsidRPr="0003363F" w:rsidRDefault="00F15D89" w:rsidP="000B0A8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F15D89" w:rsidRPr="0003363F" w:rsidSect="004E34F9">
          <w:pgSz w:w="11905" w:h="16840"/>
          <w:pgMar w:top="851" w:right="706" w:bottom="992" w:left="567" w:header="0" w:footer="0" w:gutter="0"/>
          <w:cols w:space="720"/>
          <w:noEndnote/>
          <w:docGrid w:linePitch="299"/>
        </w:sectPr>
      </w:pPr>
    </w:p>
    <w:p w14:paraId="13B26E54" w14:textId="77777777" w:rsidR="004E34F9" w:rsidRPr="0003363F" w:rsidRDefault="00C104FB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8271C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1530B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</w:t>
      </w:r>
      <w:r w:rsidR="000411B6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1530B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остановлению</w:t>
      </w:r>
      <w:r w:rsidR="000677BC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530B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Департамента энергетики и тарифов</w:t>
      </w:r>
      <w:r w:rsidR="004E34F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530B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Иванов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ской области</w:t>
      </w:r>
    </w:p>
    <w:p w14:paraId="3F3F4696" w14:textId="7D93675E" w:rsidR="00C104FB" w:rsidRPr="0003363F" w:rsidRDefault="003A1CE9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01</w:t>
      </w:r>
      <w:r w:rsidR="0003363F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.1</w:t>
      </w:r>
      <w:r w:rsid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03363F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03363F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3F4EC7">
        <w:rPr>
          <w:rFonts w:ascii="Times New Roman" w:eastAsia="Times New Roman" w:hAnsi="Times New Roman"/>
          <w:bCs/>
          <w:sz w:val="24"/>
          <w:szCs w:val="24"/>
          <w:lang w:eastAsia="ru-RU"/>
        </w:rPr>
        <w:t>57</w:t>
      </w:r>
      <w:r w:rsidR="0003363F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-э/1</w:t>
      </w:r>
    </w:p>
    <w:p w14:paraId="7983B990" w14:textId="77777777" w:rsidR="00C104FB" w:rsidRPr="0003363F" w:rsidRDefault="00C104FB" w:rsidP="000677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72B7AE" w14:textId="77777777" w:rsidR="00C104FB" w:rsidRPr="0003363F" w:rsidRDefault="00C104FB" w:rsidP="005B688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Формулы платы за технологическое присоединение к электрическим сетям</w:t>
      </w:r>
    </w:p>
    <w:p w14:paraId="44FD7D7B" w14:textId="77777777" w:rsidR="00C104FB" w:rsidRPr="0003363F" w:rsidRDefault="00C104FB" w:rsidP="005B688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территориальных сетевых организаций </w:t>
      </w:r>
      <w:r w:rsidR="001530B9" w:rsidRPr="000336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Иванов</w:t>
      </w:r>
      <w:r w:rsidRPr="000336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ской области</w:t>
      </w:r>
    </w:p>
    <w:p w14:paraId="4BC3A768" w14:textId="77777777" w:rsidR="00C104FB" w:rsidRPr="0003363F" w:rsidRDefault="00C104FB" w:rsidP="005B688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BFA24D0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1. Если отсутствует необходимость реализации мероприятий «последней мили»:</w:t>
      </w:r>
    </w:p>
    <w:p w14:paraId="366305D9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Start"/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proofErr w:type="gramEnd"/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= С1 + 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*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q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(руб.)</w:t>
      </w:r>
      <w:r w:rsidR="00AF74D0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0FE417D9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739448" w14:textId="77777777" w:rsidR="007725B3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С1 = C1.1 + C1.2 (руб.)</w:t>
      </w:r>
    </w:p>
    <w:p w14:paraId="390C6DB1" w14:textId="77777777" w:rsidR="00F15704" w:rsidRPr="0003363F" w:rsidRDefault="007725B3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С1.2 = C1.2.1 (руб.)</w:t>
      </w:r>
      <w:r w:rsidR="00F1570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С1.2 = C1.2.2 (руб.),</w:t>
      </w:r>
    </w:p>
    <w:p w14:paraId="2CD8E97B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881E6C8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4A7F4AFE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хозяйства, (руб./1 присоединение);</w:t>
      </w:r>
    </w:p>
    <w:p w14:paraId="106CBEEE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C1.1 - </w:t>
      </w:r>
      <w:r w:rsidR="00EB3218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36E55CF8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C1.2 - </w:t>
      </w:r>
      <w:r w:rsidR="00EB3218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стандартизированная тарифная ставка на покрытие расходов на проверку выполнения сетевой организацией выполнения технических условий заявителем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82C6BE4" w14:textId="77777777" w:rsidR="007725B3" w:rsidRPr="0003363F" w:rsidRDefault="006C2DE4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7725B3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1.2.1 – стандартизированная тарифная ставка на покрытие расходов </w:t>
      </w:r>
      <w:r w:rsidR="00614D77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выдачу сетевой организацией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</w:r>
      <w:r w:rsidR="007725B3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B33BC7A" w14:textId="77777777" w:rsidR="007725B3" w:rsidRPr="0003363F" w:rsidRDefault="006C2DE4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7725B3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1.2.2 – стандартизированная тарифная ставка на покрытие расходов </w:t>
      </w:r>
      <w:r w:rsidR="00614D77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на проверку сетевой организацией выполнения технических условий Заявителями, указанными в абзаце седьмом пункта 24 Методических указаний по определению размера платы за технологическое присоединение к электрическим сетям;</w:t>
      </w:r>
    </w:p>
    <w:p w14:paraId="0AD28C6F" w14:textId="77777777" w:rsidR="00E00552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-том уровне напряжения в зависимости от вида используемого материала и (или) способа выполнения работ (t) 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руб. 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за точку учета)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4A623865" w14:textId="77777777" w:rsidR="00910B2D" w:rsidRPr="0003363F" w:rsidRDefault="00E00552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q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количество точек учета</w:t>
      </w:r>
      <w:r w:rsidR="00910B2D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51A4BC4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2. Если при технологическом присоединении Заявителя предусматривается мероприятие «последней мили» по прокладке воздушных линий электропередачи:</w:t>
      </w:r>
    </w:p>
    <w:p w14:paraId="4CD96635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32EE7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Start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2</w:t>
      </w:r>
      <w:proofErr w:type="gramEnd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= C1 + ∑(C2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 x 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,t) +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*q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(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.),</w:t>
      </w:r>
    </w:p>
    <w:p w14:paraId="7BF27A88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20539B8F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4283830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без расходов, связанных со строительством объектов электросетевого хозяйства (руб. /1 присоединение);</w:t>
      </w:r>
    </w:p>
    <w:p w14:paraId="4A45B73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строительство воздушных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14:paraId="6F91E056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воздушных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(км);</w:t>
      </w:r>
    </w:p>
    <w:p w14:paraId="4A584804" w14:textId="77777777" w:rsidR="00DC0E88" w:rsidRPr="0003363F" w:rsidRDefault="00233A1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 за точку учета);</w:t>
      </w:r>
    </w:p>
    <w:p w14:paraId="37CF9633" w14:textId="77777777" w:rsidR="00E00552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q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количество точек учета.</w:t>
      </w:r>
    </w:p>
    <w:p w14:paraId="31C1E6B7" w14:textId="77777777" w:rsidR="00E00552" w:rsidRPr="0003363F" w:rsidRDefault="00E00552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6BCB931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3. Если при технологическом присоединении Заявителя предусматривается мероприятие «последней мили» по прокладке кабельных линий электропередачи:</w:t>
      </w:r>
    </w:p>
    <w:p w14:paraId="41198E47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740ED7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3 = C1+ ∑ (C3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 x 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t) +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*q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(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.),</w:t>
      </w:r>
    </w:p>
    <w:p w14:paraId="5B6A07CD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0DBA181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373A20CA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14:paraId="4C08AC57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на строительство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14:paraId="03C85FF9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(км);</w:t>
      </w:r>
    </w:p>
    <w:p w14:paraId="3916892E" w14:textId="77777777" w:rsidR="00DC0E88" w:rsidRPr="0003363F" w:rsidRDefault="00233A1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 за точку учета);</w:t>
      </w:r>
    </w:p>
    <w:p w14:paraId="30998C9E" w14:textId="77777777" w:rsidR="00910B2D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q – количество точек учета.</w:t>
      </w:r>
    </w:p>
    <w:p w14:paraId="0DB45A40" w14:textId="77777777" w:rsidR="00E00552" w:rsidRPr="0003363F" w:rsidRDefault="00E00552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AF6FC5A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4. Если при технологическом присоединении Заявителя предусматривается мероприятие «последней мили» по прокладке воздушных и кабельных линий электропередачи:</w:t>
      </w:r>
    </w:p>
    <w:p w14:paraId="503BDDE3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BC3B76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Start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2</w:t>
      </w:r>
      <w:proofErr w:type="gramEnd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;3 = C1 +∑ (C2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 x 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t) +∑ (C3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t x 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B10366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t) +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*q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(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.),</w:t>
      </w:r>
    </w:p>
    <w:p w14:paraId="0741EA39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06C343B5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14:paraId="0C0936AC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строительство воздушных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14:paraId="588315A3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на строительство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расчете на 1 км линий, руб./км;</w:t>
      </w:r>
    </w:p>
    <w:p w14:paraId="37E1EE0D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воздушных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(км);</w:t>
      </w:r>
    </w:p>
    <w:p w14:paraId="71762869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(км);</w:t>
      </w:r>
    </w:p>
    <w:p w14:paraId="5CF92D1E" w14:textId="77777777" w:rsidR="00DC0E88" w:rsidRPr="0003363F" w:rsidRDefault="00233A1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 за точку учета);</w:t>
      </w:r>
    </w:p>
    <w:p w14:paraId="5E44C42B" w14:textId="77777777" w:rsidR="00910B2D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q – количество точек учета.</w:t>
      </w:r>
    </w:p>
    <w:p w14:paraId="0F269185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5A9645F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5. Если при технологическом присоединении Заявителя предусматривается мероприятие «последней мили» по строительству пунктов секционирования (реклоузеров, распределительных пунктов, переключательных пунктов):</w:t>
      </w:r>
    </w:p>
    <w:p w14:paraId="5E7C6E2C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69B69C5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proofErr w:type="gramStart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4</w:t>
      </w:r>
      <w:proofErr w:type="gramEnd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= C1 + ∑ (C4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 x L4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,t) +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*q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(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.),</w:t>
      </w:r>
    </w:p>
    <w:p w14:paraId="733597F5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6A1399B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0CFC401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14:paraId="4432B66D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на строительство пунктов секционирования (реклоузеров, распределительных пунктов, переключательных пунктов)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(руб./шт.);</w:t>
      </w:r>
    </w:p>
    <w:p w14:paraId="688D3CCD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– количество пунктов секционирования (реклоузеров, распределительных пунктов, переключательных пунктов)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(шт.);</w:t>
      </w:r>
    </w:p>
    <w:p w14:paraId="0D627013" w14:textId="77777777" w:rsidR="00DC0E88" w:rsidRPr="0003363F" w:rsidRDefault="00233A1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 за точку учета);</w:t>
      </w:r>
    </w:p>
    <w:p w14:paraId="14723616" w14:textId="77777777" w:rsidR="00910B2D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q – количество точек учета.</w:t>
      </w:r>
    </w:p>
    <w:p w14:paraId="7C91B1C5" w14:textId="77777777" w:rsidR="00E00552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C5DD337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6. Если при технологическом присоединении Заявителя предусматриваются мероприятия «последней мили» по строительству трансформаторных подстанций (ТП), распределительных трансформаторных подстанций (РТП) с уровнем напряжения до 35 кВ и по строительству центров питания, подстанций уровнем напряжения 35 кВ и выше (ПС):</w:t>
      </w:r>
    </w:p>
    <w:p w14:paraId="367CE08A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BED5D6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5;6;7 = C1 +∑ (C2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 x 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,t) +∑ (C3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 x 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,t) +∑ (C4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 x L4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,t) +</w:t>
      </w:r>
    </w:p>
    <w:p w14:paraId="071E6C6E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∑ (C5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proofErr w:type="gramStart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proofErr w:type="gramEnd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;6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,t;7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,t x </w:t>
      </w:r>
      <w:proofErr w:type="spellStart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N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proofErr w:type="spellEnd"/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) + 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="00233A1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,t</w:t>
      </w:r>
      <w:r w:rsidR="00E00552"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*q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(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руб</w:t>
      </w:r>
      <w:r w:rsidRPr="0003363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.),</w:t>
      </w:r>
    </w:p>
    <w:p w14:paraId="35326AD7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14:paraId="6A397A64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где:</w:t>
      </w:r>
    </w:p>
    <w:p w14:paraId="3A1948B0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C1 -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не связанных со строительством объектов электросетевого хозяйства (руб./1 присоединение);</w:t>
      </w:r>
    </w:p>
    <w:p w14:paraId="7706532A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строительство воздушных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14:paraId="48B15A2F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L2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воздушных линий электропередачи 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(км);</w:t>
      </w:r>
    </w:p>
    <w:p w14:paraId="56DD9484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на строительство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в расчете на 1 км линий, руб./км;</w:t>
      </w:r>
    </w:p>
    <w:p w14:paraId="0D9764D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L3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протяженность кабельных линий электропередачи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(км).</w:t>
      </w:r>
    </w:p>
    <w:p w14:paraId="0403901A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C4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на строительство пунктов секционирования (реклоузеров, распределительных пунктов, переключательных пунктов)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(руб./шт.);</w:t>
      </w:r>
    </w:p>
    <w:p w14:paraId="17BBF7AF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L4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– количество пунктов секционирования (реклоузеров, распределительных пунктов, переключательных пунктов)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(шт.);</w:t>
      </w:r>
    </w:p>
    <w:p w14:paraId="2119BDEE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C5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,t - стандартизированная тарифная ставка на покрытие расходов на строительство трансформаторных подстанций (ТП) с уровнем напряжения до 35 кВ в зависимости от вида используемого материала и (или) способа выполнения работ (t) (руб./кВт);</w:t>
      </w:r>
    </w:p>
    <w:p w14:paraId="739826A1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C6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,t - стандартизированная тарифная ставка на покрытие расходов на строительство распределительных трансформаторных подстанций (РТП) уровнем напряжения до 35 кВ в зависимости от вида используемого материала и (или) способа выполнения работ (t) (руб./кВт);</w:t>
      </w:r>
    </w:p>
    <w:p w14:paraId="2F0EE028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C7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,t - стандартизированная тарифная ставка на покрытие расходов на строительство центров питания, подстанций уровнем напряжения 35 кВ и выше (ПС) в зависимости от вида используемого материала и (или) способа выполнения работ (t) (руб</w:t>
      </w:r>
      <w:r w:rsidR="00D07910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/кВт);</w:t>
      </w:r>
    </w:p>
    <w:p w14:paraId="68BA2722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N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proofErr w:type="spellEnd"/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объем максимальной мощности, указанный Заявителем в заявке на технологическое присоединение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(кВт);</w:t>
      </w:r>
    </w:p>
    <w:p w14:paraId="487C43EE" w14:textId="77777777" w:rsidR="00DC0E88" w:rsidRPr="0003363F" w:rsidRDefault="00233A1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С8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,t - 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 на </w:t>
      </w:r>
      <w:r w:rsidR="00934B94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s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-том уровне напряжения в зависимости от вида используемого материала и (или) способа выполнения работ (t) (руб. за точку учета);</w:t>
      </w:r>
    </w:p>
    <w:p w14:paraId="6246CF9C" w14:textId="77777777" w:rsidR="00910B2D" w:rsidRPr="0003363F" w:rsidRDefault="00E00552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q – количество точек учета.</w:t>
      </w:r>
    </w:p>
    <w:p w14:paraId="51977ED2" w14:textId="77777777" w:rsidR="00440AAA" w:rsidRPr="0003363F" w:rsidRDefault="00440AAA" w:rsidP="00E005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E90E63" w14:textId="77777777" w:rsidR="00440AAA" w:rsidRPr="0003363F" w:rsidRDefault="00440AAA" w:rsidP="00934B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Для Заявителей, указанных в пункте 12 Методических указаний по определению размера платы за технологическое присоединение к электрическим сетям, стандартизированные тарифные ставки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2EC8503" wp14:editId="06B794F1">
            <wp:extent cx="1009650" cy="3086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BD994A7" wp14:editId="75289FDC">
            <wp:extent cx="1009650" cy="3086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289A8EB" wp14:editId="66220BB9">
            <wp:extent cx="1009650" cy="30861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3289591" wp14:editId="06FEC1F5">
            <wp:extent cx="1009650" cy="3086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76638527" wp14:editId="62F82F5D">
            <wp:extent cx="1009650" cy="3086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63DE8E9" wp14:editId="701D2296">
            <wp:extent cx="1009650" cy="3086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рассчитываются по следующим формулам:</w:t>
      </w:r>
    </w:p>
    <w:p w14:paraId="76D9CC78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861600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8C4BC92" wp14:editId="1E82EC0E">
            <wp:extent cx="1294130" cy="30861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,</w:t>
      </w:r>
    </w:p>
    <w:p w14:paraId="5F06C1F5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FA6A5B6" wp14:editId="572FFBAD">
            <wp:extent cx="1294130" cy="30861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,</w:t>
      </w:r>
    </w:p>
    <w:p w14:paraId="214BCA8B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6D6FD67" wp14:editId="60C44549">
            <wp:extent cx="1294130" cy="30861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,</w:t>
      </w:r>
    </w:p>
    <w:p w14:paraId="73A5F79B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4A2FECC" wp14:editId="5C15CCEC">
            <wp:extent cx="1294130" cy="308610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,</w:t>
      </w:r>
    </w:p>
    <w:p w14:paraId="4118EF98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B635A64" wp14:editId="3D8F944E">
            <wp:extent cx="1294130" cy="30861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,</w:t>
      </w:r>
    </w:p>
    <w:p w14:paraId="74AC5E7A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48395658" wp14:editId="5AB237EC">
            <wp:extent cx="1294130" cy="30861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63F">
        <w:rPr>
          <w:rFonts w:ascii="Times New Roman" w:hAnsi="Times New Roman"/>
          <w:sz w:val="24"/>
          <w:szCs w:val="24"/>
          <w:lang w:eastAsia="ru-RU"/>
        </w:rPr>
        <w:t>.</w:t>
      </w:r>
    </w:p>
    <w:p w14:paraId="13B15A5F" w14:textId="77777777" w:rsidR="00440AAA" w:rsidRPr="0003363F" w:rsidRDefault="00440AAA" w:rsidP="00440AA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E49F4B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Примечание.</w:t>
      </w:r>
    </w:p>
    <w:p w14:paraId="7EBFBD3C" w14:textId="77777777" w:rsidR="00910B2D" w:rsidRPr="0003363F" w:rsidRDefault="00910B2D" w:rsidP="00910B2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1. Размер платы за технологическое присоединение рассчитывается территориальными сетевыми организациями согласно выданным техническим условиям в соответствии с утвержденными формулами.</w:t>
      </w:r>
    </w:p>
    <w:p w14:paraId="1CCBA175" w14:textId="77777777" w:rsidR="00435A89" w:rsidRPr="0003363F" w:rsidRDefault="00910B2D" w:rsidP="00435A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2. В соответствии с подпунктом «г» пункта 3</w:t>
      </w:r>
      <w:r w:rsidR="00614D77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Методических указаний</w:t>
      </w:r>
      <w:r w:rsidR="00435A8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определению размера платы за технологическое присоединение к электрическим сетям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435A8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года, то стоимость мероприятий, учитываемых в плате, рассчитанной в год подачи заявки, индексируется следующим образом:</w:t>
      </w:r>
    </w:p>
    <w:p w14:paraId="4AFDC651" w14:textId="77777777" w:rsidR="00435A89" w:rsidRPr="0003363F" w:rsidRDefault="00435A89" w:rsidP="00435A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- 50% стоимости мероприятий, предусмотренных техническими условиями, определяется в ценах года, соответствующего году утверждения платы;</w:t>
      </w:r>
    </w:p>
    <w:p w14:paraId="04ADEFD7" w14:textId="77777777" w:rsidR="00910B2D" w:rsidRPr="00A56BE8" w:rsidRDefault="00435A89" w:rsidP="00435A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- 50% стоимости мероприятий, предусмотренных техническими условиями, умножается на прогнозный индекс це</w:t>
      </w:r>
      <w:r w:rsidR="0003363F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 производителей по подразделу «Строительство» </w:t>
      </w:r>
      <w:r w:rsidR="0003363F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раздела «</w:t>
      </w:r>
      <w:r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Капитальные вложения (инвестиции)</w:t>
      </w:r>
      <w:r w:rsidR="0003363F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год, следующий за годом утверждения платы, публикуемый в соответствии со вторым предложением абзаца восьмого пункта 87 Основ ценообразования </w:t>
      </w:r>
      <w:r w:rsidR="0003363F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в области регулируемых цен (тарифов) в электроэнергетике, утвержденн</w:t>
      </w:r>
      <w:r w:rsidR="00A56BE8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03363F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56BE8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постановлением Правительства РФ от 29.12.2011 № 1178, </w:t>
      </w:r>
      <w:r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(при отсутствии данного индекса используется индекс потребительских цен)</w:t>
      </w:r>
      <w:r w:rsidR="00910B2D" w:rsidRPr="00A56BE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CD0EB8" w14:textId="118F2317" w:rsidR="00CD717F" w:rsidRDefault="00910B2D" w:rsidP="0042790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В случае если Заявитель при технологическом присоединении запрашивает вторую или первую категорию надежности электроснабжения (технологическое присоединение к двум независимым источникам энергоснабжения), то размер платы за технологическое присоединение определяется в соответствии с пунктом </w:t>
      </w:r>
      <w:r w:rsidR="00435A8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38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Методических указаний</w:t>
      </w:r>
      <w:r w:rsidR="00435A89"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определению размера платы за технологическое присоединение к электрическим сетям</w:t>
      </w:r>
      <w:r w:rsidRPr="0003363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F7B4A6A" w14:textId="77777777" w:rsidR="006722B8" w:rsidRPr="006722B8" w:rsidRDefault="006722B8" w:rsidP="004559F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</w:p>
    <w:sectPr w:rsidR="006722B8" w:rsidRPr="006722B8" w:rsidSect="0042790F">
      <w:pgSz w:w="11905" w:h="16840"/>
      <w:pgMar w:top="851" w:right="567" w:bottom="992" w:left="56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FE13A" w14:textId="77777777" w:rsidR="00626E25" w:rsidRDefault="00626E25" w:rsidP="00DD3EC4">
      <w:pPr>
        <w:spacing w:after="0" w:line="240" w:lineRule="auto"/>
      </w:pPr>
      <w:r>
        <w:separator/>
      </w:r>
    </w:p>
  </w:endnote>
  <w:endnote w:type="continuationSeparator" w:id="0">
    <w:p w14:paraId="1662474B" w14:textId="77777777" w:rsidR="00626E25" w:rsidRDefault="00626E25" w:rsidP="00DD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ACBB8" w14:textId="77777777" w:rsidR="00626E25" w:rsidRDefault="00626E25" w:rsidP="00DD3EC4">
      <w:pPr>
        <w:spacing w:after="0" w:line="240" w:lineRule="auto"/>
      </w:pPr>
      <w:r>
        <w:separator/>
      </w:r>
    </w:p>
  </w:footnote>
  <w:footnote w:type="continuationSeparator" w:id="0">
    <w:p w14:paraId="480F57B7" w14:textId="77777777" w:rsidR="00626E25" w:rsidRDefault="00626E25" w:rsidP="00DD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683782"/>
      <w:docPartObj>
        <w:docPartGallery w:val="Page Numbers (Top of Page)"/>
        <w:docPartUnique/>
      </w:docPartObj>
    </w:sdtPr>
    <w:sdtEndPr/>
    <w:sdtContent>
      <w:p w14:paraId="4E1D9AD3" w14:textId="77777777" w:rsidR="00626E25" w:rsidRDefault="00626E25">
        <w:pPr>
          <w:pStyle w:val="a7"/>
          <w:jc w:val="center"/>
        </w:pPr>
      </w:p>
      <w:p w14:paraId="6C5018F6" w14:textId="60C97308" w:rsidR="00626E25" w:rsidRDefault="00626E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C27">
          <w:rPr>
            <w:noProof/>
          </w:rPr>
          <w:t>3</w:t>
        </w:r>
        <w:r>
          <w:fldChar w:fldCharType="end"/>
        </w:r>
      </w:p>
    </w:sdtContent>
  </w:sdt>
  <w:p w14:paraId="5A1E85C0" w14:textId="77777777" w:rsidR="00626E25" w:rsidRDefault="00626E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AE"/>
    <w:rsid w:val="00000CC0"/>
    <w:rsid w:val="00000E77"/>
    <w:rsid w:val="00002E42"/>
    <w:rsid w:val="00010510"/>
    <w:rsid w:val="00013911"/>
    <w:rsid w:val="00021EB4"/>
    <w:rsid w:val="00022104"/>
    <w:rsid w:val="000237C5"/>
    <w:rsid w:val="000258A7"/>
    <w:rsid w:val="0003363F"/>
    <w:rsid w:val="00033BDE"/>
    <w:rsid w:val="000411B6"/>
    <w:rsid w:val="00043044"/>
    <w:rsid w:val="00055C92"/>
    <w:rsid w:val="00065CD8"/>
    <w:rsid w:val="000677BC"/>
    <w:rsid w:val="000744E2"/>
    <w:rsid w:val="000755E2"/>
    <w:rsid w:val="00087532"/>
    <w:rsid w:val="00087FAD"/>
    <w:rsid w:val="0009423A"/>
    <w:rsid w:val="000A4B37"/>
    <w:rsid w:val="000A6961"/>
    <w:rsid w:val="000B0A80"/>
    <w:rsid w:val="000B3137"/>
    <w:rsid w:val="000B76A0"/>
    <w:rsid w:val="000B7C0A"/>
    <w:rsid w:val="000D0CF7"/>
    <w:rsid w:val="000D398A"/>
    <w:rsid w:val="000E1A78"/>
    <w:rsid w:val="000E1EBD"/>
    <w:rsid w:val="000E2031"/>
    <w:rsid w:val="000E207A"/>
    <w:rsid w:val="00111E78"/>
    <w:rsid w:val="001121D7"/>
    <w:rsid w:val="00112237"/>
    <w:rsid w:val="00112963"/>
    <w:rsid w:val="001158D2"/>
    <w:rsid w:val="00120DED"/>
    <w:rsid w:val="001314CF"/>
    <w:rsid w:val="00131E5D"/>
    <w:rsid w:val="00133A5A"/>
    <w:rsid w:val="00137A78"/>
    <w:rsid w:val="00142DEF"/>
    <w:rsid w:val="00143D3A"/>
    <w:rsid w:val="001452F5"/>
    <w:rsid w:val="00151A1F"/>
    <w:rsid w:val="00151A77"/>
    <w:rsid w:val="001530B9"/>
    <w:rsid w:val="001543DB"/>
    <w:rsid w:val="001661C5"/>
    <w:rsid w:val="00170E36"/>
    <w:rsid w:val="00172423"/>
    <w:rsid w:val="00174576"/>
    <w:rsid w:val="00182B0A"/>
    <w:rsid w:val="00185E22"/>
    <w:rsid w:val="001970EB"/>
    <w:rsid w:val="001A148F"/>
    <w:rsid w:val="001B03EE"/>
    <w:rsid w:val="001B0FCF"/>
    <w:rsid w:val="001B36EC"/>
    <w:rsid w:val="001C648B"/>
    <w:rsid w:val="001D05F0"/>
    <w:rsid w:val="001D1EA4"/>
    <w:rsid w:val="001E54C3"/>
    <w:rsid w:val="001E6010"/>
    <w:rsid w:val="001E639C"/>
    <w:rsid w:val="001F04B0"/>
    <w:rsid w:val="001F30A1"/>
    <w:rsid w:val="001F5A76"/>
    <w:rsid w:val="001F6378"/>
    <w:rsid w:val="0020059A"/>
    <w:rsid w:val="00200E73"/>
    <w:rsid w:val="00211782"/>
    <w:rsid w:val="0021635B"/>
    <w:rsid w:val="00216968"/>
    <w:rsid w:val="00222D48"/>
    <w:rsid w:val="002232FB"/>
    <w:rsid w:val="002248A3"/>
    <w:rsid w:val="00226BCC"/>
    <w:rsid w:val="00226CE8"/>
    <w:rsid w:val="00233A12"/>
    <w:rsid w:val="00234DFD"/>
    <w:rsid w:val="00240CA7"/>
    <w:rsid w:val="0024161F"/>
    <w:rsid w:val="00252BB1"/>
    <w:rsid w:val="00253F9E"/>
    <w:rsid w:val="00254EAC"/>
    <w:rsid w:val="002558C2"/>
    <w:rsid w:val="00255B4C"/>
    <w:rsid w:val="00265700"/>
    <w:rsid w:val="00265CC6"/>
    <w:rsid w:val="00273D00"/>
    <w:rsid w:val="00275019"/>
    <w:rsid w:val="00275C92"/>
    <w:rsid w:val="00277F60"/>
    <w:rsid w:val="00280FE0"/>
    <w:rsid w:val="00284948"/>
    <w:rsid w:val="0028640C"/>
    <w:rsid w:val="002864A7"/>
    <w:rsid w:val="00291553"/>
    <w:rsid w:val="00291579"/>
    <w:rsid w:val="002A0D2B"/>
    <w:rsid w:val="002A3042"/>
    <w:rsid w:val="002A3511"/>
    <w:rsid w:val="002A4744"/>
    <w:rsid w:val="002A7C32"/>
    <w:rsid w:val="002B32EC"/>
    <w:rsid w:val="002B5F76"/>
    <w:rsid w:val="002B60A6"/>
    <w:rsid w:val="002B78D7"/>
    <w:rsid w:val="002C2D47"/>
    <w:rsid w:val="002D5CD2"/>
    <w:rsid w:val="002E0F85"/>
    <w:rsid w:val="002E5A25"/>
    <w:rsid w:val="002E6FC1"/>
    <w:rsid w:val="002F0604"/>
    <w:rsid w:val="002F323B"/>
    <w:rsid w:val="002F50DE"/>
    <w:rsid w:val="0030673C"/>
    <w:rsid w:val="00306A8F"/>
    <w:rsid w:val="00324DD7"/>
    <w:rsid w:val="00324F13"/>
    <w:rsid w:val="00332D58"/>
    <w:rsid w:val="003346D6"/>
    <w:rsid w:val="00334E8E"/>
    <w:rsid w:val="00350E18"/>
    <w:rsid w:val="003520AA"/>
    <w:rsid w:val="00360B68"/>
    <w:rsid w:val="00362F2F"/>
    <w:rsid w:val="0036796C"/>
    <w:rsid w:val="00375D99"/>
    <w:rsid w:val="0037658F"/>
    <w:rsid w:val="00377EB4"/>
    <w:rsid w:val="0038131E"/>
    <w:rsid w:val="00382CE8"/>
    <w:rsid w:val="00382D32"/>
    <w:rsid w:val="003910FC"/>
    <w:rsid w:val="00396BD6"/>
    <w:rsid w:val="00397742"/>
    <w:rsid w:val="00397F8D"/>
    <w:rsid w:val="003A1CE9"/>
    <w:rsid w:val="003A4904"/>
    <w:rsid w:val="003B18CE"/>
    <w:rsid w:val="003B2EC4"/>
    <w:rsid w:val="003B4454"/>
    <w:rsid w:val="003C30BA"/>
    <w:rsid w:val="003C4415"/>
    <w:rsid w:val="003C64A3"/>
    <w:rsid w:val="003D7E23"/>
    <w:rsid w:val="003E1331"/>
    <w:rsid w:val="003E2906"/>
    <w:rsid w:val="003E66E7"/>
    <w:rsid w:val="003F32DB"/>
    <w:rsid w:val="003F4652"/>
    <w:rsid w:val="003F4EC7"/>
    <w:rsid w:val="003F5BE6"/>
    <w:rsid w:val="004006B2"/>
    <w:rsid w:val="00400CE4"/>
    <w:rsid w:val="00402E9D"/>
    <w:rsid w:val="004041E8"/>
    <w:rsid w:val="0040713F"/>
    <w:rsid w:val="0041283B"/>
    <w:rsid w:val="0042070F"/>
    <w:rsid w:val="00422BB2"/>
    <w:rsid w:val="0042790F"/>
    <w:rsid w:val="0043210E"/>
    <w:rsid w:val="0043217C"/>
    <w:rsid w:val="004326F3"/>
    <w:rsid w:val="00432C3F"/>
    <w:rsid w:val="00432EB8"/>
    <w:rsid w:val="00435A89"/>
    <w:rsid w:val="00440AAA"/>
    <w:rsid w:val="00445534"/>
    <w:rsid w:val="0044635B"/>
    <w:rsid w:val="004559F6"/>
    <w:rsid w:val="00461FE8"/>
    <w:rsid w:val="00463D51"/>
    <w:rsid w:val="00463F92"/>
    <w:rsid w:val="0046416B"/>
    <w:rsid w:val="00470878"/>
    <w:rsid w:val="00471BE2"/>
    <w:rsid w:val="00481D0E"/>
    <w:rsid w:val="004869AE"/>
    <w:rsid w:val="00490DA5"/>
    <w:rsid w:val="00492C27"/>
    <w:rsid w:val="004936CE"/>
    <w:rsid w:val="0049600F"/>
    <w:rsid w:val="004A2725"/>
    <w:rsid w:val="004A5065"/>
    <w:rsid w:val="004A64EF"/>
    <w:rsid w:val="004A7755"/>
    <w:rsid w:val="004B2DAC"/>
    <w:rsid w:val="004B3447"/>
    <w:rsid w:val="004B7F29"/>
    <w:rsid w:val="004C115B"/>
    <w:rsid w:val="004C366C"/>
    <w:rsid w:val="004E0D87"/>
    <w:rsid w:val="004E34F9"/>
    <w:rsid w:val="004F5BEA"/>
    <w:rsid w:val="00504EF0"/>
    <w:rsid w:val="0050570E"/>
    <w:rsid w:val="00513829"/>
    <w:rsid w:val="00516FB3"/>
    <w:rsid w:val="00523028"/>
    <w:rsid w:val="0052325D"/>
    <w:rsid w:val="00527078"/>
    <w:rsid w:val="005335E2"/>
    <w:rsid w:val="00536DB6"/>
    <w:rsid w:val="0054113C"/>
    <w:rsid w:val="00545DC5"/>
    <w:rsid w:val="00552771"/>
    <w:rsid w:val="005563A3"/>
    <w:rsid w:val="00563BBD"/>
    <w:rsid w:val="005645A5"/>
    <w:rsid w:val="0056623B"/>
    <w:rsid w:val="00581003"/>
    <w:rsid w:val="00581057"/>
    <w:rsid w:val="00582D20"/>
    <w:rsid w:val="005B1CEB"/>
    <w:rsid w:val="005B1EC4"/>
    <w:rsid w:val="005B29FD"/>
    <w:rsid w:val="005B35ED"/>
    <w:rsid w:val="005B3995"/>
    <w:rsid w:val="005B42F4"/>
    <w:rsid w:val="005B561C"/>
    <w:rsid w:val="005B6880"/>
    <w:rsid w:val="005C43C3"/>
    <w:rsid w:val="005D4F7F"/>
    <w:rsid w:val="005D6220"/>
    <w:rsid w:val="005E034A"/>
    <w:rsid w:val="005E23C1"/>
    <w:rsid w:val="005E5670"/>
    <w:rsid w:val="005F20DB"/>
    <w:rsid w:val="005F458D"/>
    <w:rsid w:val="005F768D"/>
    <w:rsid w:val="00602001"/>
    <w:rsid w:val="0060580D"/>
    <w:rsid w:val="00612983"/>
    <w:rsid w:val="00614084"/>
    <w:rsid w:val="00614D77"/>
    <w:rsid w:val="00626E25"/>
    <w:rsid w:val="006309E5"/>
    <w:rsid w:val="00632471"/>
    <w:rsid w:val="006459EC"/>
    <w:rsid w:val="00650BBE"/>
    <w:rsid w:val="00651817"/>
    <w:rsid w:val="0065529A"/>
    <w:rsid w:val="00664701"/>
    <w:rsid w:val="00666B6B"/>
    <w:rsid w:val="006722B8"/>
    <w:rsid w:val="00674544"/>
    <w:rsid w:val="00677C45"/>
    <w:rsid w:val="00680A33"/>
    <w:rsid w:val="00680FF3"/>
    <w:rsid w:val="0068139B"/>
    <w:rsid w:val="006850E0"/>
    <w:rsid w:val="0068542B"/>
    <w:rsid w:val="00687A14"/>
    <w:rsid w:val="006940B5"/>
    <w:rsid w:val="00695159"/>
    <w:rsid w:val="0069530E"/>
    <w:rsid w:val="00697424"/>
    <w:rsid w:val="00697EFD"/>
    <w:rsid w:val="006A0FB9"/>
    <w:rsid w:val="006A39C3"/>
    <w:rsid w:val="006A3E0F"/>
    <w:rsid w:val="006A5AD8"/>
    <w:rsid w:val="006B131B"/>
    <w:rsid w:val="006C2DE4"/>
    <w:rsid w:val="006C4DCC"/>
    <w:rsid w:val="006D36D9"/>
    <w:rsid w:val="006F2AAC"/>
    <w:rsid w:val="006F2C08"/>
    <w:rsid w:val="006F7470"/>
    <w:rsid w:val="00701823"/>
    <w:rsid w:val="0070360C"/>
    <w:rsid w:val="007068B6"/>
    <w:rsid w:val="00707ABA"/>
    <w:rsid w:val="0071070D"/>
    <w:rsid w:val="007163A2"/>
    <w:rsid w:val="00721CAA"/>
    <w:rsid w:val="00722147"/>
    <w:rsid w:val="007234E9"/>
    <w:rsid w:val="00736264"/>
    <w:rsid w:val="007377EA"/>
    <w:rsid w:val="0074089C"/>
    <w:rsid w:val="00745536"/>
    <w:rsid w:val="00746D90"/>
    <w:rsid w:val="00747CBF"/>
    <w:rsid w:val="00750981"/>
    <w:rsid w:val="00762152"/>
    <w:rsid w:val="007639B8"/>
    <w:rsid w:val="007704CD"/>
    <w:rsid w:val="00771119"/>
    <w:rsid w:val="007725B3"/>
    <w:rsid w:val="00775937"/>
    <w:rsid w:val="00784ECB"/>
    <w:rsid w:val="007854FE"/>
    <w:rsid w:val="00797104"/>
    <w:rsid w:val="007A6501"/>
    <w:rsid w:val="007A733B"/>
    <w:rsid w:val="007B41B1"/>
    <w:rsid w:val="007C2536"/>
    <w:rsid w:val="007C6ED5"/>
    <w:rsid w:val="007E5923"/>
    <w:rsid w:val="007E63A9"/>
    <w:rsid w:val="007F03D2"/>
    <w:rsid w:val="007F41E5"/>
    <w:rsid w:val="007F6105"/>
    <w:rsid w:val="007F7194"/>
    <w:rsid w:val="00800DEC"/>
    <w:rsid w:val="0080415B"/>
    <w:rsid w:val="0080440C"/>
    <w:rsid w:val="00813906"/>
    <w:rsid w:val="008271C4"/>
    <w:rsid w:val="008308A5"/>
    <w:rsid w:val="00831F2A"/>
    <w:rsid w:val="00832FED"/>
    <w:rsid w:val="0083324C"/>
    <w:rsid w:val="008349EA"/>
    <w:rsid w:val="0083576A"/>
    <w:rsid w:val="008413EF"/>
    <w:rsid w:val="008415F2"/>
    <w:rsid w:val="00853AD3"/>
    <w:rsid w:val="008543F5"/>
    <w:rsid w:val="0086581B"/>
    <w:rsid w:val="0087276E"/>
    <w:rsid w:val="008739EB"/>
    <w:rsid w:val="0087708C"/>
    <w:rsid w:val="00880721"/>
    <w:rsid w:val="0088130C"/>
    <w:rsid w:val="00882642"/>
    <w:rsid w:val="00882A70"/>
    <w:rsid w:val="00883357"/>
    <w:rsid w:val="00884569"/>
    <w:rsid w:val="00895536"/>
    <w:rsid w:val="00897104"/>
    <w:rsid w:val="008A0648"/>
    <w:rsid w:val="008A083C"/>
    <w:rsid w:val="008B48EB"/>
    <w:rsid w:val="008B5035"/>
    <w:rsid w:val="008C1044"/>
    <w:rsid w:val="008C37D1"/>
    <w:rsid w:val="008C514C"/>
    <w:rsid w:val="008C79E9"/>
    <w:rsid w:val="008D0E13"/>
    <w:rsid w:val="008D491C"/>
    <w:rsid w:val="008D509A"/>
    <w:rsid w:val="008D5407"/>
    <w:rsid w:val="008D7D87"/>
    <w:rsid w:val="008E00A7"/>
    <w:rsid w:val="008E1547"/>
    <w:rsid w:val="008E36ED"/>
    <w:rsid w:val="008E3F73"/>
    <w:rsid w:val="008E5D50"/>
    <w:rsid w:val="008F089D"/>
    <w:rsid w:val="008F30B9"/>
    <w:rsid w:val="00910B2D"/>
    <w:rsid w:val="0091128E"/>
    <w:rsid w:val="00927675"/>
    <w:rsid w:val="009310F7"/>
    <w:rsid w:val="00931988"/>
    <w:rsid w:val="00933B2D"/>
    <w:rsid w:val="00934B94"/>
    <w:rsid w:val="009357DC"/>
    <w:rsid w:val="0094016D"/>
    <w:rsid w:val="00941F75"/>
    <w:rsid w:val="00942484"/>
    <w:rsid w:val="00951495"/>
    <w:rsid w:val="009529F7"/>
    <w:rsid w:val="00961112"/>
    <w:rsid w:val="00970E19"/>
    <w:rsid w:val="00971ECD"/>
    <w:rsid w:val="0098393F"/>
    <w:rsid w:val="00986133"/>
    <w:rsid w:val="00995A14"/>
    <w:rsid w:val="00995C5B"/>
    <w:rsid w:val="009A2D6D"/>
    <w:rsid w:val="009A7E5E"/>
    <w:rsid w:val="009B0497"/>
    <w:rsid w:val="009B448A"/>
    <w:rsid w:val="009B4910"/>
    <w:rsid w:val="009C47C2"/>
    <w:rsid w:val="009D4BCF"/>
    <w:rsid w:val="009E3E44"/>
    <w:rsid w:val="009F4C40"/>
    <w:rsid w:val="00A053EE"/>
    <w:rsid w:val="00A10807"/>
    <w:rsid w:val="00A12C18"/>
    <w:rsid w:val="00A17529"/>
    <w:rsid w:val="00A21E4D"/>
    <w:rsid w:val="00A248CD"/>
    <w:rsid w:val="00A30DB7"/>
    <w:rsid w:val="00A400A7"/>
    <w:rsid w:val="00A4491B"/>
    <w:rsid w:val="00A45B0E"/>
    <w:rsid w:val="00A47699"/>
    <w:rsid w:val="00A523C8"/>
    <w:rsid w:val="00A56293"/>
    <w:rsid w:val="00A56812"/>
    <w:rsid w:val="00A56BE8"/>
    <w:rsid w:val="00A61420"/>
    <w:rsid w:val="00A67C2C"/>
    <w:rsid w:val="00A73B8A"/>
    <w:rsid w:val="00A81778"/>
    <w:rsid w:val="00A82538"/>
    <w:rsid w:val="00A83EED"/>
    <w:rsid w:val="00A85862"/>
    <w:rsid w:val="00A866EA"/>
    <w:rsid w:val="00A879F7"/>
    <w:rsid w:val="00A94E1E"/>
    <w:rsid w:val="00A96BC2"/>
    <w:rsid w:val="00A9722B"/>
    <w:rsid w:val="00AA1E84"/>
    <w:rsid w:val="00AA3EDB"/>
    <w:rsid w:val="00AA40C0"/>
    <w:rsid w:val="00AA627F"/>
    <w:rsid w:val="00AB146E"/>
    <w:rsid w:val="00AB2A77"/>
    <w:rsid w:val="00AC005D"/>
    <w:rsid w:val="00AC023F"/>
    <w:rsid w:val="00AC1332"/>
    <w:rsid w:val="00AC56AD"/>
    <w:rsid w:val="00AD16F6"/>
    <w:rsid w:val="00AD2D8B"/>
    <w:rsid w:val="00AD33BE"/>
    <w:rsid w:val="00AD3BDE"/>
    <w:rsid w:val="00AD607C"/>
    <w:rsid w:val="00AF74D0"/>
    <w:rsid w:val="00B034DE"/>
    <w:rsid w:val="00B10366"/>
    <w:rsid w:val="00B11CD5"/>
    <w:rsid w:val="00B167DF"/>
    <w:rsid w:val="00B24DB4"/>
    <w:rsid w:val="00B2706C"/>
    <w:rsid w:val="00B378DD"/>
    <w:rsid w:val="00B4071B"/>
    <w:rsid w:val="00B439E5"/>
    <w:rsid w:val="00B51DAB"/>
    <w:rsid w:val="00B52B7B"/>
    <w:rsid w:val="00B545A4"/>
    <w:rsid w:val="00B64982"/>
    <w:rsid w:val="00B730F2"/>
    <w:rsid w:val="00B83C19"/>
    <w:rsid w:val="00B843E7"/>
    <w:rsid w:val="00B8485F"/>
    <w:rsid w:val="00B850E5"/>
    <w:rsid w:val="00B86CC3"/>
    <w:rsid w:val="00B86CDB"/>
    <w:rsid w:val="00B92115"/>
    <w:rsid w:val="00B95346"/>
    <w:rsid w:val="00BA02AE"/>
    <w:rsid w:val="00BA18FE"/>
    <w:rsid w:val="00BB2D7C"/>
    <w:rsid w:val="00BB7BD7"/>
    <w:rsid w:val="00BC52FC"/>
    <w:rsid w:val="00BC7A8C"/>
    <w:rsid w:val="00BD1CA3"/>
    <w:rsid w:val="00BD3836"/>
    <w:rsid w:val="00BD661B"/>
    <w:rsid w:val="00BE0AFA"/>
    <w:rsid w:val="00BE7C32"/>
    <w:rsid w:val="00BF1A70"/>
    <w:rsid w:val="00BF3E46"/>
    <w:rsid w:val="00C01F77"/>
    <w:rsid w:val="00C043AD"/>
    <w:rsid w:val="00C05FB2"/>
    <w:rsid w:val="00C104FB"/>
    <w:rsid w:val="00C105DF"/>
    <w:rsid w:val="00C244AE"/>
    <w:rsid w:val="00C25B3F"/>
    <w:rsid w:val="00C42B74"/>
    <w:rsid w:val="00C44A19"/>
    <w:rsid w:val="00C44FCA"/>
    <w:rsid w:val="00C54DA4"/>
    <w:rsid w:val="00C66211"/>
    <w:rsid w:val="00C67135"/>
    <w:rsid w:val="00C72353"/>
    <w:rsid w:val="00C7325E"/>
    <w:rsid w:val="00C734CD"/>
    <w:rsid w:val="00C766F1"/>
    <w:rsid w:val="00C804F6"/>
    <w:rsid w:val="00C82661"/>
    <w:rsid w:val="00C909B6"/>
    <w:rsid w:val="00C909C1"/>
    <w:rsid w:val="00C91F4E"/>
    <w:rsid w:val="00C94F73"/>
    <w:rsid w:val="00C9747B"/>
    <w:rsid w:val="00C979A7"/>
    <w:rsid w:val="00C979F1"/>
    <w:rsid w:val="00CA1083"/>
    <w:rsid w:val="00CA4027"/>
    <w:rsid w:val="00CA5146"/>
    <w:rsid w:val="00CB0F23"/>
    <w:rsid w:val="00CB3A9E"/>
    <w:rsid w:val="00CB7404"/>
    <w:rsid w:val="00CC391A"/>
    <w:rsid w:val="00CC6044"/>
    <w:rsid w:val="00CD0D27"/>
    <w:rsid w:val="00CD6497"/>
    <w:rsid w:val="00CD717F"/>
    <w:rsid w:val="00CD7C45"/>
    <w:rsid w:val="00CF1E86"/>
    <w:rsid w:val="00CF32CD"/>
    <w:rsid w:val="00CF3852"/>
    <w:rsid w:val="00D00311"/>
    <w:rsid w:val="00D01CE8"/>
    <w:rsid w:val="00D02345"/>
    <w:rsid w:val="00D02A98"/>
    <w:rsid w:val="00D03ABF"/>
    <w:rsid w:val="00D07910"/>
    <w:rsid w:val="00D11389"/>
    <w:rsid w:val="00D26AC6"/>
    <w:rsid w:val="00D327D2"/>
    <w:rsid w:val="00D33447"/>
    <w:rsid w:val="00D34F4D"/>
    <w:rsid w:val="00D3670D"/>
    <w:rsid w:val="00D4076C"/>
    <w:rsid w:val="00D469B3"/>
    <w:rsid w:val="00D508BF"/>
    <w:rsid w:val="00D532DC"/>
    <w:rsid w:val="00D54870"/>
    <w:rsid w:val="00D57F1E"/>
    <w:rsid w:val="00D601F9"/>
    <w:rsid w:val="00D61B26"/>
    <w:rsid w:val="00D63E38"/>
    <w:rsid w:val="00D6456E"/>
    <w:rsid w:val="00D6618D"/>
    <w:rsid w:val="00D76B44"/>
    <w:rsid w:val="00D80948"/>
    <w:rsid w:val="00D81DA9"/>
    <w:rsid w:val="00D84487"/>
    <w:rsid w:val="00D8471E"/>
    <w:rsid w:val="00D87606"/>
    <w:rsid w:val="00D97538"/>
    <w:rsid w:val="00D97B93"/>
    <w:rsid w:val="00DA3060"/>
    <w:rsid w:val="00DA40B3"/>
    <w:rsid w:val="00DA5382"/>
    <w:rsid w:val="00DB2906"/>
    <w:rsid w:val="00DB5B48"/>
    <w:rsid w:val="00DB6E6C"/>
    <w:rsid w:val="00DC0E88"/>
    <w:rsid w:val="00DC137D"/>
    <w:rsid w:val="00DC1832"/>
    <w:rsid w:val="00DC4627"/>
    <w:rsid w:val="00DC5F55"/>
    <w:rsid w:val="00DD3EC4"/>
    <w:rsid w:val="00DD5AD0"/>
    <w:rsid w:val="00E00552"/>
    <w:rsid w:val="00E07A2C"/>
    <w:rsid w:val="00E100E0"/>
    <w:rsid w:val="00E137E8"/>
    <w:rsid w:val="00E1469E"/>
    <w:rsid w:val="00E16AC6"/>
    <w:rsid w:val="00E272ED"/>
    <w:rsid w:val="00E31096"/>
    <w:rsid w:val="00E36321"/>
    <w:rsid w:val="00E365A4"/>
    <w:rsid w:val="00E36F81"/>
    <w:rsid w:val="00E37F72"/>
    <w:rsid w:val="00E40DDF"/>
    <w:rsid w:val="00E43344"/>
    <w:rsid w:val="00E46942"/>
    <w:rsid w:val="00E50908"/>
    <w:rsid w:val="00E63EE6"/>
    <w:rsid w:val="00E65D53"/>
    <w:rsid w:val="00E66A12"/>
    <w:rsid w:val="00E72F46"/>
    <w:rsid w:val="00E73212"/>
    <w:rsid w:val="00E97B6B"/>
    <w:rsid w:val="00EB3218"/>
    <w:rsid w:val="00EB75A6"/>
    <w:rsid w:val="00EC38F2"/>
    <w:rsid w:val="00EC5B0E"/>
    <w:rsid w:val="00ED0F77"/>
    <w:rsid w:val="00ED2CA1"/>
    <w:rsid w:val="00ED37D9"/>
    <w:rsid w:val="00ED6AD8"/>
    <w:rsid w:val="00ED77AE"/>
    <w:rsid w:val="00EE03DD"/>
    <w:rsid w:val="00EE3886"/>
    <w:rsid w:val="00EE4285"/>
    <w:rsid w:val="00EE4CEB"/>
    <w:rsid w:val="00EF25B1"/>
    <w:rsid w:val="00F023B7"/>
    <w:rsid w:val="00F046E0"/>
    <w:rsid w:val="00F07B1A"/>
    <w:rsid w:val="00F1372A"/>
    <w:rsid w:val="00F15704"/>
    <w:rsid w:val="00F15D89"/>
    <w:rsid w:val="00F17CF0"/>
    <w:rsid w:val="00F25A24"/>
    <w:rsid w:val="00F26F9C"/>
    <w:rsid w:val="00F27E10"/>
    <w:rsid w:val="00F27E6C"/>
    <w:rsid w:val="00F333F7"/>
    <w:rsid w:val="00F35F6D"/>
    <w:rsid w:val="00F3749E"/>
    <w:rsid w:val="00F46B9D"/>
    <w:rsid w:val="00F539EC"/>
    <w:rsid w:val="00F551AE"/>
    <w:rsid w:val="00F57F27"/>
    <w:rsid w:val="00F61582"/>
    <w:rsid w:val="00F674FD"/>
    <w:rsid w:val="00F75D5F"/>
    <w:rsid w:val="00F75F17"/>
    <w:rsid w:val="00F8107C"/>
    <w:rsid w:val="00F81258"/>
    <w:rsid w:val="00F86218"/>
    <w:rsid w:val="00F86C89"/>
    <w:rsid w:val="00F91D64"/>
    <w:rsid w:val="00F93D70"/>
    <w:rsid w:val="00F96766"/>
    <w:rsid w:val="00FA0931"/>
    <w:rsid w:val="00FA69AE"/>
    <w:rsid w:val="00FA6E27"/>
    <w:rsid w:val="00FB2902"/>
    <w:rsid w:val="00FB3286"/>
    <w:rsid w:val="00FB58E2"/>
    <w:rsid w:val="00FC0D2F"/>
    <w:rsid w:val="00FC16E4"/>
    <w:rsid w:val="00FC7827"/>
    <w:rsid w:val="00FD0E76"/>
    <w:rsid w:val="00FE4A66"/>
    <w:rsid w:val="00FE4AAC"/>
    <w:rsid w:val="00FE58EF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1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5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807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07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07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88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072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69515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44A19"/>
    <w:pPr>
      <w:widowControl w:val="0"/>
    </w:pPr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936C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D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EC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D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EC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5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807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807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072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88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0721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69515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44A19"/>
    <w:pPr>
      <w:widowControl w:val="0"/>
    </w:pPr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936C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DD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3EC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D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E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8F2BF-2B6C-48E9-95A5-D9567A45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6474</Words>
  <Characters>45223</Characters>
  <Application>Microsoft Office Word</Application>
  <DocSecurity>0</DocSecurity>
  <Lines>376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51594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333-01</dc:creator>
  <cp:lastModifiedBy>333-01</cp:lastModifiedBy>
  <cp:revision>3</cp:revision>
  <cp:lastPrinted>2024-12-24T13:04:00Z</cp:lastPrinted>
  <dcterms:created xsi:type="dcterms:W3CDTF">2025-11-28T10:08:00Z</dcterms:created>
  <dcterms:modified xsi:type="dcterms:W3CDTF">2025-11-28T10:14:00Z</dcterms:modified>
</cp:coreProperties>
</file>