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00000" w14:textId="77777777" w:rsidR="00AE0B53" w:rsidRDefault="000A693F">
      <w:pPr>
        <w:spacing w:after="0" w:line="240" w:lineRule="auto"/>
        <w:jc w:val="center"/>
        <w:rPr>
          <w:sz w:val="26"/>
        </w:rPr>
      </w:pPr>
      <w:r>
        <w:rPr>
          <w:rFonts w:ascii="Times New Roman" w:hAnsi="Times New Roman"/>
          <w:b/>
          <w:sz w:val="26"/>
        </w:rPr>
        <w:t>Доклад</w:t>
      </w:r>
    </w:p>
    <w:p w14:paraId="05000000" w14:textId="77777777" w:rsidR="00AE0B53" w:rsidRDefault="000A693F">
      <w:pPr>
        <w:spacing w:after="0" w:line="240" w:lineRule="auto"/>
        <w:jc w:val="center"/>
        <w:rPr>
          <w:rFonts w:ascii="Times New Roman" w:hAnsi="Times New Roman"/>
          <w:b/>
          <w:sz w:val="26"/>
        </w:rPr>
      </w:pPr>
      <w:r>
        <w:rPr>
          <w:rFonts w:ascii="Times New Roman" w:hAnsi="Times New Roman"/>
          <w:b/>
          <w:sz w:val="26"/>
        </w:rPr>
        <w:t>Члена Правительства Ивановской области — директора Департамента</w:t>
      </w:r>
    </w:p>
    <w:p w14:paraId="06000000" w14:textId="77777777" w:rsidR="00AE0B53" w:rsidRDefault="000A693F">
      <w:pPr>
        <w:spacing w:after="0" w:line="240" w:lineRule="auto"/>
        <w:jc w:val="center"/>
        <w:rPr>
          <w:sz w:val="26"/>
        </w:rPr>
      </w:pPr>
      <w:r>
        <w:rPr>
          <w:rFonts w:ascii="Times New Roman" w:hAnsi="Times New Roman"/>
          <w:b/>
          <w:sz w:val="26"/>
        </w:rPr>
        <w:t xml:space="preserve"> энергетики и тарифов Ивановской области</w:t>
      </w:r>
    </w:p>
    <w:p w14:paraId="07000000" w14:textId="77777777" w:rsidR="00AE0B53" w:rsidRDefault="000A693F">
      <w:pPr>
        <w:spacing w:after="0" w:line="240" w:lineRule="auto"/>
        <w:jc w:val="center"/>
        <w:rPr>
          <w:sz w:val="26"/>
        </w:rPr>
      </w:pPr>
      <w:proofErr w:type="spellStart"/>
      <w:r>
        <w:rPr>
          <w:rFonts w:ascii="Times New Roman" w:hAnsi="Times New Roman"/>
          <w:b/>
          <w:sz w:val="26"/>
        </w:rPr>
        <w:t>Моревой</w:t>
      </w:r>
      <w:proofErr w:type="spellEnd"/>
      <w:r>
        <w:rPr>
          <w:rFonts w:ascii="Times New Roman" w:hAnsi="Times New Roman"/>
          <w:b/>
          <w:sz w:val="26"/>
        </w:rPr>
        <w:t xml:space="preserve"> Е.Н. на расширенном заседании коллегии Департамента</w:t>
      </w:r>
    </w:p>
    <w:p w14:paraId="08000000" w14:textId="77777777" w:rsidR="00AE0B53" w:rsidRDefault="000A693F">
      <w:pPr>
        <w:spacing w:after="0" w:line="240" w:lineRule="auto"/>
        <w:jc w:val="center"/>
        <w:rPr>
          <w:sz w:val="26"/>
        </w:rPr>
      </w:pPr>
      <w:r>
        <w:rPr>
          <w:rFonts w:ascii="Times New Roman" w:hAnsi="Times New Roman"/>
          <w:b/>
          <w:sz w:val="26"/>
        </w:rPr>
        <w:t>5 марта 2026 года</w:t>
      </w:r>
    </w:p>
    <w:p w14:paraId="09000000" w14:textId="77777777" w:rsidR="00AE0B53" w:rsidRDefault="00AE0B53">
      <w:pPr>
        <w:spacing w:after="120" w:line="240" w:lineRule="auto"/>
        <w:ind w:firstLine="709"/>
        <w:jc w:val="both"/>
        <w:rPr>
          <w:rFonts w:ascii="Times New Roman" w:hAnsi="Times New Roman"/>
          <w:b/>
          <w:sz w:val="26"/>
        </w:rPr>
      </w:pPr>
    </w:p>
    <w:p w14:paraId="0A000000" w14:textId="77777777" w:rsidR="00AE0B53" w:rsidRDefault="000A693F">
      <w:pPr>
        <w:spacing w:after="120" w:line="240" w:lineRule="auto"/>
        <w:ind w:firstLine="709"/>
        <w:jc w:val="both"/>
        <w:rPr>
          <w:rFonts w:ascii="Times New Roman" w:hAnsi="Times New Roman"/>
          <w:b/>
          <w:sz w:val="26"/>
        </w:rPr>
      </w:pPr>
      <w:r>
        <w:rPr>
          <w:rFonts w:ascii="Times New Roman" w:hAnsi="Times New Roman"/>
          <w:b/>
          <w:sz w:val="26"/>
        </w:rPr>
        <w:t>Слайд 1. Отчетная коллегия Департамента энергетики и тарифов Ивановской области</w:t>
      </w:r>
    </w:p>
    <w:p w14:paraId="0B000000" w14:textId="77777777" w:rsidR="00AE0B53" w:rsidRDefault="000A693F">
      <w:pPr>
        <w:spacing w:after="120" w:line="240" w:lineRule="auto"/>
        <w:jc w:val="center"/>
        <w:rPr>
          <w:rFonts w:ascii="Times New Roman" w:hAnsi="Times New Roman"/>
          <w:b/>
          <w:sz w:val="26"/>
        </w:rPr>
      </w:pPr>
      <w:r>
        <w:rPr>
          <w:rFonts w:ascii="Times New Roman" w:hAnsi="Times New Roman"/>
          <w:b/>
          <w:sz w:val="26"/>
        </w:rPr>
        <w:t>Уважаемые Станислав Сергеевич, Павел Николаевич, участники заседания!</w:t>
      </w:r>
    </w:p>
    <w:p w14:paraId="0C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Разрешите представить вашему вниманию основные результаты работы Департамента энергетики и тарифов в 2025 году, и обозначить задачи на 2026 год.</w:t>
      </w:r>
    </w:p>
    <w:p w14:paraId="0D000000" w14:textId="77777777" w:rsidR="00AE0B53" w:rsidRDefault="000A693F">
      <w:pPr>
        <w:spacing w:after="120" w:line="240" w:lineRule="auto"/>
        <w:ind w:firstLine="709"/>
        <w:jc w:val="both"/>
        <w:rPr>
          <w:b/>
          <w:sz w:val="26"/>
        </w:rPr>
      </w:pPr>
      <w:r>
        <w:rPr>
          <w:rFonts w:ascii="Times New Roman" w:hAnsi="Times New Roman"/>
          <w:b/>
          <w:sz w:val="26"/>
        </w:rPr>
        <w:t>Слайд 2. Задача тарифного регулирования – соблюдение баланса интересов регулируемых организаций и потребителей</w:t>
      </w:r>
    </w:p>
    <w:p w14:paraId="0E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 xml:space="preserve">Основными направлениями нашей работы являются государственное регулирование цен, тарифов и надбавок, </w:t>
      </w:r>
      <w:proofErr w:type="gramStart"/>
      <w:r>
        <w:rPr>
          <w:rFonts w:ascii="Times New Roman" w:hAnsi="Times New Roman"/>
          <w:sz w:val="26"/>
        </w:rPr>
        <w:t>контроль за</w:t>
      </w:r>
      <w:proofErr w:type="gramEnd"/>
      <w:r>
        <w:rPr>
          <w:rFonts w:ascii="Times New Roman" w:hAnsi="Times New Roman"/>
          <w:sz w:val="26"/>
        </w:rPr>
        <w:t xml:space="preserve"> их применением, а также установление нормативов топливно-энергетических ресурсов и нормативов потребления коммунальных услуг. В настоящее время в сферу тарифного регулирования Департамента попадают более 450 организаций, осуществляющих регулируемую деятельность в энергетике, жилищно-коммунальном хозяйстве, транспортном обслуживании, в сфере торговли жизненно-необходимыми и важнейшими лекарственными препаратами. </w:t>
      </w:r>
    </w:p>
    <w:p w14:paraId="0F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Основной задачей для нас является соблюдение баланса интересов производителей регулируемых видов услуг и потребителей, а результат решения этой задачи — это принятие правомерных экономически обоснованных тарифных решений.</w:t>
      </w:r>
    </w:p>
    <w:p w14:paraId="10000000" w14:textId="77777777" w:rsidR="00AE0B53" w:rsidRDefault="000A693F">
      <w:pPr>
        <w:spacing w:after="120" w:line="240" w:lineRule="auto"/>
        <w:ind w:firstLine="709"/>
        <w:jc w:val="both"/>
        <w:rPr>
          <w:rFonts w:ascii="Times New Roman" w:hAnsi="Times New Roman"/>
          <w:b/>
          <w:sz w:val="26"/>
        </w:rPr>
      </w:pPr>
      <w:r>
        <w:rPr>
          <w:rFonts w:ascii="Times New Roman" w:hAnsi="Times New Roman"/>
          <w:b/>
          <w:sz w:val="26"/>
        </w:rPr>
        <w:t>Слайд 3. Критерий правомерности тарифных решений - судебная практика, где предметом спора являлось экономическое обоснование тарифа</w:t>
      </w:r>
    </w:p>
    <w:p w14:paraId="11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В отчетном году, регулируемые организации оспаривали в суде 4 принятых департаментом тарифа и 1 тариф – в досудебном порядке, что составляет не более 1% от всех принятых на 2025 год тарифных решений. Судами и контролирующим органом была подтверждена законность тарифов, установленных Департаментом.</w:t>
      </w:r>
    </w:p>
    <w:p w14:paraId="12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В 2025 году Управлением Федеральной антимонопольной службы по Ивановской области была проведена проверка установленных тарифов в сфере обращения с ТКО. Материалы проверки далее были направлены в ФАС России для решения вопроса о выдаче соответствующих предписаний. По итогам рассмотрения вопроса комиссией ФАС России, нарушений законодательства при формировании Департаментом регулируемых тарифов в данной сфере не выявлено. По итогам данной проверки нарушения были выявлены в 83 субъектах РФ.</w:t>
      </w:r>
    </w:p>
    <w:p w14:paraId="13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Кроме того, в отчетном году ФАС России была проведена проверка установленных тарифов на электрическую энергию для населения. Департаменту изначально было предписано пересмотреть тарифы для населения во 2 полугодии 2025 года во втором диапазоне с существенным ростом за счет учета в тарифах экономически обоснованной стоимости услуг по передаче электрической энергии. Однако</w:t>
      </w:r>
      <w:proofErr w:type="gramStart"/>
      <w:r>
        <w:rPr>
          <w:rFonts w:ascii="Times New Roman" w:hAnsi="Times New Roman"/>
          <w:sz w:val="26"/>
        </w:rPr>
        <w:t>,</w:t>
      </w:r>
      <w:proofErr w:type="gramEnd"/>
      <w:r>
        <w:rPr>
          <w:rFonts w:ascii="Times New Roman" w:hAnsi="Times New Roman"/>
          <w:sz w:val="26"/>
        </w:rPr>
        <w:t xml:space="preserve"> Департамент в своей ответной позиции обосновал, что тарифы были рассчитаны и установлены до вступления в силу соответствующих изменений в законодательства. В итоге решение Департамента</w:t>
      </w:r>
      <w:r>
        <w:rPr>
          <w:rFonts w:ascii="Times New Roman" w:hAnsi="Times New Roman"/>
          <w:color w:val="0070C0"/>
          <w:sz w:val="26"/>
        </w:rPr>
        <w:t xml:space="preserve"> </w:t>
      </w:r>
      <w:r>
        <w:rPr>
          <w:rFonts w:ascii="Times New Roman" w:hAnsi="Times New Roman"/>
          <w:sz w:val="26"/>
        </w:rPr>
        <w:t xml:space="preserve">было оставлено в силе, что позволило продлить период действия пониженных тарифов для второго диапазона. </w:t>
      </w:r>
    </w:p>
    <w:p w14:paraId="14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lastRenderedPageBreak/>
        <w:t>За отчетный период предписаний, представлений и протестов Прокуратуры, а также экспертных заключений Минюста на постановления Департамента по установленным тарифам не выдавалось.</w:t>
      </w:r>
    </w:p>
    <w:p w14:paraId="15000000" w14:textId="77777777" w:rsidR="00AE0B53" w:rsidRDefault="000A693F">
      <w:pPr>
        <w:spacing w:after="120" w:line="240" w:lineRule="auto"/>
        <w:ind w:firstLine="709"/>
        <w:jc w:val="both"/>
        <w:rPr>
          <w:rFonts w:ascii="Times New Roman" w:hAnsi="Times New Roman"/>
          <w:b/>
          <w:sz w:val="26"/>
        </w:rPr>
      </w:pPr>
      <w:r>
        <w:rPr>
          <w:rFonts w:ascii="Times New Roman" w:hAnsi="Times New Roman"/>
          <w:b/>
          <w:sz w:val="26"/>
        </w:rPr>
        <w:t>Слайд 4.</w:t>
      </w:r>
      <w:r>
        <w:t xml:space="preserve"> </w:t>
      </w:r>
      <w:r>
        <w:rPr>
          <w:rFonts w:ascii="Times New Roman" w:hAnsi="Times New Roman"/>
          <w:b/>
          <w:sz w:val="26"/>
        </w:rPr>
        <w:t>Сдерживание роста высоких тарифов для населения в 2025 г.</w:t>
      </w:r>
    </w:p>
    <w:p w14:paraId="16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 xml:space="preserve">В 2025 году по-прежнему действовали льготные тарифы для населения, а самые высокие тарифы на тепловую энергию, воду и водоотведение не увеличивались либо росли меньшими темпами. Так в ряде муниципальных районах с начала 2025 года снизились 8 тарифов на тепловую энергию, холодную воду и водоотведение, 7 тарифов на воду и водоотведение и 1 тариф на тепловую энергию установлены с июля без роста. Более половины тарифов на тепловую энергию для населения выросли с 1 июля 2025 года менее 7% при установленном предельном росте платы граждан в размере 13,8%. </w:t>
      </w:r>
    </w:p>
    <w:p w14:paraId="17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Причины снижения тарифов или отсутствия роста могут быть разные, но они всегда носят объективный характер. Такие случаи подтверждают тот факт, что мы не просто индексируем тарифы, умножая их на заданную величину, а именно регулируем необходимую валовую выручку и величину тарифов теми способами, которые предусмотрены законодательством, с учетом изменения фактического отпуска коммунального ресурса, анализа результатов деятельности организаций, их фактических расходов на реализацию производственных и инвестиционных программ. В ряде случаев, грамотные организационно-технические решения и участие организаций в государственных программах, направленных на обновление и модернизацию объектов коммунальной инфраструктуры с привлечением бюджетного финансирования, позволяют значительно повысить эффективность производства коммунальных ресурсов и оптимизировать тарифы. За 2025 год могу привести несколько таких примеров:</w:t>
      </w:r>
    </w:p>
    <w:p w14:paraId="18000000" w14:textId="77777777" w:rsidR="00AE0B53" w:rsidRDefault="000A693F">
      <w:pPr>
        <w:spacing w:after="120" w:line="240" w:lineRule="auto"/>
        <w:ind w:firstLine="709"/>
        <w:jc w:val="both"/>
        <w:rPr>
          <w:rFonts w:ascii="Times New Roman" w:hAnsi="Times New Roman"/>
          <w:b/>
          <w:sz w:val="26"/>
        </w:rPr>
      </w:pPr>
      <w:r>
        <w:rPr>
          <w:rFonts w:ascii="Times New Roman" w:hAnsi="Times New Roman"/>
          <w:b/>
          <w:sz w:val="26"/>
        </w:rPr>
        <w:t>Слайд 5. Оптимизация и снижение тарифной нагрузки на потребителей за счет продуманных решений</w:t>
      </w:r>
    </w:p>
    <w:p w14:paraId="19000000" w14:textId="77777777" w:rsidR="00AE0B53" w:rsidRDefault="000A693F">
      <w:pPr>
        <w:pStyle w:val="ad"/>
        <w:numPr>
          <w:ilvl w:val="0"/>
          <w:numId w:val="1"/>
        </w:numPr>
        <w:spacing w:after="120" w:line="240" w:lineRule="auto"/>
        <w:ind w:left="0" w:firstLine="709"/>
        <w:jc w:val="both"/>
        <w:rPr>
          <w:rFonts w:ascii="Times New Roman" w:hAnsi="Times New Roman"/>
          <w:sz w:val="26"/>
        </w:rPr>
      </w:pPr>
      <w:r>
        <w:rPr>
          <w:rFonts w:ascii="Times New Roman" w:hAnsi="Times New Roman"/>
          <w:sz w:val="26"/>
        </w:rPr>
        <w:t xml:space="preserve">В городе Родники ввод в эксплуатацию четырех блочных автоматизированных котельных и двух газо-поршневых установок позволил отказаться от использования старой водогрейной котельной и ветхих участков тепловых сетей. В результате оптимизации расходов на производство и передачу тепловой энергии рост тарифа для населения с 1 июля составил менее 7%, то есть значительно ниже установленного предельного индекса. </w:t>
      </w:r>
    </w:p>
    <w:p w14:paraId="1A000000" w14:textId="77777777" w:rsidR="00AE0B53" w:rsidRDefault="000A693F">
      <w:pPr>
        <w:pStyle w:val="ad"/>
        <w:numPr>
          <w:ilvl w:val="0"/>
          <w:numId w:val="1"/>
        </w:numPr>
        <w:spacing w:after="120" w:line="240" w:lineRule="auto"/>
        <w:ind w:left="0" w:firstLine="709"/>
        <w:jc w:val="both"/>
        <w:rPr>
          <w:rFonts w:ascii="Times New Roman" w:hAnsi="Times New Roman"/>
          <w:sz w:val="26"/>
        </w:rPr>
      </w:pPr>
      <w:r>
        <w:rPr>
          <w:rFonts w:ascii="Times New Roman" w:hAnsi="Times New Roman"/>
          <w:sz w:val="26"/>
        </w:rPr>
        <w:t xml:space="preserve">В д. Малое </w:t>
      </w:r>
      <w:proofErr w:type="spellStart"/>
      <w:r>
        <w:rPr>
          <w:rFonts w:ascii="Times New Roman" w:hAnsi="Times New Roman"/>
          <w:sz w:val="26"/>
        </w:rPr>
        <w:t>Клочково</w:t>
      </w:r>
      <w:proofErr w:type="spellEnd"/>
      <w:r>
        <w:rPr>
          <w:rFonts w:ascii="Times New Roman" w:hAnsi="Times New Roman"/>
          <w:sz w:val="26"/>
        </w:rPr>
        <w:t xml:space="preserve"> построена новая газовая котельная, взамен ранее действующей неэкономичной мазутной котельной. Газовая котельная построена за счет бюджетных средств, поэтому затраты на строительство в тарифе не учитываются. Привлечение бюджетного финансирования для строительства котельной вместе с переходом на более экономичный вид топлива - газ позволило снизить тариф на тепловую энергию для жителей в 2025 году на 10,6%, при этом экономически обоснованный тариф снизился в два раза.</w:t>
      </w:r>
    </w:p>
    <w:p w14:paraId="1B000000" w14:textId="77777777" w:rsidR="00AE0B53" w:rsidRDefault="000A693F">
      <w:pPr>
        <w:pStyle w:val="ad"/>
        <w:numPr>
          <w:ilvl w:val="0"/>
          <w:numId w:val="1"/>
        </w:numPr>
        <w:spacing w:after="120" w:line="240" w:lineRule="auto"/>
        <w:ind w:left="0" w:firstLine="709"/>
        <w:jc w:val="both"/>
        <w:rPr>
          <w:rFonts w:ascii="Times New Roman" w:hAnsi="Times New Roman"/>
          <w:sz w:val="26"/>
        </w:rPr>
      </w:pPr>
      <w:r>
        <w:rPr>
          <w:rFonts w:ascii="Times New Roman" w:hAnsi="Times New Roman"/>
          <w:sz w:val="26"/>
        </w:rPr>
        <w:t>В рамках инвестиционной программ</w:t>
      </w:r>
      <w:proofErr w:type="gramStart"/>
      <w:r>
        <w:rPr>
          <w:rFonts w:ascii="Times New Roman" w:hAnsi="Times New Roman"/>
          <w:sz w:val="26"/>
        </w:rPr>
        <w:t>ы ООО</w:t>
      </w:r>
      <w:proofErr w:type="gramEnd"/>
      <w:r>
        <w:rPr>
          <w:rFonts w:ascii="Times New Roman" w:hAnsi="Times New Roman"/>
          <w:sz w:val="26"/>
        </w:rPr>
        <w:t xml:space="preserve"> «РК-2» в 2025 году выполнило строительство газовой </w:t>
      </w:r>
      <w:proofErr w:type="spellStart"/>
      <w:r>
        <w:rPr>
          <w:rFonts w:ascii="Times New Roman" w:hAnsi="Times New Roman"/>
          <w:sz w:val="26"/>
        </w:rPr>
        <w:t>блочно</w:t>
      </w:r>
      <w:proofErr w:type="spellEnd"/>
      <w:r>
        <w:rPr>
          <w:rFonts w:ascii="Times New Roman" w:hAnsi="Times New Roman"/>
          <w:sz w:val="26"/>
        </w:rPr>
        <w:t>-модульной котельной в г. Юрьевец, взамен существующей аварийной мазутной котельной № 10. В связи с переходом на более экономичный вид топлива - газ снижение экономически обоснованного тарифа на тепловую энергию для потребителей с сентября 2025 года составило 67 %.</w:t>
      </w:r>
    </w:p>
    <w:p w14:paraId="1C000000" w14:textId="77777777" w:rsidR="00AE0B53" w:rsidRDefault="000A693F">
      <w:pPr>
        <w:spacing w:after="120" w:line="240" w:lineRule="auto"/>
        <w:ind w:firstLine="709"/>
        <w:jc w:val="both"/>
        <w:rPr>
          <w:rFonts w:ascii="Times New Roman" w:hAnsi="Times New Roman"/>
          <w:b/>
          <w:sz w:val="26"/>
        </w:rPr>
      </w:pPr>
      <w:r>
        <w:rPr>
          <w:rFonts w:ascii="Times New Roman" w:hAnsi="Times New Roman"/>
          <w:b/>
          <w:sz w:val="26"/>
        </w:rPr>
        <w:t xml:space="preserve">Слайд 6. Контроль исполнения </w:t>
      </w:r>
      <w:proofErr w:type="spellStart"/>
      <w:r>
        <w:rPr>
          <w:rFonts w:ascii="Times New Roman" w:hAnsi="Times New Roman"/>
          <w:b/>
          <w:sz w:val="26"/>
        </w:rPr>
        <w:t>инвестпрограмм</w:t>
      </w:r>
      <w:proofErr w:type="spellEnd"/>
      <w:r>
        <w:rPr>
          <w:rFonts w:ascii="Times New Roman" w:hAnsi="Times New Roman"/>
          <w:b/>
          <w:sz w:val="26"/>
        </w:rPr>
        <w:t xml:space="preserve"> за 2024 год</w:t>
      </w:r>
    </w:p>
    <w:p w14:paraId="1D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 xml:space="preserve">Средства, включаемые в тарифы на строительство и модернизацию объектов коммунальной инфраструктуры, носят целевой характер, объем финансирования </w:t>
      </w:r>
      <w:r>
        <w:rPr>
          <w:rFonts w:ascii="Times New Roman" w:hAnsi="Times New Roman"/>
          <w:sz w:val="26"/>
        </w:rPr>
        <w:lastRenderedPageBreak/>
        <w:t>устанавливается в утверждаемых Департаментом инвестиционных программах. Для обеспечения целевого расходования инвестиционных средств Департамент ежегодно осуществляет контроль выполнения инвестиционных программ.</w:t>
      </w:r>
      <w:r>
        <w:rPr>
          <w:sz w:val="26"/>
        </w:rPr>
        <w:t xml:space="preserve"> </w:t>
      </w:r>
      <w:r>
        <w:rPr>
          <w:rFonts w:ascii="Times New Roman" w:hAnsi="Times New Roman"/>
          <w:sz w:val="26"/>
        </w:rPr>
        <w:t>В рамках такого контроля осуществляются выезды на объекты инвестирования, проводится анализ отчетов регулируемых организаций об исполнении мероприятий инвестиционных программ, проверяются сведения об осуществленных закупках товаров, работ и услуг для целей реализации инвестиционных проектов, рассматриваются акты приема-сдачи объектов, заключенные договора с подрядчиками и конкурсная документация. Выявленные экономически необоснованные расходы, а также недоиспользованные организациями средства, исключаются из тарифов, устанавливаемых на следующие периоды регулирования.</w:t>
      </w:r>
    </w:p>
    <w:p w14:paraId="1E000000" w14:textId="77777777" w:rsidR="00AE0B53" w:rsidRDefault="000A693F">
      <w:pPr>
        <w:spacing w:after="0" w:line="240" w:lineRule="auto"/>
        <w:ind w:firstLine="709"/>
        <w:jc w:val="both"/>
        <w:rPr>
          <w:rFonts w:ascii="Times New Roman" w:hAnsi="Times New Roman"/>
          <w:sz w:val="26"/>
        </w:rPr>
      </w:pPr>
      <w:r>
        <w:rPr>
          <w:rFonts w:ascii="Times New Roman" w:hAnsi="Times New Roman"/>
          <w:sz w:val="26"/>
        </w:rPr>
        <w:t xml:space="preserve">В 2025 году Департаментом проводились контрольные мероприятия в отношении исполнения инвестиционных программ за 2024 год. В сферах теплоснабжения, водоснабжения и водоотведения проверено исполнение 43 </w:t>
      </w:r>
      <w:proofErr w:type="spellStart"/>
      <w:r>
        <w:rPr>
          <w:rFonts w:ascii="Times New Roman" w:hAnsi="Times New Roman"/>
          <w:sz w:val="26"/>
        </w:rPr>
        <w:t>инвестпрограмм</w:t>
      </w:r>
      <w:proofErr w:type="spellEnd"/>
      <w:r>
        <w:rPr>
          <w:rFonts w:ascii="Times New Roman" w:hAnsi="Times New Roman"/>
          <w:sz w:val="26"/>
        </w:rPr>
        <w:t xml:space="preserve"> 24 организаций с личным выездом специалистов Департамента на 156 объектов </w:t>
      </w:r>
      <w:proofErr w:type="spellStart"/>
      <w:r>
        <w:rPr>
          <w:rFonts w:ascii="Times New Roman" w:hAnsi="Times New Roman"/>
          <w:sz w:val="26"/>
        </w:rPr>
        <w:t>инвестирования</w:t>
      </w:r>
      <w:proofErr w:type="gramStart"/>
      <w:r>
        <w:rPr>
          <w:rFonts w:ascii="Times New Roman" w:hAnsi="Times New Roman"/>
          <w:sz w:val="26"/>
        </w:rPr>
        <w:t>.П</w:t>
      </w:r>
      <w:proofErr w:type="gramEnd"/>
      <w:r>
        <w:rPr>
          <w:rFonts w:ascii="Times New Roman" w:hAnsi="Times New Roman"/>
          <w:sz w:val="26"/>
        </w:rPr>
        <w:t>роцент</w:t>
      </w:r>
      <w:proofErr w:type="spellEnd"/>
      <w:r>
        <w:rPr>
          <w:rFonts w:ascii="Times New Roman" w:hAnsi="Times New Roman"/>
          <w:sz w:val="26"/>
        </w:rPr>
        <w:t xml:space="preserve"> исполнения инвестиционных программ в сфере ЖКХ за 2024 год составил 107%</w:t>
      </w:r>
    </w:p>
    <w:p w14:paraId="1F000000" w14:textId="77777777" w:rsidR="00AE0B53" w:rsidRDefault="000A693F">
      <w:pPr>
        <w:spacing w:after="0" w:line="240" w:lineRule="auto"/>
        <w:ind w:firstLine="709"/>
        <w:jc w:val="both"/>
        <w:rPr>
          <w:rFonts w:ascii="Times New Roman" w:hAnsi="Times New Roman"/>
          <w:sz w:val="26"/>
        </w:rPr>
      </w:pPr>
      <w:r>
        <w:rPr>
          <w:rFonts w:ascii="Times New Roman" w:hAnsi="Times New Roman"/>
          <w:sz w:val="26"/>
        </w:rPr>
        <w:t xml:space="preserve">Аналогичная работа проводилась Департаментом и по проверке исполнения инвестиционных программ в электроэнергетике. </w:t>
      </w:r>
    </w:p>
    <w:p w14:paraId="20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Стоит подчеркнуть, что электросетевые организации региона всегда подтверждают высокий процент исполнения инвестиционных программ. За 2024 год он составил 99,8%.</w:t>
      </w:r>
    </w:p>
    <w:p w14:paraId="21000000" w14:textId="77777777" w:rsidR="00AE0B53" w:rsidRDefault="000A693F">
      <w:pPr>
        <w:spacing w:after="120" w:line="240" w:lineRule="auto"/>
        <w:ind w:firstLine="709"/>
        <w:jc w:val="both"/>
        <w:rPr>
          <w:rFonts w:ascii="Times New Roman" w:hAnsi="Times New Roman"/>
          <w:b/>
          <w:sz w:val="26"/>
        </w:rPr>
      </w:pPr>
      <w:r>
        <w:rPr>
          <w:rFonts w:ascii="Times New Roman" w:hAnsi="Times New Roman"/>
          <w:b/>
          <w:sz w:val="26"/>
        </w:rPr>
        <w:t>Слайд 7. Контроль условных единиц электрооборудования – залог обоснованности тарифов при применении ЭТАЛОНОВ затрат</w:t>
      </w:r>
    </w:p>
    <w:p w14:paraId="22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Также, в 2025 году Департаментом осуществлялись выезды на объекты электросетевого хозяйства, с целью уточнения состава электросетевого оборудования, заявленного в расчет тарифов на услуги по передаче электрической энергии, и проверки его фактического использования в регулируемой деятельности. Всего за прошедший год специалистами Департамента осуществлен осмотр 408 трансформаторных подстанций.</w:t>
      </w:r>
    </w:p>
    <w:p w14:paraId="23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 xml:space="preserve">Личные выезды для осмотра объектов подтвердили свою эффективность. По итогам Департаментом было выявлено несоответствие информации, указанной в тарифных заявках электросетевых организаций. </w:t>
      </w:r>
    </w:p>
    <w:p w14:paraId="24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Это работа на будущее, так как при полном переходе на регулирование методом эталонных затрат в 2028 году объем электросетевого оборудования будет напрямую влиять на размер включаемых в тариф затрат. Работа в данном направлении будет продолжена.</w:t>
      </w:r>
    </w:p>
    <w:p w14:paraId="25000000" w14:textId="77777777" w:rsidR="00AE0B53" w:rsidRDefault="000A693F">
      <w:pPr>
        <w:spacing w:after="120" w:line="240" w:lineRule="auto"/>
        <w:ind w:firstLine="709"/>
        <w:jc w:val="both"/>
        <w:rPr>
          <w:rFonts w:ascii="Times New Roman" w:hAnsi="Times New Roman"/>
          <w:b/>
          <w:sz w:val="26"/>
        </w:rPr>
      </w:pPr>
      <w:r>
        <w:rPr>
          <w:rFonts w:ascii="Times New Roman" w:hAnsi="Times New Roman"/>
          <w:b/>
          <w:sz w:val="26"/>
        </w:rPr>
        <w:t xml:space="preserve">Слайд 8. Проведены измерения количества ТКО </w:t>
      </w:r>
    </w:p>
    <w:p w14:paraId="26000000" w14:textId="77777777" w:rsidR="00AE0B53" w:rsidRDefault="000A693F">
      <w:pPr>
        <w:spacing w:after="120" w:line="240" w:lineRule="auto"/>
        <w:ind w:firstLine="709"/>
        <w:jc w:val="both"/>
        <w:rPr>
          <w:rFonts w:ascii="Times New Roman" w:hAnsi="Times New Roman"/>
          <w:color w:val="FF0000"/>
          <w:sz w:val="26"/>
        </w:rPr>
      </w:pPr>
      <w:r>
        <w:rPr>
          <w:rFonts w:ascii="Times New Roman" w:hAnsi="Times New Roman"/>
          <w:sz w:val="26"/>
        </w:rPr>
        <w:t xml:space="preserve">Весной 2025 года мы приступили к проведению измерений количества твердых коммунальных отходов на территории Ивановской области. По новым Правилам регионы должны актуализировать действующие нормативы накопления ТКО до 1 июля 2027 года. В настоящее время замеры отходов за все четыре сезона завершены. Измерения ТКО производились каждый сезон, при любых погодных условиях 7 дней подряд в 4 муниципальных образованиях на 5 контейнерных площадках в каждом муниципалитете. В общей сложности, проведение замеров заняло </w:t>
      </w:r>
      <w:bookmarkStart w:id="0" w:name="_Hlk223024121"/>
      <w:r>
        <w:rPr>
          <w:rFonts w:ascii="Times New Roman" w:hAnsi="Times New Roman"/>
          <w:sz w:val="26"/>
        </w:rPr>
        <w:t xml:space="preserve">87 дней, было произведено 1539 измерений контейнеров с мусором, а также 113 измерений крупных габаритных отходов </w:t>
      </w:r>
      <w:bookmarkEnd w:id="0"/>
      <w:r>
        <w:rPr>
          <w:rFonts w:ascii="Times New Roman" w:hAnsi="Times New Roman"/>
          <w:sz w:val="26"/>
        </w:rPr>
        <w:t>в местах накопления. Это была не простая и новая для нас работа, как вы помните, действующие нормативы накопления рассчитывались на основании результатов замеров, проведенных муниципалитетами еще в 2016 году (почти 10 лет назад). В настоящее время Департаментом обрабатываются полученные результаты измерений</w:t>
      </w:r>
      <w:r>
        <w:rPr>
          <w:rFonts w:ascii="Times New Roman" w:hAnsi="Times New Roman"/>
          <w:b/>
          <w:sz w:val="26"/>
        </w:rPr>
        <w:t>.</w:t>
      </w:r>
    </w:p>
    <w:p w14:paraId="27000000" w14:textId="77777777" w:rsidR="00AE0B53" w:rsidRDefault="000A693F">
      <w:pPr>
        <w:spacing w:after="120" w:line="240" w:lineRule="auto"/>
        <w:ind w:firstLine="709"/>
        <w:jc w:val="both"/>
        <w:rPr>
          <w:rFonts w:ascii="Times New Roman" w:hAnsi="Times New Roman"/>
          <w:color w:val="FF0000"/>
          <w:sz w:val="26"/>
        </w:rPr>
      </w:pPr>
      <w:r>
        <w:rPr>
          <w:rFonts w:ascii="Times New Roman" w:hAnsi="Times New Roman"/>
          <w:b/>
          <w:sz w:val="26"/>
        </w:rPr>
        <w:t>Слайд 9. Поздний выход НПА: главные вызовы тарифной кампании</w:t>
      </w:r>
    </w:p>
    <w:p w14:paraId="28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Наиболее масштабная и значимая работа ежегодно выполняется гражданскими служащими Департамента в период тарифной кампании, начиная с мая, на который по законодательству приходится предельный срок подачи регулируемыми организациями предложений об установлении тарифов.</w:t>
      </w:r>
    </w:p>
    <w:p w14:paraId="29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 xml:space="preserve">В рамках процесса </w:t>
      </w:r>
      <w:proofErr w:type="spellStart"/>
      <w:r>
        <w:rPr>
          <w:rFonts w:ascii="Times New Roman" w:hAnsi="Times New Roman"/>
          <w:sz w:val="26"/>
        </w:rPr>
        <w:t>цифровизации</w:t>
      </w:r>
      <w:proofErr w:type="spellEnd"/>
      <w:r>
        <w:rPr>
          <w:rFonts w:ascii="Times New Roman" w:hAnsi="Times New Roman"/>
          <w:sz w:val="26"/>
        </w:rPr>
        <w:t xml:space="preserve"> тарифного регулирования Департаментом в 2025 году заключено соглашение с ФАС России о работе в Федеральной государственной информационной системе «Тариф». С этого времени экспертные заключения в сфере теплоснабжения и водоснабжения (водоотведения) формируются уполномоченными лицами Департамента в электронном виде непосредственно на онлайн платформе. Следующим этапом внедрения ФГИС «Тариф» станет формирование и направление электронной тарифной заявки регулируемыми организациями также на указанной онлайн платформе, что позволит значительно сократить объем бумажного документооборота с регулируемыми организациями.</w:t>
      </w:r>
    </w:p>
    <w:p w14:paraId="2A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Каждый год, и это уже стало правилом, наша работа в рамках тарифной кампании осложняется тем, что важные и существенные изменения в нормативные правовые акты, регулирующие вопросы ценообразования, вносятся в конце года. 2025 год не стал исключением.</w:t>
      </w:r>
    </w:p>
    <w:p w14:paraId="2B000000" w14:textId="77777777" w:rsidR="00AE0B53" w:rsidRDefault="000A693F">
      <w:pPr>
        <w:spacing w:after="120" w:line="240" w:lineRule="auto"/>
        <w:ind w:firstLine="709"/>
        <w:jc w:val="both"/>
        <w:rPr>
          <w:rFonts w:ascii="Times New Roman" w:hAnsi="Times New Roman"/>
          <w:sz w:val="26"/>
        </w:rPr>
      </w:pPr>
      <w:proofErr w:type="gramStart"/>
      <w:r>
        <w:rPr>
          <w:rFonts w:ascii="Times New Roman" w:hAnsi="Times New Roman"/>
          <w:sz w:val="26"/>
        </w:rPr>
        <w:t>Первое - это повышение основной ставки НДС с 20 до 22%, а также для лиц, применяющих упрощенную систему налогообложения, - снижение порогового уровня доходов, необходимого для возникновения обязанности по уплате НДС по ставкам 5 и 7 %. Поскольку тарифы для населения устанавливаются с включением в них НДС, эти изменения налогового законодательства имели большое значение для формирования тарифов и подготовки тарифных решений.</w:t>
      </w:r>
      <w:proofErr w:type="gramEnd"/>
      <w:r>
        <w:rPr>
          <w:rFonts w:ascii="Times New Roman" w:hAnsi="Times New Roman"/>
          <w:sz w:val="26"/>
        </w:rPr>
        <w:t xml:space="preserve"> Однако, принятие самого федерального закона (425-ФЗ), утверждающего изменения, состоялось только 28.11.2025.</w:t>
      </w:r>
    </w:p>
    <w:p w14:paraId="2C000000" w14:textId="77777777" w:rsidR="00AE0B53" w:rsidRDefault="000A693F">
      <w:pPr>
        <w:spacing w:after="120" w:line="240" w:lineRule="auto"/>
        <w:ind w:firstLine="709"/>
        <w:jc w:val="both"/>
        <w:rPr>
          <w:rFonts w:ascii="Times New Roman" w:hAnsi="Times New Roman"/>
          <w:sz w:val="26"/>
        </w:rPr>
      </w:pPr>
      <w:proofErr w:type="gramStart"/>
      <w:r>
        <w:rPr>
          <w:rFonts w:ascii="Times New Roman" w:hAnsi="Times New Roman"/>
          <w:sz w:val="26"/>
        </w:rPr>
        <w:t>В Прогнозе социально-экономического развития РФ на 2026 год и плановый период 2027, 2028 годов, впервые был обозначен (но нормативно не закреплен) перенос срока индексации тарифов в 2026 году с 1 июля на 1 октября, а также предусмотрена индексация тарифов регулируемых организаций с 1 января на 1,7% в связи с увеличением ставки НДС.</w:t>
      </w:r>
      <w:proofErr w:type="gramEnd"/>
      <w:r>
        <w:rPr>
          <w:rFonts w:ascii="Times New Roman" w:hAnsi="Times New Roman"/>
          <w:sz w:val="26"/>
        </w:rPr>
        <w:t xml:space="preserve"> Нормативные правовые акты Правительства РФ, определяющие порядок индексации тарифов в 2026 году, вышли значительно позднее:</w:t>
      </w:r>
    </w:p>
    <w:p w14:paraId="2D000000" w14:textId="77777777" w:rsidR="00AE0B53" w:rsidRDefault="000A693F">
      <w:pPr>
        <w:spacing w:after="120" w:line="240" w:lineRule="auto"/>
        <w:ind w:firstLine="709"/>
        <w:jc w:val="both"/>
        <w:rPr>
          <w:rFonts w:ascii="Times New Roman" w:hAnsi="Times New Roman"/>
          <w:i/>
          <w:sz w:val="26"/>
        </w:rPr>
      </w:pPr>
      <w:r>
        <w:rPr>
          <w:rFonts w:ascii="Times New Roman" w:hAnsi="Times New Roman"/>
          <w:i/>
          <w:sz w:val="26"/>
        </w:rPr>
        <w:t>в электроэнергетике - 31.10.2025</w:t>
      </w:r>
      <w:proofErr w:type="gramStart"/>
      <w:r>
        <w:rPr>
          <w:rFonts w:ascii="Times New Roman" w:hAnsi="Times New Roman"/>
          <w:i/>
          <w:sz w:val="26"/>
        </w:rPr>
        <w:t xml:space="preserve"> ;</w:t>
      </w:r>
      <w:proofErr w:type="gramEnd"/>
    </w:p>
    <w:p w14:paraId="2E000000" w14:textId="77777777" w:rsidR="00AE0B53" w:rsidRDefault="000A693F">
      <w:pPr>
        <w:spacing w:after="120" w:line="240" w:lineRule="auto"/>
        <w:ind w:firstLine="709"/>
        <w:jc w:val="both"/>
        <w:rPr>
          <w:rFonts w:ascii="Times New Roman" w:hAnsi="Times New Roman"/>
          <w:i/>
          <w:sz w:val="26"/>
        </w:rPr>
      </w:pPr>
      <w:r>
        <w:rPr>
          <w:rFonts w:ascii="Times New Roman" w:hAnsi="Times New Roman"/>
          <w:i/>
          <w:sz w:val="26"/>
        </w:rPr>
        <w:t xml:space="preserve">в прочих регулируемых сферах - 20.11.2025; </w:t>
      </w:r>
    </w:p>
    <w:p w14:paraId="2F000000" w14:textId="77777777" w:rsidR="00AE0B53" w:rsidRDefault="000A693F">
      <w:pPr>
        <w:spacing w:after="120" w:line="240" w:lineRule="auto"/>
        <w:ind w:firstLine="709"/>
        <w:jc w:val="both"/>
        <w:rPr>
          <w:rFonts w:ascii="Times New Roman" w:hAnsi="Times New Roman"/>
          <w:i/>
          <w:sz w:val="26"/>
        </w:rPr>
      </w:pPr>
      <w:r>
        <w:rPr>
          <w:rFonts w:ascii="Times New Roman" w:hAnsi="Times New Roman"/>
          <w:i/>
          <w:sz w:val="26"/>
        </w:rPr>
        <w:t>Индексы изменения платы граждан в среднем по субъектам утверждены Правительством РФ только 25.11.2025.</w:t>
      </w:r>
    </w:p>
    <w:p w14:paraId="30000000" w14:textId="77777777" w:rsidR="00AE0B53" w:rsidRDefault="000A693F">
      <w:pPr>
        <w:spacing w:after="120" w:line="240" w:lineRule="auto"/>
        <w:ind w:firstLine="709"/>
        <w:jc w:val="both"/>
        <w:rPr>
          <w:rFonts w:ascii="Times New Roman" w:hAnsi="Times New Roman"/>
          <w:i/>
          <w:sz w:val="26"/>
        </w:rPr>
      </w:pPr>
      <w:r>
        <w:rPr>
          <w:rFonts w:ascii="Times New Roman" w:hAnsi="Times New Roman"/>
          <w:sz w:val="26"/>
        </w:rPr>
        <w:t xml:space="preserve">Указанные </w:t>
      </w:r>
      <w:proofErr w:type="gramStart"/>
      <w:r>
        <w:rPr>
          <w:rFonts w:ascii="Times New Roman" w:hAnsi="Times New Roman"/>
          <w:sz w:val="26"/>
        </w:rPr>
        <w:t>обстоятельства</w:t>
      </w:r>
      <w:proofErr w:type="gramEnd"/>
      <w:r>
        <w:rPr>
          <w:rFonts w:ascii="Times New Roman" w:hAnsi="Times New Roman"/>
          <w:sz w:val="26"/>
        </w:rPr>
        <w:t xml:space="preserve"> безусловно тормозили и вносили неопределенность в работу, отодвигали на более поздние сроки окончательную подготовку и выпуск постановлений</w:t>
      </w:r>
      <w:r>
        <w:rPr>
          <w:rFonts w:ascii="Times New Roman" w:hAnsi="Times New Roman"/>
          <w:i/>
          <w:sz w:val="26"/>
        </w:rPr>
        <w:t>.</w:t>
      </w:r>
    </w:p>
    <w:p w14:paraId="31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Кроме этого, в завершение тарифной кампании 2025 года произошли существенные изменения порядка ценообразования в электроэнергетике, 23.10.2025 Правительством РФ было принято постановление по вопросу установления и применения эталонов затрат территориальных сетевых организаций.</w:t>
      </w:r>
    </w:p>
    <w:p w14:paraId="32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Предполагается поэтапное внедрение метода эталонных затрат: с 2026 года 30% по эталону, в 2027 году — 70%, в 2028 году — полный переход на эталоны.</w:t>
      </w:r>
    </w:p>
    <w:p w14:paraId="33000000" w14:textId="77777777" w:rsidR="00AE0B53" w:rsidRDefault="000A693F">
      <w:pPr>
        <w:spacing w:after="120" w:line="240" w:lineRule="auto"/>
        <w:ind w:firstLine="709"/>
        <w:jc w:val="both"/>
        <w:rPr>
          <w:rFonts w:ascii="Times New Roman" w:hAnsi="Times New Roman"/>
          <w:sz w:val="26"/>
        </w:rPr>
      </w:pPr>
      <w:proofErr w:type="gramStart"/>
      <w:r>
        <w:rPr>
          <w:rFonts w:ascii="Times New Roman" w:hAnsi="Times New Roman"/>
          <w:sz w:val="26"/>
        </w:rPr>
        <w:t>Кроме того, для определения расходов методом эталонных затрат необходимо было дополнительно проанализировать значительный объем оборудования и устройств, ранее не участвующих в расчете тарифа (такие как счетчики технического и коммерческого учета, резервные источники снабжения электроэнергией (РИСЭ), аппаратура беспроводного доступа, аппаратура телемеханики, оборудование шкафов сбора данных, стационарные аккумуляторные батареи (АКБ), волоконно-оптические линии связи (ВОЛС)).</w:t>
      </w:r>
      <w:proofErr w:type="gramEnd"/>
    </w:p>
    <w:p w14:paraId="34000000" w14:textId="77777777" w:rsidR="00AE0B53" w:rsidRDefault="000A693F">
      <w:pPr>
        <w:spacing w:after="120" w:line="240" w:lineRule="auto"/>
        <w:ind w:firstLine="709"/>
        <w:jc w:val="both"/>
        <w:rPr>
          <w:rFonts w:ascii="Times New Roman" w:hAnsi="Times New Roman"/>
          <w:sz w:val="26"/>
        </w:rPr>
      </w:pPr>
      <w:proofErr w:type="gramStart"/>
      <w:r>
        <w:rPr>
          <w:rFonts w:ascii="Times New Roman" w:hAnsi="Times New Roman"/>
          <w:sz w:val="26"/>
        </w:rPr>
        <w:t xml:space="preserve">Федеральные факторы, необходимые для расчета тарифов в сфере электроэнергетики </w:t>
      </w:r>
      <w:r>
        <w:rPr>
          <w:rFonts w:ascii="Times New Roman" w:hAnsi="Times New Roman"/>
          <w:i/>
          <w:sz w:val="26"/>
        </w:rPr>
        <w:t>(индикативные цены на электрическую энергию (приказ от 24.12.2025), предельные уровни тарифов на услуги по передаче электрической энергии (приказ от 09.12.2025, отказ в согласовании установления тарифов ниже минимального уровня от 25.12.2025) и тарифов на электроэнергию для населения (приказ от 19.12.2025), тарифы на услуги по передаче электрической энергии по сетям ЕНЭС (приказ от</w:t>
      </w:r>
      <w:proofErr w:type="gramEnd"/>
      <w:r>
        <w:rPr>
          <w:rFonts w:ascii="Times New Roman" w:hAnsi="Times New Roman"/>
          <w:i/>
          <w:sz w:val="26"/>
        </w:rPr>
        <w:t xml:space="preserve"> 09.12.2025), тарифы АО «АТС» (проект приказа) и АО «СО ЕЭС» (приказ от 18.12.2025)</w:t>
      </w:r>
      <w:r>
        <w:rPr>
          <w:rFonts w:ascii="Times New Roman" w:hAnsi="Times New Roman"/>
          <w:sz w:val="26"/>
        </w:rPr>
        <w:t>, были приняты ФАС России только к концу декабря.</w:t>
      </w:r>
    </w:p>
    <w:p w14:paraId="35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Также, в конце года (20.11.2025) внесены существенные изменения в порядок формирования тарифов на тепловую энергию, воду, водоотведение и обращение с ТКО, устанавливающие новый порядок пересмотра расходов на оплату труда.</w:t>
      </w:r>
    </w:p>
    <w:p w14:paraId="36000000" w14:textId="77777777" w:rsidR="00AE0B53" w:rsidRDefault="000A693F">
      <w:pPr>
        <w:spacing w:after="120" w:line="240" w:lineRule="auto"/>
        <w:ind w:firstLine="709"/>
        <w:jc w:val="both"/>
        <w:rPr>
          <w:rFonts w:ascii="Times New Roman" w:hAnsi="Times New Roman"/>
          <w:b/>
          <w:sz w:val="26"/>
        </w:rPr>
      </w:pPr>
      <w:r>
        <w:rPr>
          <w:rFonts w:ascii="Times New Roman" w:hAnsi="Times New Roman"/>
          <w:b/>
          <w:sz w:val="26"/>
        </w:rPr>
        <w:t>Слайд 10. Итоги тарифной кампании на 2026</w:t>
      </w:r>
    </w:p>
    <w:p w14:paraId="37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Но, несмотря на сложности, связанные с изменением порядка ценообразования, все тарифные решения на 2026 год приняты Департаментом в установленные сроки</w:t>
      </w:r>
      <w:r>
        <w:rPr>
          <w:sz w:val="26"/>
        </w:rPr>
        <w:t xml:space="preserve"> </w:t>
      </w:r>
      <w:r>
        <w:rPr>
          <w:rFonts w:ascii="Times New Roman" w:hAnsi="Times New Roman"/>
          <w:sz w:val="26"/>
        </w:rPr>
        <w:t xml:space="preserve">и с учетом действующего на момент их принятия законодательства.   </w:t>
      </w:r>
    </w:p>
    <w:p w14:paraId="38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Работу Департамента в тарифную кампанию в цифрах можно посмотреть на слайде. На 2026 год регулируемые организации заявили для включения в тарифы порядка 40 млрд. рублей. Департаментом исключено из расчета тарифов документально неподтвержденных и экономически не обоснованных расходов на сумму 6,8 млрд. рублей. Эффект тарифного регулирования составил более 17%.</w:t>
      </w:r>
    </w:p>
    <w:p w14:paraId="39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b/>
          <w:sz w:val="26"/>
        </w:rPr>
        <w:t xml:space="preserve">Слайд 11. Индексация тарифов на услуги инфраструктурного сектора </w:t>
      </w:r>
      <w:r>
        <w:rPr>
          <w:rFonts w:ascii="Times New Roman" w:hAnsi="Times New Roman"/>
          <w:sz w:val="26"/>
        </w:rPr>
        <w:t xml:space="preserve"> </w:t>
      </w:r>
    </w:p>
    <w:p w14:paraId="3A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 xml:space="preserve">При формировании тарифов Департамент руководствовался Прогнозом социально-экономического развития Российской Федерации, который ежегодно определяет плановый рост потребительских цен и тарифов организаций инфраструктурного сектора. </w:t>
      </w:r>
    </w:p>
    <w:p w14:paraId="3B000000" w14:textId="77777777" w:rsidR="00AE0B53" w:rsidRDefault="000A693F">
      <w:pPr>
        <w:spacing w:after="120" w:line="240" w:lineRule="auto"/>
        <w:ind w:firstLine="709"/>
        <w:jc w:val="both"/>
        <w:rPr>
          <w:rFonts w:ascii="Times New Roman" w:hAnsi="Times New Roman"/>
          <w:color w:val="000000" w:themeColor="text1"/>
          <w:sz w:val="26"/>
        </w:rPr>
      </w:pPr>
      <w:r>
        <w:rPr>
          <w:rFonts w:ascii="Times New Roman" w:hAnsi="Times New Roman"/>
          <w:color w:val="000000" w:themeColor="text1"/>
          <w:sz w:val="26"/>
        </w:rPr>
        <w:t xml:space="preserve">Напомню, изменение платы за коммунальные услуги в 2026 году произойдет в два этапа. С 1 января рост тарифов на коммунальные услуги во всех регионах страны не превысит 1,7%, что связано с изменением ставки налога на добавленную стоимость. Далее ежегодная индексация тарифов на коммунальные услуги запланирована не с 1 июля, как обычно, а с 1 октября, и будет учитывать рост цен на услуги организаций в регулируемом секторе экономики. </w:t>
      </w:r>
    </w:p>
    <w:p w14:paraId="3C000000" w14:textId="77777777" w:rsidR="00AE0B53" w:rsidRDefault="000A693F">
      <w:pPr>
        <w:spacing w:after="120" w:line="240" w:lineRule="auto"/>
        <w:ind w:firstLine="709"/>
        <w:jc w:val="both"/>
        <w:rPr>
          <w:rFonts w:ascii="Times New Roman" w:hAnsi="Times New Roman"/>
          <w:b/>
          <w:sz w:val="26"/>
        </w:rPr>
      </w:pPr>
      <w:r>
        <w:rPr>
          <w:rFonts w:ascii="Times New Roman" w:hAnsi="Times New Roman"/>
          <w:b/>
          <w:sz w:val="26"/>
        </w:rPr>
        <w:t>Слайд 12</w:t>
      </w:r>
      <w:r>
        <w:rPr>
          <w:rFonts w:ascii="Times New Roman" w:hAnsi="Times New Roman"/>
          <w:sz w:val="26"/>
        </w:rPr>
        <w:t xml:space="preserve">. </w:t>
      </w:r>
      <w:r>
        <w:rPr>
          <w:rFonts w:ascii="Times New Roman" w:hAnsi="Times New Roman"/>
          <w:b/>
          <w:sz w:val="26"/>
        </w:rPr>
        <w:t>Средний индекс роста совокупной платы граждан за коммунальные услуги по Ивановской области</w:t>
      </w:r>
    </w:p>
    <w:p w14:paraId="3D000000" w14:textId="77777777" w:rsidR="00AE0B53" w:rsidRDefault="000A693F">
      <w:pPr>
        <w:spacing w:after="120" w:line="240" w:lineRule="auto"/>
        <w:ind w:firstLine="709"/>
        <w:jc w:val="both"/>
        <w:rPr>
          <w:rFonts w:ascii="Times New Roman" w:hAnsi="Times New Roman"/>
          <w:sz w:val="26"/>
        </w:rPr>
      </w:pPr>
      <w:proofErr w:type="gramStart"/>
      <w:r>
        <w:rPr>
          <w:rFonts w:ascii="Times New Roman" w:hAnsi="Times New Roman"/>
          <w:sz w:val="26"/>
        </w:rPr>
        <w:t>Как я уже отметила, средние индексы изменения платежей за коммунальные услуги на 2026 год и допустимые отклонения от этих индексов установлены для всех регионов распоряжением Правительства РФ, согласно которому, с 1 октября изменение платы за коммунальные услуги в российских регионах составит от 8 до 22 %, в среднем по стране – 9,9%. Средний индекс для Ивановской области установлен на уровне среднего значения</w:t>
      </w:r>
      <w:proofErr w:type="gramEnd"/>
      <w:r>
        <w:rPr>
          <w:rFonts w:ascii="Times New Roman" w:hAnsi="Times New Roman"/>
          <w:sz w:val="26"/>
        </w:rPr>
        <w:t xml:space="preserve"> по стране – 9,9% (с допустимым отклонением 2,1%, предельный рост составит 12%), что ниже, чем в большинстве регионов Центрального федерального округа. </w:t>
      </w:r>
      <w:proofErr w:type="gramStart"/>
      <w:r>
        <w:rPr>
          <w:rFonts w:ascii="Times New Roman" w:hAnsi="Times New Roman"/>
          <w:sz w:val="26"/>
        </w:rPr>
        <w:t>Так, например, в соседней Владимирской области тарифы на коммунальные услуги изменятся в среднем на 12,3% (с допустимым отклонением 4,8%, предельный рост составит 17,1%), в Ярославской – на 14% (с допустимым отклонением 2,1% предельный рост составит 16,1%).</w:t>
      </w:r>
      <w:proofErr w:type="gramEnd"/>
    </w:p>
    <w:p w14:paraId="3E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b/>
          <w:sz w:val="26"/>
        </w:rPr>
        <w:t>Слайд 13. Предельные индексы изменения размера платы за коммунальные услуги – фактор, ограничивающий рост тарифов</w:t>
      </w:r>
    </w:p>
    <w:p w14:paraId="3F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Все тарифные решения приняты Департаментом с учетом необходимости соблюдения установленных индексов платы граждан.</w:t>
      </w:r>
    </w:p>
    <w:p w14:paraId="40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 xml:space="preserve">Нужно иметь в виду, что предельный индекс – не означает именно такой рост платежей за коммунальные услуги для всех граждан повсеместно. </w:t>
      </w:r>
    </w:p>
    <w:p w14:paraId="41000000" w14:textId="77777777" w:rsidR="00AE0B53" w:rsidRDefault="000A693F">
      <w:pPr>
        <w:spacing w:after="120" w:line="240" w:lineRule="auto"/>
        <w:ind w:firstLine="709"/>
        <w:jc w:val="both"/>
        <w:rPr>
          <w:rFonts w:ascii="Times New Roman" w:hAnsi="Times New Roman"/>
          <w:b/>
          <w:sz w:val="26"/>
        </w:rPr>
      </w:pPr>
      <w:r>
        <w:rPr>
          <w:rFonts w:ascii="Times New Roman" w:hAnsi="Times New Roman"/>
          <w:b/>
          <w:sz w:val="26"/>
        </w:rPr>
        <w:t>Слайд 14. Изменение тарифов на коммунальные ресурсы для населения в 2026 году</w:t>
      </w:r>
    </w:p>
    <w:p w14:paraId="42000000" w14:textId="77777777" w:rsidR="00AE0B53" w:rsidRDefault="000A693F">
      <w:pPr>
        <w:spacing w:after="120" w:line="240" w:lineRule="auto"/>
        <w:ind w:firstLine="709"/>
        <w:jc w:val="both"/>
        <w:rPr>
          <w:rFonts w:ascii="Times New Roman" w:hAnsi="Times New Roman"/>
          <w:sz w:val="26"/>
        </w:rPr>
      </w:pPr>
      <w:proofErr w:type="gramStart"/>
      <w:r>
        <w:rPr>
          <w:rFonts w:ascii="Times New Roman" w:hAnsi="Times New Roman"/>
          <w:sz w:val="26"/>
        </w:rPr>
        <w:t xml:space="preserve">По нашим оценкам, согласно принятым тарифным решениям реальное изменение совокупного платежа за коммунальные услуги в муниципалитетах по всей области с 1 октября будет варьироваться от 5% до 12%. Изменение тарифов на отдельные коммунальные услуги в разных населенных пунктах области будет отличаться в зависимости от вида тарифов и поставщика услуг. </w:t>
      </w:r>
      <w:proofErr w:type="gramEnd"/>
    </w:p>
    <w:p w14:paraId="43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 xml:space="preserve">Чтобы не допустить превышения предельных индексов мы по-прежнему установили льготные тарифы для населения и сдерживаем рост отдельных самых высоких льготных тарифов. </w:t>
      </w:r>
    </w:p>
    <w:p w14:paraId="44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 xml:space="preserve">С начала текущего года в ряде муниципальных образований снизились 5 тарифов для населения на холодную воду и водоотведение. </w:t>
      </w:r>
      <w:proofErr w:type="gramStart"/>
      <w:r>
        <w:rPr>
          <w:rFonts w:ascii="Times New Roman" w:hAnsi="Times New Roman"/>
          <w:sz w:val="26"/>
        </w:rPr>
        <w:t>В 11 муниципалитетах 22 тарифа на воду и водоотведение и 8</w:t>
      </w:r>
      <w:r>
        <w:rPr>
          <w:rFonts w:ascii="Times New Roman" w:hAnsi="Times New Roman"/>
          <w:color w:val="FF0000"/>
          <w:sz w:val="26"/>
        </w:rPr>
        <w:t xml:space="preserve"> </w:t>
      </w:r>
      <w:r>
        <w:rPr>
          <w:rFonts w:ascii="Times New Roman" w:hAnsi="Times New Roman"/>
          <w:sz w:val="26"/>
        </w:rPr>
        <w:t xml:space="preserve">тарифов на тепловую энергию установлены с октября без роста. </w:t>
      </w:r>
      <w:proofErr w:type="gramEnd"/>
    </w:p>
    <w:p w14:paraId="45000000" w14:textId="77777777" w:rsidR="00AE0B53" w:rsidRDefault="000A693F">
      <w:pPr>
        <w:spacing w:after="120" w:line="240" w:lineRule="auto"/>
        <w:ind w:firstLine="709"/>
        <w:jc w:val="both"/>
        <w:rPr>
          <w:rFonts w:ascii="Times New Roman" w:hAnsi="Times New Roman"/>
          <w:b/>
          <w:color w:val="FB290D"/>
          <w:sz w:val="26"/>
        </w:rPr>
      </w:pPr>
      <w:proofErr w:type="gramStart"/>
      <w:r>
        <w:rPr>
          <w:rFonts w:ascii="Times New Roman" w:hAnsi="Times New Roman"/>
          <w:sz w:val="26"/>
        </w:rPr>
        <w:t>В целом, более 130 тарифов для населения в тепле и воде, а это 26%, установлены с ростом ниже предельного индекса (12%).</w:t>
      </w:r>
      <w:proofErr w:type="gramEnd"/>
    </w:p>
    <w:p w14:paraId="46000000" w14:textId="77777777" w:rsidR="00AE0B53" w:rsidRDefault="000A693F">
      <w:pPr>
        <w:spacing w:after="120" w:line="240" w:lineRule="auto"/>
        <w:ind w:firstLine="709"/>
        <w:jc w:val="both"/>
        <w:rPr>
          <w:rFonts w:ascii="Times New Roman" w:hAnsi="Times New Roman"/>
          <w:b/>
          <w:color w:val="FB290D"/>
          <w:sz w:val="26"/>
        </w:rPr>
      </w:pPr>
      <w:r>
        <w:rPr>
          <w:rFonts w:ascii="Times New Roman" w:hAnsi="Times New Roman"/>
          <w:b/>
          <w:sz w:val="26"/>
        </w:rPr>
        <w:t>Слайд 15. Расчетная сумма субсидий на 2026 г.</w:t>
      </w:r>
    </w:p>
    <w:p w14:paraId="47000000" w14:textId="4A8C0CEB" w:rsidR="00AE0B53" w:rsidRDefault="000A693F">
      <w:pPr>
        <w:spacing w:after="120" w:line="240" w:lineRule="auto"/>
        <w:ind w:firstLine="709"/>
        <w:jc w:val="both"/>
        <w:rPr>
          <w:rFonts w:ascii="Times New Roman" w:hAnsi="Times New Roman"/>
          <w:sz w:val="26"/>
        </w:rPr>
      </w:pPr>
      <w:r>
        <w:rPr>
          <w:rFonts w:ascii="Times New Roman" w:hAnsi="Times New Roman"/>
          <w:sz w:val="26"/>
        </w:rPr>
        <w:t xml:space="preserve">Как я уже отметила, на 2026 год по-прежнему установлены льготные тарифы для населения. Это необходимо для соблюдения установленных индексов роста платы граждан за коммунальные услуги. Компенсация </w:t>
      </w:r>
      <w:proofErr w:type="spellStart"/>
      <w:r>
        <w:rPr>
          <w:rFonts w:ascii="Times New Roman" w:hAnsi="Times New Roman"/>
          <w:sz w:val="26"/>
        </w:rPr>
        <w:t>ресурсоснабжающим</w:t>
      </w:r>
      <w:proofErr w:type="spellEnd"/>
      <w:r>
        <w:rPr>
          <w:rFonts w:ascii="Times New Roman" w:hAnsi="Times New Roman"/>
          <w:sz w:val="26"/>
        </w:rPr>
        <w:t xml:space="preserve"> организациям </w:t>
      </w:r>
      <w:proofErr w:type="spellStart"/>
      <w:r>
        <w:rPr>
          <w:rFonts w:ascii="Times New Roman" w:hAnsi="Times New Roman"/>
          <w:sz w:val="26"/>
        </w:rPr>
        <w:t>межтарифной</w:t>
      </w:r>
      <w:proofErr w:type="spellEnd"/>
      <w:r>
        <w:rPr>
          <w:rFonts w:ascii="Times New Roman" w:hAnsi="Times New Roman"/>
          <w:sz w:val="26"/>
        </w:rPr>
        <w:t xml:space="preserve"> разницы осуществляется из областного бюджета и является дополнительной мерой социальной поддержки населения.</w:t>
      </w:r>
    </w:p>
    <w:p w14:paraId="48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 xml:space="preserve">Расчетный размер субсидий из областного бюджета на указанные цели на 2026 год показал рост на 11,8% или на 128 млн. руб. по сравнению с величиной, ожидаемой в 2025 году. Основными причинами увеличения планового объема субсидий по сравнению с предыдущим годом является реализация инвестиционных программ в рамках заключенных в 2025 году концессионных соглашений в отношении объектов теплоснабжения, водоснабжения и водоотведения, находящихся в муниципальной собственности. </w:t>
      </w:r>
    </w:p>
    <w:p w14:paraId="49000000" w14:textId="77777777" w:rsidR="00AE0B53" w:rsidRDefault="000A693F">
      <w:pPr>
        <w:spacing w:after="120" w:line="240" w:lineRule="auto"/>
        <w:ind w:firstLine="709"/>
        <w:jc w:val="both"/>
        <w:rPr>
          <w:rFonts w:ascii="Times New Roman" w:hAnsi="Times New Roman"/>
          <w:b/>
          <w:sz w:val="26"/>
        </w:rPr>
      </w:pPr>
      <w:r>
        <w:rPr>
          <w:rFonts w:ascii="Times New Roman" w:hAnsi="Times New Roman"/>
          <w:sz w:val="26"/>
        </w:rPr>
        <w:t xml:space="preserve">Так, в 2025 году были заключены 3 концессионных соглашения в отношении объектов водоснабжения и водоотведения в </w:t>
      </w:r>
      <w:proofErr w:type="spellStart"/>
      <w:r>
        <w:rPr>
          <w:rFonts w:ascii="Times New Roman" w:hAnsi="Times New Roman"/>
          <w:sz w:val="26"/>
        </w:rPr>
        <w:t>Южском</w:t>
      </w:r>
      <w:proofErr w:type="spellEnd"/>
      <w:r>
        <w:rPr>
          <w:rFonts w:ascii="Times New Roman" w:hAnsi="Times New Roman"/>
          <w:sz w:val="26"/>
        </w:rPr>
        <w:t xml:space="preserve"> и Палехском районах и 2 концессионных соглашения в отношении объектов теплоснабжения в </w:t>
      </w:r>
      <w:proofErr w:type="spellStart"/>
      <w:r>
        <w:rPr>
          <w:rFonts w:ascii="Times New Roman" w:hAnsi="Times New Roman"/>
          <w:sz w:val="26"/>
        </w:rPr>
        <w:t>Лежневском</w:t>
      </w:r>
      <w:proofErr w:type="spellEnd"/>
      <w:r>
        <w:rPr>
          <w:rFonts w:ascii="Times New Roman" w:hAnsi="Times New Roman"/>
          <w:sz w:val="26"/>
        </w:rPr>
        <w:t xml:space="preserve"> и </w:t>
      </w:r>
      <w:proofErr w:type="spellStart"/>
      <w:r>
        <w:rPr>
          <w:rFonts w:ascii="Times New Roman" w:hAnsi="Times New Roman"/>
          <w:sz w:val="26"/>
        </w:rPr>
        <w:t>Кинешмском</w:t>
      </w:r>
      <w:proofErr w:type="spellEnd"/>
      <w:r>
        <w:rPr>
          <w:rFonts w:ascii="Times New Roman" w:hAnsi="Times New Roman"/>
          <w:sz w:val="26"/>
        </w:rPr>
        <w:t xml:space="preserve"> районах.</w:t>
      </w:r>
      <w:r>
        <w:rPr>
          <w:sz w:val="26"/>
        </w:rPr>
        <w:t xml:space="preserve"> </w:t>
      </w:r>
      <w:r>
        <w:rPr>
          <w:rFonts w:ascii="Times New Roman" w:hAnsi="Times New Roman"/>
          <w:sz w:val="26"/>
        </w:rPr>
        <w:t>В целом за 2025 год Департаментом рассмотрено 36 заявлений муниципалитетов о согласовании долгосрочных параметров регулирования тарифов в целях заключения концессионных соглашений, что в 3 раза превышает число заявлений, поданных в 2024 году (12 заявлений).</w:t>
      </w:r>
    </w:p>
    <w:p w14:paraId="4A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 xml:space="preserve">Задача обновления и модернизации сетей и объектов коммунальной инфраструктуры не может быть решена без существенных расходов на реализацию инвестиционных программ организаций коммунального хозяйства, что, в свою очередь, ведет к значительному росту тарифов для потребителей выше установленных федеральных индексов. Устанавливаемые в муниципалитетах области льготные тарифы защищают граждан – потребителей от такого резкого повышения тарифов, а всю дополнительную финансовую нагрузку в связи с реализацией инвестиционных проектов берет на себя областной бюджет. </w:t>
      </w:r>
    </w:p>
    <w:p w14:paraId="4B000000" w14:textId="77777777" w:rsidR="00AE0B53" w:rsidRDefault="000A693F">
      <w:pPr>
        <w:spacing w:after="120" w:line="240" w:lineRule="auto"/>
        <w:ind w:firstLine="709"/>
        <w:jc w:val="both"/>
        <w:rPr>
          <w:rFonts w:ascii="Times New Roman" w:hAnsi="Times New Roman"/>
          <w:b/>
          <w:sz w:val="26"/>
        </w:rPr>
      </w:pPr>
      <w:r>
        <w:rPr>
          <w:rFonts w:ascii="Times New Roman" w:hAnsi="Times New Roman"/>
          <w:b/>
          <w:sz w:val="26"/>
        </w:rPr>
        <w:t>Слайд 16.</w:t>
      </w:r>
      <w:r>
        <w:t xml:space="preserve"> </w:t>
      </w:r>
      <w:r>
        <w:rPr>
          <w:rFonts w:ascii="Times New Roman" w:hAnsi="Times New Roman"/>
          <w:b/>
          <w:sz w:val="26"/>
        </w:rPr>
        <w:t>Тарифные источники на обновление коммунальной инфраструктуры и электросетевых объектов</w:t>
      </w:r>
    </w:p>
    <w:p w14:paraId="4C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 xml:space="preserve">Кроме установления тарифов, Департамент реализует полномочия по утверждению инвестиционных программ </w:t>
      </w:r>
      <w:proofErr w:type="spellStart"/>
      <w:r>
        <w:rPr>
          <w:rFonts w:ascii="Times New Roman" w:hAnsi="Times New Roman"/>
          <w:sz w:val="26"/>
        </w:rPr>
        <w:t>ресурсоснабжающих</w:t>
      </w:r>
      <w:proofErr w:type="spellEnd"/>
      <w:r>
        <w:rPr>
          <w:rFonts w:ascii="Times New Roman" w:hAnsi="Times New Roman"/>
          <w:sz w:val="26"/>
        </w:rPr>
        <w:t xml:space="preserve"> организаций. Это объемное и важное направление работы. С целью привлечения </w:t>
      </w:r>
      <w:proofErr w:type="spellStart"/>
      <w:r>
        <w:rPr>
          <w:rFonts w:ascii="Times New Roman" w:hAnsi="Times New Roman"/>
          <w:sz w:val="26"/>
        </w:rPr>
        <w:t>бОльшего</w:t>
      </w:r>
      <w:proofErr w:type="spellEnd"/>
      <w:r>
        <w:rPr>
          <w:rFonts w:ascii="Times New Roman" w:hAnsi="Times New Roman"/>
          <w:sz w:val="26"/>
        </w:rPr>
        <w:t xml:space="preserve"> объема инвестиций в обновление коммунальной инфраструктуры, в том числе за счет тарифных источников, регионом подписан соответствующий меморандум с Минстроем России.</w:t>
      </w:r>
    </w:p>
    <w:p w14:paraId="4D000000" w14:textId="77777777" w:rsidR="00AE0B53" w:rsidRDefault="000A693F">
      <w:pPr>
        <w:spacing w:after="120" w:line="240" w:lineRule="auto"/>
        <w:ind w:firstLine="709"/>
        <w:jc w:val="both"/>
        <w:rPr>
          <w:rFonts w:ascii="Times New Roman" w:hAnsi="Times New Roman"/>
          <w:color w:val="FF0000"/>
          <w:sz w:val="26"/>
        </w:rPr>
      </w:pPr>
      <w:r>
        <w:rPr>
          <w:rFonts w:ascii="Times New Roman" w:hAnsi="Times New Roman"/>
          <w:sz w:val="26"/>
        </w:rPr>
        <w:t xml:space="preserve">В соответствии с правилами утверждения </w:t>
      </w:r>
      <w:proofErr w:type="spellStart"/>
      <w:r>
        <w:rPr>
          <w:rFonts w:ascii="Times New Roman" w:hAnsi="Times New Roman"/>
          <w:sz w:val="26"/>
        </w:rPr>
        <w:t>инвестпрограмм</w:t>
      </w:r>
      <w:proofErr w:type="spellEnd"/>
      <w:r>
        <w:rPr>
          <w:rFonts w:ascii="Times New Roman" w:hAnsi="Times New Roman"/>
          <w:sz w:val="26"/>
        </w:rPr>
        <w:t xml:space="preserve"> и в рамках исполнения обязательств в соответствии с Меморандумом за 2025 год было Департаментом утверждено 7 инвестиционных программ и в сфере теплоснабжения, 5 – в водоснабжении и водоотведении. Еще 6 ранее действовавших программ скорректировано с увеличением объема финансирования.</w:t>
      </w:r>
      <w:r>
        <w:rPr>
          <w:rFonts w:ascii="Times New Roman" w:hAnsi="Times New Roman"/>
          <w:color w:val="FF0000"/>
          <w:sz w:val="26"/>
        </w:rPr>
        <w:t xml:space="preserve"> </w:t>
      </w:r>
    </w:p>
    <w:p w14:paraId="4E000000" w14:textId="77777777" w:rsidR="00AE0B53" w:rsidRDefault="000A693F">
      <w:pPr>
        <w:spacing w:after="120" w:line="240" w:lineRule="auto"/>
        <w:ind w:firstLine="709"/>
        <w:jc w:val="both"/>
        <w:rPr>
          <w:rFonts w:ascii="Times New Roman" w:hAnsi="Times New Roman"/>
          <w:sz w:val="26"/>
        </w:rPr>
      </w:pPr>
      <w:proofErr w:type="gramStart"/>
      <w:r>
        <w:rPr>
          <w:rFonts w:ascii="Times New Roman" w:hAnsi="Times New Roman"/>
          <w:sz w:val="26"/>
        </w:rPr>
        <w:t xml:space="preserve">В первые два года действия Меморандума (2025, 2026 годы) общая сумма финансирования инвестиционных программ, предусмотренная в тарифах на тепловую энергию, воду и водоотведение, составила 1 130 млн. руб., в том числе дополнительно привлечено с 01 апреля 2025 года 362 млн. руб., план Меморандума по формированию тарифных источников финансирования </w:t>
      </w:r>
      <w:proofErr w:type="spellStart"/>
      <w:r>
        <w:rPr>
          <w:rFonts w:ascii="Times New Roman" w:hAnsi="Times New Roman"/>
          <w:sz w:val="26"/>
        </w:rPr>
        <w:t>инвестпрограмм</w:t>
      </w:r>
      <w:proofErr w:type="spellEnd"/>
      <w:r>
        <w:rPr>
          <w:rFonts w:ascii="Times New Roman" w:hAnsi="Times New Roman"/>
          <w:sz w:val="26"/>
        </w:rPr>
        <w:t xml:space="preserve"> на сегодняшний день исполнен регионом на 95%.</w:t>
      </w:r>
      <w:proofErr w:type="gramEnd"/>
    </w:p>
    <w:p w14:paraId="4F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В сфере электроэнергетики инвестиционные программы впервые утверждены для всех территориальных сетевых организаций региона. В первую очередь 100% охвату организаций, имеющих обязательства по капитальным вложениям в электросетевой комплекс Ивановской области, способствовало изменение федерального законодательства, определяющего целевое назначение амортизации – только на инвестиции.</w:t>
      </w:r>
    </w:p>
    <w:p w14:paraId="50000000" w14:textId="42236897" w:rsidR="00AE0B53" w:rsidRDefault="000A693F">
      <w:pPr>
        <w:spacing w:after="120" w:line="240" w:lineRule="auto"/>
        <w:ind w:firstLine="709"/>
        <w:jc w:val="both"/>
        <w:rPr>
          <w:rFonts w:ascii="Times New Roman" w:hAnsi="Times New Roman"/>
          <w:sz w:val="26"/>
        </w:rPr>
      </w:pPr>
      <w:r>
        <w:rPr>
          <w:rFonts w:ascii="Times New Roman" w:hAnsi="Times New Roman"/>
          <w:sz w:val="26"/>
        </w:rPr>
        <w:t xml:space="preserve">Общий объем финансирования инвестиционных программ в сфере электроэнергетики за счет средств, учтенных при установлении регулируемых тарифов, в 2026 году составит 1 473 </w:t>
      </w:r>
      <w:proofErr w:type="gramStart"/>
      <w:r>
        <w:rPr>
          <w:rFonts w:ascii="Times New Roman" w:hAnsi="Times New Roman"/>
          <w:sz w:val="26"/>
        </w:rPr>
        <w:t>млн</w:t>
      </w:r>
      <w:proofErr w:type="gramEnd"/>
      <w:r>
        <w:rPr>
          <w:rFonts w:ascii="Times New Roman" w:hAnsi="Times New Roman"/>
          <w:sz w:val="26"/>
        </w:rPr>
        <w:t xml:space="preserve"> руб. по сравнению с 726 млн руб. в 2025 году (рост в 2 раза). </w:t>
      </w:r>
      <w:r w:rsidR="007D67F5">
        <w:rPr>
          <w:rFonts w:ascii="Times New Roman" w:hAnsi="Times New Roman"/>
          <w:b/>
          <w:sz w:val="26"/>
        </w:rPr>
        <w:t xml:space="preserve">За 5 лет </w:t>
      </w:r>
      <w:bookmarkStart w:id="1" w:name="_GoBack"/>
      <w:bookmarkEnd w:id="1"/>
      <w:r>
        <w:rPr>
          <w:rFonts w:ascii="Times New Roman" w:hAnsi="Times New Roman"/>
          <w:b/>
          <w:sz w:val="26"/>
        </w:rPr>
        <w:t>объем инвестиций в электросетевой комплекс вырос в 5 раз!</w:t>
      </w:r>
      <w:r>
        <w:rPr>
          <w:rFonts w:ascii="Times New Roman" w:hAnsi="Times New Roman"/>
          <w:sz w:val="26"/>
        </w:rPr>
        <w:t xml:space="preserve"> </w:t>
      </w:r>
    </w:p>
    <w:p w14:paraId="51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Важно отметить, что значительное увеличение планового объема капитальных вложений в обновление и развитие электросетевой инфраструктуры не привело к дополнительному росту тарифов для потребителей региона сверх величины индексации тарифов на передачу электрической энергии, предусмотренной прогнозом Минэкономразвития России.</w:t>
      </w:r>
      <w:r>
        <w:rPr>
          <w:sz w:val="26"/>
        </w:rPr>
        <w:t xml:space="preserve"> </w:t>
      </w:r>
      <w:r>
        <w:rPr>
          <w:rFonts w:ascii="Times New Roman" w:hAnsi="Times New Roman"/>
          <w:sz w:val="26"/>
        </w:rPr>
        <w:t xml:space="preserve">Этому способствовал рост электропотребления региона на протяжении последних нескольких лет, позволив дополнительные средства направить на финансирование </w:t>
      </w:r>
      <w:proofErr w:type="spellStart"/>
      <w:r>
        <w:rPr>
          <w:rFonts w:ascii="Times New Roman" w:hAnsi="Times New Roman"/>
          <w:sz w:val="26"/>
        </w:rPr>
        <w:t>инвестпрограмм</w:t>
      </w:r>
      <w:proofErr w:type="spellEnd"/>
      <w:r>
        <w:rPr>
          <w:rFonts w:ascii="Times New Roman" w:hAnsi="Times New Roman"/>
          <w:sz w:val="26"/>
        </w:rPr>
        <w:t>.</w:t>
      </w:r>
    </w:p>
    <w:p w14:paraId="52000000" w14:textId="77777777" w:rsidR="00AE0B53" w:rsidRDefault="000A693F">
      <w:pPr>
        <w:spacing w:after="120" w:line="240" w:lineRule="auto"/>
        <w:ind w:firstLine="709"/>
        <w:jc w:val="both"/>
        <w:rPr>
          <w:rFonts w:ascii="Times New Roman" w:hAnsi="Times New Roman"/>
          <w:sz w:val="26"/>
        </w:rPr>
      </w:pPr>
      <w:proofErr w:type="gramStart"/>
      <w:r>
        <w:rPr>
          <w:rFonts w:ascii="Times New Roman" w:hAnsi="Times New Roman"/>
          <w:sz w:val="26"/>
        </w:rPr>
        <w:t xml:space="preserve">За счет средств, учтенных в тарифах на услуги по передаче электрической энергии, энергетиками региона будет проведена модернизация ряда высоковольтных подстанций 110 </w:t>
      </w:r>
      <w:proofErr w:type="spellStart"/>
      <w:r>
        <w:rPr>
          <w:rFonts w:ascii="Times New Roman" w:hAnsi="Times New Roman"/>
          <w:sz w:val="26"/>
        </w:rPr>
        <w:t>кВ</w:t>
      </w:r>
      <w:proofErr w:type="spellEnd"/>
      <w:r>
        <w:rPr>
          <w:rFonts w:ascii="Times New Roman" w:hAnsi="Times New Roman"/>
          <w:sz w:val="26"/>
        </w:rPr>
        <w:t xml:space="preserve"> и 35 </w:t>
      </w:r>
      <w:proofErr w:type="spellStart"/>
      <w:r>
        <w:rPr>
          <w:rFonts w:ascii="Times New Roman" w:hAnsi="Times New Roman"/>
          <w:sz w:val="26"/>
        </w:rPr>
        <w:t>кВ</w:t>
      </w:r>
      <w:proofErr w:type="spellEnd"/>
      <w:r>
        <w:rPr>
          <w:rFonts w:ascii="Times New Roman" w:hAnsi="Times New Roman"/>
          <w:sz w:val="26"/>
        </w:rPr>
        <w:t>, выполнена установка трансформаторных подстанций в центр нагрузок, реконструкция и строительство воздушных и кабельных линий, в том числе для обеспечения резервного электроснабжения потребителей и повышения доступности энергетической инфраструктуры.</w:t>
      </w:r>
      <w:proofErr w:type="gramEnd"/>
      <w:r>
        <w:rPr>
          <w:rFonts w:ascii="Times New Roman" w:hAnsi="Times New Roman"/>
          <w:sz w:val="26"/>
        </w:rPr>
        <w:t xml:space="preserve"> Запланированные мероприятия обеспечат надежное и качественное электроснабжение потребителей региона, позволят создать необходимые технологические возможности для присоединения к электрическим сетям льготных категорий заявителей (физических лиц и субъектов малого предпринимательства). </w:t>
      </w:r>
    </w:p>
    <w:p w14:paraId="53000000" w14:textId="77777777" w:rsidR="00AE0B53" w:rsidRDefault="000A693F">
      <w:pPr>
        <w:spacing w:after="120" w:line="240" w:lineRule="auto"/>
        <w:ind w:firstLine="709"/>
        <w:jc w:val="both"/>
        <w:rPr>
          <w:rFonts w:ascii="Times New Roman" w:hAnsi="Times New Roman"/>
          <w:b/>
          <w:sz w:val="26"/>
        </w:rPr>
      </w:pPr>
      <w:r>
        <w:rPr>
          <w:rFonts w:ascii="Times New Roman" w:hAnsi="Times New Roman"/>
          <w:b/>
          <w:sz w:val="26"/>
        </w:rPr>
        <w:t>Слайд 17. Задачи на 2026 год</w:t>
      </w:r>
    </w:p>
    <w:p w14:paraId="54000000" w14:textId="77777777" w:rsidR="00AE0B53" w:rsidRDefault="000A693F">
      <w:pPr>
        <w:spacing w:after="120" w:line="240" w:lineRule="auto"/>
        <w:ind w:firstLine="709"/>
        <w:jc w:val="both"/>
        <w:rPr>
          <w:rFonts w:ascii="Times New Roman" w:hAnsi="Times New Roman"/>
          <w:b/>
          <w:sz w:val="26"/>
        </w:rPr>
      </w:pPr>
      <w:r>
        <w:rPr>
          <w:rFonts w:ascii="Times New Roman" w:hAnsi="Times New Roman"/>
          <w:b/>
          <w:sz w:val="26"/>
        </w:rPr>
        <w:t xml:space="preserve">В заключение скажу о задачах, которые ставит перед собой Департамент на 2026 год.  </w:t>
      </w:r>
    </w:p>
    <w:p w14:paraId="55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 xml:space="preserve">- Главной задачей Департамента в 2026 году остается </w:t>
      </w:r>
      <w:r>
        <w:rPr>
          <w:rFonts w:ascii="Times New Roman" w:hAnsi="Times New Roman"/>
          <w:b/>
          <w:sz w:val="26"/>
        </w:rPr>
        <w:t>проведение кампании по установлению тарифов на 2027 год в определенные законодательством сроки с учетом всех изменений законодательства</w:t>
      </w:r>
      <w:r>
        <w:rPr>
          <w:rFonts w:ascii="Times New Roman" w:hAnsi="Times New Roman"/>
          <w:sz w:val="26"/>
        </w:rPr>
        <w:t xml:space="preserve">. </w:t>
      </w:r>
    </w:p>
    <w:p w14:paraId="56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 xml:space="preserve">- Считаю важным полностью освоить новый формат и овладеть необходимыми навыками работы на платформе ФГИС «Тариф» и продолжить </w:t>
      </w:r>
      <w:proofErr w:type="spellStart"/>
      <w:r>
        <w:rPr>
          <w:rFonts w:ascii="Times New Roman" w:hAnsi="Times New Roman"/>
          <w:sz w:val="26"/>
        </w:rPr>
        <w:t>цифровизацию</w:t>
      </w:r>
      <w:proofErr w:type="spellEnd"/>
      <w:r>
        <w:rPr>
          <w:rFonts w:ascii="Times New Roman" w:hAnsi="Times New Roman"/>
          <w:sz w:val="26"/>
        </w:rPr>
        <w:t xml:space="preserve"> тарифного регулирования.</w:t>
      </w:r>
    </w:p>
    <w:p w14:paraId="57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 xml:space="preserve">- В 2026 году в положение о Департаменте будут добавлены новые полномочия по утверждению цены услуг по техническому обслуживанию внутридомового и внутриквартирного газового оборудования. У департамента появится задача, </w:t>
      </w:r>
      <w:r>
        <w:rPr>
          <w:rFonts w:ascii="Times New Roman" w:hAnsi="Times New Roman"/>
          <w:b/>
          <w:sz w:val="26"/>
        </w:rPr>
        <w:t>в первый раз установить цены на услуги ВДГО на 2027 год в соответствии с методикой ФАС России;</w:t>
      </w:r>
    </w:p>
    <w:p w14:paraId="58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 xml:space="preserve">- Также в этом году нам необходимо </w:t>
      </w:r>
      <w:r>
        <w:rPr>
          <w:rFonts w:ascii="Times New Roman" w:hAnsi="Times New Roman"/>
          <w:b/>
          <w:sz w:val="26"/>
        </w:rPr>
        <w:t>определить новые нормативы накопления ТКО</w:t>
      </w:r>
      <w:r>
        <w:rPr>
          <w:rFonts w:ascii="Times New Roman" w:hAnsi="Times New Roman"/>
          <w:sz w:val="26"/>
        </w:rPr>
        <w:t xml:space="preserve"> на основе проведенных Департаментом измерений. </w:t>
      </w:r>
    </w:p>
    <w:p w14:paraId="59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 ФАС России в 2026 году определил г. Иваново местом проведения Всероссийского семинара по тарифному регулированию. Задача Департамента качественно организовать данное мероприятие.</w:t>
      </w:r>
    </w:p>
    <w:p w14:paraId="5A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 xml:space="preserve">- В целях минимизации расходов областного бюджета на компенсацию </w:t>
      </w:r>
      <w:proofErr w:type="spellStart"/>
      <w:r>
        <w:rPr>
          <w:rFonts w:ascii="Times New Roman" w:hAnsi="Times New Roman"/>
          <w:sz w:val="26"/>
        </w:rPr>
        <w:t>межтарифной</w:t>
      </w:r>
      <w:proofErr w:type="spellEnd"/>
      <w:r>
        <w:rPr>
          <w:rFonts w:ascii="Times New Roman" w:hAnsi="Times New Roman"/>
          <w:sz w:val="26"/>
        </w:rPr>
        <w:t xml:space="preserve"> разницы, Департамент </w:t>
      </w:r>
      <w:r>
        <w:rPr>
          <w:rFonts w:ascii="Times New Roman" w:hAnsi="Times New Roman"/>
          <w:b/>
          <w:sz w:val="26"/>
        </w:rPr>
        <w:t>продолжит практику, нацеленную на постепенное выравнивание льготных тарифов, сдерживая рост самых высоких тарифов</w:t>
      </w:r>
      <w:r>
        <w:rPr>
          <w:rFonts w:ascii="Times New Roman" w:hAnsi="Times New Roman"/>
          <w:sz w:val="26"/>
        </w:rPr>
        <w:t xml:space="preserve">; </w:t>
      </w:r>
    </w:p>
    <w:p w14:paraId="5B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 xml:space="preserve">- В 2026 году Департамент </w:t>
      </w:r>
      <w:r>
        <w:rPr>
          <w:rFonts w:ascii="Times New Roman" w:hAnsi="Times New Roman"/>
          <w:b/>
          <w:sz w:val="26"/>
        </w:rPr>
        <w:t>продолжит работу по повышению качества принимаемых решений и сокращению случаев их обжалования в судебном порядке.</w:t>
      </w:r>
      <w:r>
        <w:rPr>
          <w:rFonts w:ascii="Times New Roman" w:hAnsi="Times New Roman"/>
          <w:sz w:val="26"/>
        </w:rPr>
        <w:t xml:space="preserve"> Для этого мы стараемся системно проводить «работу над ошибками» - детально изучаем и анализируем уже имеющиеся судебные решения и предписания Федеральной антимонопольной службы, выданные, как на территории нашей области, так и в других регионах.</w:t>
      </w:r>
    </w:p>
    <w:p w14:paraId="5C000000" w14:textId="77777777" w:rsidR="00AE0B53" w:rsidRDefault="000A693F">
      <w:pPr>
        <w:spacing w:after="120" w:line="240" w:lineRule="auto"/>
        <w:ind w:firstLine="709"/>
        <w:jc w:val="both"/>
        <w:rPr>
          <w:rFonts w:ascii="Times New Roman" w:hAnsi="Times New Roman"/>
          <w:b/>
          <w:sz w:val="26"/>
        </w:rPr>
      </w:pPr>
      <w:r>
        <w:rPr>
          <w:rFonts w:ascii="Times New Roman" w:hAnsi="Times New Roman"/>
          <w:b/>
          <w:sz w:val="26"/>
        </w:rPr>
        <w:t xml:space="preserve">Слайд 18. Присоединяйтесь к нам в социальных сетях и в </w:t>
      </w:r>
      <w:proofErr w:type="spellStart"/>
      <w:r>
        <w:rPr>
          <w:rFonts w:ascii="Times New Roman" w:hAnsi="Times New Roman"/>
          <w:b/>
          <w:sz w:val="26"/>
        </w:rPr>
        <w:t>мессенджерах</w:t>
      </w:r>
      <w:proofErr w:type="spellEnd"/>
      <w:r>
        <w:rPr>
          <w:rFonts w:ascii="Times New Roman" w:hAnsi="Times New Roman"/>
          <w:b/>
          <w:sz w:val="26"/>
        </w:rPr>
        <w:t>!</w:t>
      </w:r>
    </w:p>
    <w:p w14:paraId="5D000000" w14:textId="77777777" w:rsidR="00AE0B53" w:rsidRDefault="000A693F">
      <w:pPr>
        <w:spacing w:after="120" w:line="240" w:lineRule="auto"/>
        <w:ind w:firstLine="709"/>
        <w:jc w:val="both"/>
        <w:rPr>
          <w:rFonts w:ascii="Times New Roman" w:hAnsi="Times New Roman"/>
          <w:sz w:val="26"/>
        </w:rPr>
      </w:pPr>
      <w:r>
        <w:rPr>
          <w:rFonts w:ascii="Times New Roman" w:hAnsi="Times New Roman"/>
          <w:sz w:val="26"/>
        </w:rPr>
        <w:t>Благодарю за внимание!</w:t>
      </w:r>
    </w:p>
    <w:p w14:paraId="5E000000" w14:textId="77777777" w:rsidR="00AE0B53" w:rsidRDefault="00AE0B53">
      <w:pPr>
        <w:spacing w:after="120" w:line="240" w:lineRule="auto"/>
        <w:ind w:firstLine="709"/>
        <w:jc w:val="both"/>
        <w:rPr>
          <w:sz w:val="26"/>
        </w:rPr>
      </w:pPr>
    </w:p>
    <w:sectPr w:rsidR="00AE0B53">
      <w:headerReference w:type="default" r:id="rId8"/>
      <w:headerReference w:type="first" r:id="rId9"/>
      <w:pgSz w:w="11906" w:h="16838"/>
      <w:pgMar w:top="851" w:right="567" w:bottom="851" w:left="1134" w:header="709"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FFAB1" w14:textId="77777777" w:rsidR="00D02E72" w:rsidRDefault="000A693F">
      <w:pPr>
        <w:spacing w:after="0" w:line="240" w:lineRule="auto"/>
      </w:pPr>
      <w:r>
        <w:separator/>
      </w:r>
    </w:p>
  </w:endnote>
  <w:endnote w:type="continuationSeparator" w:id="0">
    <w:p w14:paraId="0788BF1E" w14:textId="77777777" w:rsidR="00D02E72" w:rsidRDefault="000A6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2020603050405020304"/>
    <w:charset w:val="CC"/>
    <w:family w:val="roman"/>
    <w:pitch w:val="variable"/>
    <w:sig w:usb0="800002FF" w:usb1="0000084A" w:usb2="00000000" w:usb3="00000000" w:csb0="00000015" w:csb1="00000000"/>
  </w:font>
  <w:font w:name="PT Astra Serif">
    <w:altName w:val="Arial"/>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B96B7" w14:textId="77777777" w:rsidR="00D02E72" w:rsidRDefault="000A693F">
      <w:pPr>
        <w:spacing w:after="0" w:line="240" w:lineRule="auto"/>
      </w:pPr>
      <w:r>
        <w:separator/>
      </w:r>
    </w:p>
  </w:footnote>
  <w:footnote w:type="continuationSeparator" w:id="0">
    <w:p w14:paraId="76435786" w14:textId="77777777" w:rsidR="00D02E72" w:rsidRDefault="000A69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00000" w14:textId="77777777" w:rsidR="00AE0B53" w:rsidRDefault="000A693F">
    <w:pPr>
      <w:pStyle w:val="a7"/>
      <w:jc w:val="right"/>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7D67F5">
      <w:rPr>
        <w:rFonts w:ascii="Times New Roman" w:hAnsi="Times New Roman"/>
        <w:noProof/>
      </w:rPr>
      <w:t>7</w:t>
    </w:r>
    <w:r>
      <w:rPr>
        <w:rFonts w:ascii="Times New Roman" w:hAnsi="Times New Roman"/>
      </w:rPr>
      <w:fldChar w:fldCharType="end"/>
    </w:r>
  </w:p>
  <w:p w14:paraId="03000000" w14:textId="77777777" w:rsidR="00AE0B53" w:rsidRDefault="00AE0B5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00000" w14:textId="77777777" w:rsidR="00AE0B53" w:rsidRDefault="00AE0B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573D5"/>
    <w:multiLevelType w:val="multilevel"/>
    <w:tmpl w:val="E486849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B53"/>
    <w:rsid w:val="000A693F"/>
    <w:rsid w:val="007D67F5"/>
    <w:rsid w:val="00AE0B53"/>
    <w:rsid w:val="00D02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4D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rFonts w:ascii="Calibri" w:hAnsi="Calibri"/>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43">
    <w:name w:val="Основной шрифт абзаца4"/>
    <w:link w:val="44"/>
  </w:style>
  <w:style w:type="character" w:customStyle="1" w:styleId="44">
    <w:name w:val="Основной шрифт абзаца4"/>
    <w:link w:val="43"/>
  </w:style>
  <w:style w:type="paragraph" w:styleId="a3">
    <w:name w:val="Body Text"/>
    <w:basedOn w:val="a"/>
    <w:link w:val="a4"/>
    <w:pPr>
      <w:spacing w:after="140"/>
    </w:pPr>
  </w:style>
  <w:style w:type="character" w:customStyle="1" w:styleId="a4">
    <w:name w:val="Основной текст Знак"/>
    <w:basedOn w:val="1"/>
    <w:link w:val="a3"/>
    <w:rPr>
      <w:rFonts w:ascii="Calibri" w:hAnsi="Calibri"/>
      <w:sz w:val="22"/>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2">
    <w:name w:val="Основной шрифт абзаца1"/>
  </w:style>
  <w:style w:type="paragraph" w:customStyle="1" w:styleId="a5">
    <w:name w:val="Верхний колонтитул Знак"/>
    <w:basedOn w:val="DefaultParagraphFont0"/>
    <w:link w:val="a6"/>
  </w:style>
  <w:style w:type="character" w:customStyle="1" w:styleId="a6">
    <w:name w:val="Верхний колонтитул Знак"/>
    <w:basedOn w:val="DefaultParagraphFont00"/>
    <w:link w:val="a5"/>
  </w:style>
  <w:style w:type="paragraph" w:customStyle="1" w:styleId="13">
    <w:name w:val="Указатель1"/>
    <w:basedOn w:val="a"/>
    <w:link w:val="14"/>
    <w:rPr>
      <w:rFonts w:ascii="PT Astra Serif" w:hAnsi="PT Astra Serif"/>
    </w:rPr>
  </w:style>
  <w:style w:type="character" w:customStyle="1" w:styleId="14">
    <w:name w:val="Указатель1"/>
    <w:basedOn w:val="1"/>
    <w:link w:val="13"/>
    <w:rPr>
      <w:rFonts w:ascii="PT Astra Serif" w:hAnsi="PT Astra Serif"/>
      <w:sz w:val="22"/>
    </w:rPr>
  </w:style>
  <w:style w:type="paragraph" w:styleId="a7">
    <w:name w:val="header"/>
    <w:basedOn w:val="a"/>
    <w:link w:val="15"/>
    <w:pPr>
      <w:tabs>
        <w:tab w:val="center" w:pos="4677"/>
        <w:tab w:val="right" w:pos="9355"/>
      </w:tabs>
      <w:spacing w:after="0" w:line="240" w:lineRule="auto"/>
    </w:pPr>
  </w:style>
  <w:style w:type="character" w:customStyle="1" w:styleId="15">
    <w:name w:val="Верхний колонтитул Знак1"/>
    <w:basedOn w:val="1"/>
    <w:link w:val="a7"/>
    <w:rPr>
      <w:rFonts w:ascii="Calibri" w:hAnsi="Calibri"/>
      <w:sz w:val="22"/>
    </w:rPr>
  </w:style>
  <w:style w:type="paragraph" w:styleId="a8">
    <w:name w:val="List"/>
    <w:basedOn w:val="a3"/>
    <w:link w:val="a9"/>
    <w:rPr>
      <w:rFonts w:ascii="PT Astra Serif" w:hAnsi="PT Astra Serif"/>
    </w:rPr>
  </w:style>
  <w:style w:type="character" w:customStyle="1" w:styleId="a9">
    <w:name w:val="Список Знак"/>
    <w:basedOn w:val="a4"/>
    <w:link w:val="a8"/>
    <w:rPr>
      <w:rFonts w:ascii="PT Astra Serif" w:hAnsi="PT Astra Serif"/>
      <w:sz w:val="22"/>
    </w:rPr>
  </w:style>
  <w:style w:type="paragraph" w:customStyle="1" w:styleId="16">
    <w:name w:val="Обычный1"/>
    <w:link w:val="17"/>
    <w:rPr>
      <w:rFonts w:ascii="Calibri" w:hAnsi="Calibri"/>
      <w:sz w:val="22"/>
    </w:rPr>
  </w:style>
  <w:style w:type="character" w:customStyle="1" w:styleId="17">
    <w:name w:val="Обычный1"/>
    <w:link w:val="16"/>
    <w:rPr>
      <w:rFonts w:ascii="Calibri" w:hAnsi="Calibri"/>
      <w:sz w:val="22"/>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customStyle="1" w:styleId="27">
    <w:name w:val="Гиперссылка2"/>
    <w:link w:val="28"/>
    <w:rPr>
      <w:color w:val="0000FF"/>
      <w:u w:val="single"/>
    </w:rPr>
  </w:style>
  <w:style w:type="character" w:customStyle="1" w:styleId="28">
    <w:name w:val="Гиперссылка2"/>
    <w:link w:val="27"/>
    <w:rPr>
      <w:color w:val="0000FF"/>
      <w:u w:val="single"/>
    </w:rPr>
  </w:style>
  <w:style w:type="paragraph" w:customStyle="1" w:styleId="29">
    <w:name w:val="Заголовок2"/>
    <w:basedOn w:val="a"/>
    <w:next w:val="a3"/>
    <w:link w:val="2a"/>
    <w:pPr>
      <w:keepNext/>
      <w:spacing w:before="240" w:after="120"/>
    </w:pPr>
    <w:rPr>
      <w:rFonts w:ascii="PT Astra Serif" w:hAnsi="PT Astra Serif"/>
      <w:sz w:val="28"/>
    </w:rPr>
  </w:style>
  <w:style w:type="character" w:customStyle="1" w:styleId="2a">
    <w:name w:val="Заголовок2"/>
    <w:basedOn w:val="1"/>
    <w:link w:val="29"/>
    <w:rPr>
      <w:rFonts w:ascii="PT Astra Serif" w:hAnsi="PT Astra Serif"/>
      <w:sz w:val="28"/>
    </w:rPr>
  </w:style>
  <w:style w:type="paragraph" w:customStyle="1" w:styleId="apple-converted-space">
    <w:name w:val="apple-converted-space"/>
    <w:basedOn w:val="DefaultParagraphFont0"/>
    <w:link w:val="apple-converted-space0"/>
  </w:style>
  <w:style w:type="character" w:customStyle="1" w:styleId="apple-converted-space0">
    <w:name w:val="apple-converted-space"/>
    <w:basedOn w:val="DefaultParagraphFont00"/>
    <w:link w:val="apple-converted-space"/>
  </w:style>
  <w:style w:type="character" w:customStyle="1" w:styleId="50">
    <w:name w:val="Заголовок 5 Знак"/>
    <w:link w:val="5"/>
    <w:rPr>
      <w:rFonts w:ascii="XO Thames" w:hAnsi="XO Thames"/>
      <w:b/>
      <w:sz w:val="22"/>
    </w:rPr>
  </w:style>
  <w:style w:type="paragraph" w:styleId="aa">
    <w:name w:val="index heading"/>
    <w:basedOn w:val="a"/>
    <w:link w:val="ab"/>
    <w:rPr>
      <w:rFonts w:ascii="PT Astra Serif" w:hAnsi="PT Astra Serif"/>
    </w:rPr>
  </w:style>
  <w:style w:type="character" w:customStyle="1" w:styleId="ab">
    <w:name w:val="Указатель Знак"/>
    <w:basedOn w:val="1"/>
    <w:link w:val="aa"/>
    <w:rPr>
      <w:rFonts w:ascii="PT Astra Serif" w:hAnsi="PT Astra Serif"/>
      <w:sz w:val="22"/>
    </w:rPr>
  </w:style>
  <w:style w:type="paragraph" w:customStyle="1" w:styleId="18">
    <w:name w:val="Обычный1"/>
    <w:link w:val="19"/>
    <w:rPr>
      <w:rFonts w:ascii="Calibri" w:hAnsi="Calibri"/>
      <w:sz w:val="22"/>
    </w:rPr>
  </w:style>
  <w:style w:type="character" w:customStyle="1" w:styleId="19">
    <w:name w:val="Обычный1"/>
    <w:link w:val="18"/>
    <w:rPr>
      <w:rFonts w:ascii="Calibri" w:hAnsi="Calibri"/>
      <w:sz w:val="22"/>
    </w:rPr>
  </w:style>
  <w:style w:type="character" w:customStyle="1" w:styleId="11">
    <w:name w:val="Заголовок 1 Знак"/>
    <w:link w:val="10"/>
    <w:rPr>
      <w:rFonts w:ascii="XO Thames" w:hAnsi="XO Thames"/>
      <w:b/>
      <w:sz w:val="32"/>
    </w:rPr>
  </w:style>
  <w:style w:type="paragraph" w:customStyle="1" w:styleId="1a">
    <w:name w:val="Гиперссылка1"/>
    <w:link w:val="ac"/>
    <w:rPr>
      <w:color w:val="0000FF"/>
      <w:u w:val="single"/>
    </w:rPr>
  </w:style>
  <w:style w:type="character" w:styleId="ac">
    <w:name w:val="Hyperlink"/>
    <w:link w:val="1a"/>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33">
    <w:name w:val="Основной шрифт абзаца3"/>
    <w:link w:val="34"/>
  </w:style>
  <w:style w:type="character" w:customStyle="1" w:styleId="34">
    <w:name w:val="Основной шрифт абзаца3"/>
    <w:link w:val="33"/>
  </w:style>
  <w:style w:type="paragraph" w:styleId="ad">
    <w:name w:val="List Paragraph"/>
    <w:basedOn w:val="a"/>
    <w:link w:val="ae"/>
    <w:pPr>
      <w:ind w:left="720"/>
      <w:contextualSpacing/>
    </w:pPr>
  </w:style>
  <w:style w:type="character" w:customStyle="1" w:styleId="ae">
    <w:name w:val="Абзац списка Знак"/>
    <w:basedOn w:val="1"/>
    <w:link w:val="ad"/>
    <w:rPr>
      <w:rFonts w:ascii="Calibri" w:hAnsi="Calibri"/>
      <w:sz w:val="22"/>
    </w:rPr>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d">
    <w:name w:val="Гиперссылка1"/>
    <w:link w:val="1e"/>
    <w:rPr>
      <w:color w:val="0000FF"/>
      <w:u w:val="single"/>
    </w:rPr>
  </w:style>
  <w:style w:type="character" w:customStyle="1" w:styleId="1e">
    <w:name w:val="Гиперссылка1"/>
    <w:link w:val="1d"/>
    <w:rPr>
      <w:color w:val="0000FF"/>
      <w:u w:val="single"/>
    </w:rPr>
  </w:style>
  <w:style w:type="paragraph" w:customStyle="1" w:styleId="1f">
    <w:name w:val="Основной шрифт абзаца1"/>
    <w:link w:val="1f0"/>
  </w:style>
  <w:style w:type="character" w:customStyle="1" w:styleId="1f0">
    <w:name w:val="Основной шрифт абзаца1"/>
    <w:link w:val="1f"/>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1">
    <w:name w:val="Заголовок1"/>
    <w:basedOn w:val="a"/>
    <w:next w:val="a3"/>
    <w:link w:val="1f2"/>
    <w:pPr>
      <w:keepNext/>
      <w:spacing w:before="240" w:after="120"/>
    </w:pPr>
    <w:rPr>
      <w:rFonts w:ascii="PT Astra Serif" w:hAnsi="PT Astra Serif"/>
      <w:sz w:val="28"/>
    </w:rPr>
  </w:style>
  <w:style w:type="character" w:customStyle="1" w:styleId="1f2">
    <w:name w:val="Заголовок1"/>
    <w:basedOn w:val="1"/>
    <w:link w:val="1f1"/>
    <w:rPr>
      <w:rFonts w:ascii="PT Astra Serif" w:hAnsi="PT Astra Serif"/>
      <w:sz w:val="28"/>
    </w:rPr>
  </w:style>
  <w:style w:type="paragraph" w:styleId="af">
    <w:name w:val="footer"/>
    <w:basedOn w:val="a"/>
    <w:link w:val="1f3"/>
    <w:pPr>
      <w:tabs>
        <w:tab w:val="center" w:pos="4677"/>
        <w:tab w:val="right" w:pos="9355"/>
      </w:tabs>
      <w:spacing w:after="0" w:line="240" w:lineRule="auto"/>
    </w:pPr>
  </w:style>
  <w:style w:type="character" w:customStyle="1" w:styleId="1f3">
    <w:name w:val="Нижний колонтитул Знак1"/>
    <w:basedOn w:val="1"/>
    <w:link w:val="af"/>
    <w:rPr>
      <w:rFonts w:ascii="Calibri" w:hAnsi="Calibri"/>
      <w:sz w:val="22"/>
    </w:rPr>
  </w:style>
  <w:style w:type="paragraph" w:styleId="af0">
    <w:name w:val="Body Text Indent"/>
    <w:basedOn w:val="a"/>
    <w:link w:val="af1"/>
    <w:pPr>
      <w:ind w:firstLine="709"/>
      <w:jc w:val="both"/>
    </w:pPr>
  </w:style>
  <w:style w:type="character" w:customStyle="1" w:styleId="af1">
    <w:name w:val="Основной текст с отступом Знак"/>
    <w:basedOn w:val="1"/>
    <w:link w:val="af0"/>
    <w:rPr>
      <w:rFonts w:ascii="Calibri" w:hAnsi="Calibri"/>
      <w:sz w:val="22"/>
    </w:rPr>
  </w:style>
  <w:style w:type="paragraph" w:customStyle="1" w:styleId="1f4">
    <w:name w:val="Обычный1"/>
    <w:link w:val="1f5"/>
    <w:rPr>
      <w:rFonts w:ascii="Calibri" w:hAnsi="Calibri"/>
      <w:sz w:val="22"/>
    </w:rPr>
  </w:style>
  <w:style w:type="character" w:customStyle="1" w:styleId="1f5">
    <w:name w:val="Обычный1"/>
    <w:link w:val="1f4"/>
    <w:rPr>
      <w:rFonts w:ascii="Calibri" w:hAnsi="Calibri"/>
      <w:sz w:val="22"/>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2">
    <w:name w:val="Balloon Text"/>
    <w:basedOn w:val="a"/>
    <w:link w:val="1f6"/>
    <w:pPr>
      <w:spacing w:after="0" w:line="240" w:lineRule="auto"/>
    </w:pPr>
    <w:rPr>
      <w:rFonts w:ascii="Tahoma" w:hAnsi="Tahoma"/>
      <w:sz w:val="16"/>
    </w:rPr>
  </w:style>
  <w:style w:type="character" w:customStyle="1" w:styleId="1f6">
    <w:name w:val="Текст выноски Знак1"/>
    <w:basedOn w:val="1"/>
    <w:link w:val="af2"/>
    <w:rPr>
      <w:rFonts w:ascii="Tahoma" w:hAnsi="Tahoma"/>
      <w:sz w:val="16"/>
    </w:rPr>
  </w:style>
  <w:style w:type="paragraph" w:customStyle="1" w:styleId="af3">
    <w:name w:val="Верхний и нижний колонтитулы"/>
    <w:basedOn w:val="a"/>
    <w:link w:val="af4"/>
  </w:style>
  <w:style w:type="character" w:customStyle="1" w:styleId="af4">
    <w:name w:val="Верхний и нижний колонтитулы"/>
    <w:basedOn w:val="1"/>
    <w:link w:val="af3"/>
    <w:rPr>
      <w:rFonts w:ascii="Calibri" w:hAnsi="Calibri"/>
      <w:sz w:val="22"/>
    </w:rPr>
  </w:style>
  <w:style w:type="paragraph" w:customStyle="1" w:styleId="1f7">
    <w:name w:val="Название объекта1"/>
    <w:basedOn w:val="1f8"/>
    <w:link w:val="1f9"/>
    <w:rPr>
      <w:rFonts w:ascii="PT Astra Serif" w:hAnsi="PT Astra Serif"/>
      <w:i/>
      <w:sz w:val="24"/>
    </w:rPr>
  </w:style>
  <w:style w:type="character" w:customStyle="1" w:styleId="1f9">
    <w:name w:val="Название объекта1"/>
    <w:basedOn w:val="1fa"/>
    <w:link w:val="1f7"/>
    <w:rPr>
      <w:rFonts w:ascii="PT Astra Serif" w:hAnsi="PT Astra Serif"/>
      <w:i/>
      <w:sz w:val="24"/>
    </w:rPr>
  </w:style>
  <w:style w:type="paragraph" w:customStyle="1" w:styleId="af5">
    <w:name w:val="Нижний колонтитул Знак"/>
    <w:basedOn w:val="DefaultParagraphFont0"/>
    <w:link w:val="af6"/>
  </w:style>
  <w:style w:type="character" w:customStyle="1" w:styleId="af6">
    <w:name w:val="Нижний колонтитул Знак"/>
    <w:basedOn w:val="DefaultParagraphFont00"/>
    <w:link w:val="af5"/>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7">
    <w:name w:val="caption"/>
    <w:basedOn w:val="a"/>
    <w:link w:val="af8"/>
    <w:pPr>
      <w:spacing w:before="120" w:after="120"/>
    </w:pPr>
    <w:rPr>
      <w:rFonts w:ascii="PT Astra Serif" w:hAnsi="PT Astra Serif"/>
      <w:i/>
      <w:sz w:val="24"/>
    </w:rPr>
  </w:style>
  <w:style w:type="character" w:customStyle="1" w:styleId="af8">
    <w:name w:val="Название объекта Знак"/>
    <w:basedOn w:val="1"/>
    <w:link w:val="af7"/>
    <w:rPr>
      <w:rFonts w:ascii="PT Astra Serif" w:hAnsi="PT Astra Serif"/>
      <w:i/>
      <w:sz w:val="24"/>
    </w:rPr>
  </w:style>
  <w:style w:type="paragraph" w:customStyle="1" w:styleId="1f8">
    <w:name w:val="Обычный1"/>
    <w:link w:val="1fa"/>
    <w:rPr>
      <w:rFonts w:ascii="Calibri" w:hAnsi="Calibri"/>
      <w:sz w:val="22"/>
    </w:rPr>
  </w:style>
  <w:style w:type="character" w:customStyle="1" w:styleId="1fa">
    <w:name w:val="Обычный1"/>
    <w:link w:val="1f8"/>
    <w:rPr>
      <w:rFonts w:ascii="Calibri" w:hAnsi="Calibri"/>
      <w:sz w:val="22"/>
    </w:rPr>
  </w:style>
  <w:style w:type="paragraph" w:customStyle="1" w:styleId="DefaultParagraphFont0">
    <w:name w:val="Default Paragraph Font_0"/>
    <w:link w:val="DefaultParagraphFont00"/>
  </w:style>
  <w:style w:type="character" w:customStyle="1" w:styleId="DefaultParagraphFont00">
    <w:name w:val="Default Paragraph Font_0"/>
    <w:link w:val="DefaultParagraphFont0"/>
  </w:style>
  <w:style w:type="paragraph" w:styleId="af9">
    <w:name w:val="Subtitle"/>
    <w:next w:val="a"/>
    <w:link w:val="afa"/>
    <w:uiPriority w:val="11"/>
    <w:qFormat/>
    <w:pPr>
      <w:jc w:val="both"/>
    </w:pPr>
    <w:rPr>
      <w:rFonts w:ascii="XO Thames" w:hAnsi="XO Thames"/>
      <w:i/>
      <w:sz w:val="24"/>
    </w:rPr>
  </w:style>
  <w:style w:type="character" w:customStyle="1" w:styleId="afa">
    <w:name w:val="Подзаголовок Знак"/>
    <w:link w:val="af9"/>
    <w:rPr>
      <w:rFonts w:ascii="XO Thames" w:hAnsi="XO Thames"/>
      <w:i/>
      <w:sz w:val="24"/>
    </w:rPr>
  </w:style>
  <w:style w:type="paragraph" w:customStyle="1" w:styleId="1fb">
    <w:name w:val="Название книги1"/>
    <w:link w:val="1fc"/>
    <w:rPr>
      <w:rFonts w:ascii="Cambria" w:hAnsi="Cambria"/>
      <w:b/>
      <w:i/>
      <w:sz w:val="24"/>
    </w:rPr>
  </w:style>
  <w:style w:type="character" w:customStyle="1" w:styleId="1fc">
    <w:name w:val="Название книги1"/>
    <w:link w:val="1fb"/>
    <w:rPr>
      <w:rFonts w:ascii="Cambria" w:hAnsi="Cambria"/>
      <w:b/>
      <w:i/>
      <w:sz w:val="24"/>
    </w:rPr>
  </w:style>
  <w:style w:type="paragraph" w:styleId="afb">
    <w:name w:val="Title"/>
    <w:basedOn w:val="a"/>
    <w:next w:val="a3"/>
    <w:link w:val="afc"/>
    <w:uiPriority w:val="10"/>
    <w:qFormat/>
    <w:pPr>
      <w:keepNext/>
      <w:spacing w:before="240" w:after="120"/>
    </w:pPr>
    <w:rPr>
      <w:rFonts w:ascii="PT Astra Serif" w:hAnsi="PT Astra Serif"/>
      <w:sz w:val="28"/>
    </w:rPr>
  </w:style>
  <w:style w:type="character" w:customStyle="1" w:styleId="afc">
    <w:name w:val="Название Знак"/>
    <w:basedOn w:val="1"/>
    <w:link w:val="afb"/>
    <w:rPr>
      <w:rFonts w:ascii="PT Astra Serif" w:hAnsi="PT Astra Serif"/>
      <w:sz w:val="28"/>
    </w:rPr>
  </w:style>
  <w:style w:type="character" w:customStyle="1" w:styleId="40">
    <w:name w:val="Заголовок 4 Знак"/>
    <w:link w:val="4"/>
    <w:rPr>
      <w:rFonts w:ascii="XO Thames" w:hAnsi="XO Thames"/>
      <w:b/>
      <w:sz w:val="24"/>
    </w:rPr>
  </w:style>
  <w:style w:type="paragraph" w:customStyle="1" w:styleId="afd">
    <w:name w:val="Текст выноски Знак"/>
    <w:link w:val="afe"/>
    <w:rPr>
      <w:rFonts w:ascii="Tahoma" w:hAnsi="Tahoma"/>
      <w:sz w:val="16"/>
    </w:rPr>
  </w:style>
  <w:style w:type="character" w:customStyle="1" w:styleId="afe">
    <w:name w:val="Текст выноски Знак"/>
    <w:link w:val="afd"/>
    <w:rPr>
      <w:rFonts w:ascii="Tahoma" w:hAnsi="Tahoma"/>
      <w:sz w:val="16"/>
    </w:rPr>
  </w:style>
  <w:style w:type="paragraph" w:customStyle="1" w:styleId="1fd">
    <w:name w:val="Гиперссылка1"/>
    <w:link w:val="1fe"/>
    <w:rPr>
      <w:color w:val="0000FF"/>
      <w:u w:val="single"/>
    </w:rPr>
  </w:style>
  <w:style w:type="character" w:customStyle="1" w:styleId="1fe">
    <w:name w:val="Гиперссылка1"/>
    <w:link w:val="1fd"/>
    <w:rPr>
      <w:color w:val="0000FF"/>
      <w:u w:val="single"/>
    </w:rPr>
  </w:style>
  <w:style w:type="character" w:customStyle="1" w:styleId="20">
    <w:name w:val="Заголовок 2 Знак"/>
    <w:link w:val="2"/>
    <w:rPr>
      <w:rFonts w:ascii="XO Thames" w:hAnsi="XO Thames"/>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rFonts w:ascii="Calibri" w:hAnsi="Calibri"/>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43">
    <w:name w:val="Основной шрифт абзаца4"/>
    <w:link w:val="44"/>
  </w:style>
  <w:style w:type="character" w:customStyle="1" w:styleId="44">
    <w:name w:val="Основной шрифт абзаца4"/>
    <w:link w:val="43"/>
  </w:style>
  <w:style w:type="paragraph" w:styleId="a3">
    <w:name w:val="Body Text"/>
    <w:basedOn w:val="a"/>
    <w:link w:val="a4"/>
    <w:pPr>
      <w:spacing w:after="140"/>
    </w:pPr>
  </w:style>
  <w:style w:type="character" w:customStyle="1" w:styleId="a4">
    <w:name w:val="Основной текст Знак"/>
    <w:basedOn w:val="1"/>
    <w:link w:val="a3"/>
    <w:rPr>
      <w:rFonts w:ascii="Calibri" w:hAnsi="Calibri"/>
      <w:sz w:val="22"/>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2">
    <w:name w:val="Основной шрифт абзаца1"/>
  </w:style>
  <w:style w:type="paragraph" w:customStyle="1" w:styleId="a5">
    <w:name w:val="Верхний колонтитул Знак"/>
    <w:basedOn w:val="DefaultParagraphFont0"/>
    <w:link w:val="a6"/>
  </w:style>
  <w:style w:type="character" w:customStyle="1" w:styleId="a6">
    <w:name w:val="Верхний колонтитул Знак"/>
    <w:basedOn w:val="DefaultParagraphFont00"/>
    <w:link w:val="a5"/>
  </w:style>
  <w:style w:type="paragraph" w:customStyle="1" w:styleId="13">
    <w:name w:val="Указатель1"/>
    <w:basedOn w:val="a"/>
    <w:link w:val="14"/>
    <w:rPr>
      <w:rFonts w:ascii="PT Astra Serif" w:hAnsi="PT Astra Serif"/>
    </w:rPr>
  </w:style>
  <w:style w:type="character" w:customStyle="1" w:styleId="14">
    <w:name w:val="Указатель1"/>
    <w:basedOn w:val="1"/>
    <w:link w:val="13"/>
    <w:rPr>
      <w:rFonts w:ascii="PT Astra Serif" w:hAnsi="PT Astra Serif"/>
      <w:sz w:val="22"/>
    </w:rPr>
  </w:style>
  <w:style w:type="paragraph" w:styleId="a7">
    <w:name w:val="header"/>
    <w:basedOn w:val="a"/>
    <w:link w:val="15"/>
    <w:pPr>
      <w:tabs>
        <w:tab w:val="center" w:pos="4677"/>
        <w:tab w:val="right" w:pos="9355"/>
      </w:tabs>
      <w:spacing w:after="0" w:line="240" w:lineRule="auto"/>
    </w:pPr>
  </w:style>
  <w:style w:type="character" w:customStyle="1" w:styleId="15">
    <w:name w:val="Верхний колонтитул Знак1"/>
    <w:basedOn w:val="1"/>
    <w:link w:val="a7"/>
    <w:rPr>
      <w:rFonts w:ascii="Calibri" w:hAnsi="Calibri"/>
      <w:sz w:val="22"/>
    </w:rPr>
  </w:style>
  <w:style w:type="paragraph" w:styleId="a8">
    <w:name w:val="List"/>
    <w:basedOn w:val="a3"/>
    <w:link w:val="a9"/>
    <w:rPr>
      <w:rFonts w:ascii="PT Astra Serif" w:hAnsi="PT Astra Serif"/>
    </w:rPr>
  </w:style>
  <w:style w:type="character" w:customStyle="1" w:styleId="a9">
    <w:name w:val="Список Знак"/>
    <w:basedOn w:val="a4"/>
    <w:link w:val="a8"/>
    <w:rPr>
      <w:rFonts w:ascii="PT Astra Serif" w:hAnsi="PT Astra Serif"/>
      <w:sz w:val="22"/>
    </w:rPr>
  </w:style>
  <w:style w:type="paragraph" w:customStyle="1" w:styleId="16">
    <w:name w:val="Обычный1"/>
    <w:link w:val="17"/>
    <w:rPr>
      <w:rFonts w:ascii="Calibri" w:hAnsi="Calibri"/>
      <w:sz w:val="22"/>
    </w:rPr>
  </w:style>
  <w:style w:type="character" w:customStyle="1" w:styleId="17">
    <w:name w:val="Обычный1"/>
    <w:link w:val="16"/>
    <w:rPr>
      <w:rFonts w:ascii="Calibri" w:hAnsi="Calibri"/>
      <w:sz w:val="22"/>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customStyle="1" w:styleId="27">
    <w:name w:val="Гиперссылка2"/>
    <w:link w:val="28"/>
    <w:rPr>
      <w:color w:val="0000FF"/>
      <w:u w:val="single"/>
    </w:rPr>
  </w:style>
  <w:style w:type="character" w:customStyle="1" w:styleId="28">
    <w:name w:val="Гиперссылка2"/>
    <w:link w:val="27"/>
    <w:rPr>
      <w:color w:val="0000FF"/>
      <w:u w:val="single"/>
    </w:rPr>
  </w:style>
  <w:style w:type="paragraph" w:customStyle="1" w:styleId="29">
    <w:name w:val="Заголовок2"/>
    <w:basedOn w:val="a"/>
    <w:next w:val="a3"/>
    <w:link w:val="2a"/>
    <w:pPr>
      <w:keepNext/>
      <w:spacing w:before="240" w:after="120"/>
    </w:pPr>
    <w:rPr>
      <w:rFonts w:ascii="PT Astra Serif" w:hAnsi="PT Astra Serif"/>
      <w:sz w:val="28"/>
    </w:rPr>
  </w:style>
  <w:style w:type="character" w:customStyle="1" w:styleId="2a">
    <w:name w:val="Заголовок2"/>
    <w:basedOn w:val="1"/>
    <w:link w:val="29"/>
    <w:rPr>
      <w:rFonts w:ascii="PT Astra Serif" w:hAnsi="PT Astra Serif"/>
      <w:sz w:val="28"/>
    </w:rPr>
  </w:style>
  <w:style w:type="paragraph" w:customStyle="1" w:styleId="apple-converted-space">
    <w:name w:val="apple-converted-space"/>
    <w:basedOn w:val="DefaultParagraphFont0"/>
    <w:link w:val="apple-converted-space0"/>
  </w:style>
  <w:style w:type="character" w:customStyle="1" w:styleId="apple-converted-space0">
    <w:name w:val="apple-converted-space"/>
    <w:basedOn w:val="DefaultParagraphFont00"/>
    <w:link w:val="apple-converted-space"/>
  </w:style>
  <w:style w:type="character" w:customStyle="1" w:styleId="50">
    <w:name w:val="Заголовок 5 Знак"/>
    <w:link w:val="5"/>
    <w:rPr>
      <w:rFonts w:ascii="XO Thames" w:hAnsi="XO Thames"/>
      <w:b/>
      <w:sz w:val="22"/>
    </w:rPr>
  </w:style>
  <w:style w:type="paragraph" w:styleId="aa">
    <w:name w:val="index heading"/>
    <w:basedOn w:val="a"/>
    <w:link w:val="ab"/>
    <w:rPr>
      <w:rFonts w:ascii="PT Astra Serif" w:hAnsi="PT Astra Serif"/>
    </w:rPr>
  </w:style>
  <w:style w:type="character" w:customStyle="1" w:styleId="ab">
    <w:name w:val="Указатель Знак"/>
    <w:basedOn w:val="1"/>
    <w:link w:val="aa"/>
    <w:rPr>
      <w:rFonts w:ascii="PT Astra Serif" w:hAnsi="PT Astra Serif"/>
      <w:sz w:val="22"/>
    </w:rPr>
  </w:style>
  <w:style w:type="paragraph" w:customStyle="1" w:styleId="18">
    <w:name w:val="Обычный1"/>
    <w:link w:val="19"/>
    <w:rPr>
      <w:rFonts w:ascii="Calibri" w:hAnsi="Calibri"/>
      <w:sz w:val="22"/>
    </w:rPr>
  </w:style>
  <w:style w:type="character" w:customStyle="1" w:styleId="19">
    <w:name w:val="Обычный1"/>
    <w:link w:val="18"/>
    <w:rPr>
      <w:rFonts w:ascii="Calibri" w:hAnsi="Calibri"/>
      <w:sz w:val="22"/>
    </w:rPr>
  </w:style>
  <w:style w:type="character" w:customStyle="1" w:styleId="11">
    <w:name w:val="Заголовок 1 Знак"/>
    <w:link w:val="10"/>
    <w:rPr>
      <w:rFonts w:ascii="XO Thames" w:hAnsi="XO Thames"/>
      <w:b/>
      <w:sz w:val="32"/>
    </w:rPr>
  </w:style>
  <w:style w:type="paragraph" w:customStyle="1" w:styleId="1a">
    <w:name w:val="Гиперссылка1"/>
    <w:link w:val="ac"/>
    <w:rPr>
      <w:color w:val="0000FF"/>
      <w:u w:val="single"/>
    </w:rPr>
  </w:style>
  <w:style w:type="character" w:styleId="ac">
    <w:name w:val="Hyperlink"/>
    <w:link w:val="1a"/>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33">
    <w:name w:val="Основной шрифт абзаца3"/>
    <w:link w:val="34"/>
  </w:style>
  <w:style w:type="character" w:customStyle="1" w:styleId="34">
    <w:name w:val="Основной шрифт абзаца3"/>
    <w:link w:val="33"/>
  </w:style>
  <w:style w:type="paragraph" w:styleId="ad">
    <w:name w:val="List Paragraph"/>
    <w:basedOn w:val="a"/>
    <w:link w:val="ae"/>
    <w:pPr>
      <w:ind w:left="720"/>
      <w:contextualSpacing/>
    </w:pPr>
  </w:style>
  <w:style w:type="character" w:customStyle="1" w:styleId="ae">
    <w:name w:val="Абзац списка Знак"/>
    <w:basedOn w:val="1"/>
    <w:link w:val="ad"/>
    <w:rPr>
      <w:rFonts w:ascii="Calibri" w:hAnsi="Calibri"/>
      <w:sz w:val="22"/>
    </w:rPr>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d">
    <w:name w:val="Гиперссылка1"/>
    <w:link w:val="1e"/>
    <w:rPr>
      <w:color w:val="0000FF"/>
      <w:u w:val="single"/>
    </w:rPr>
  </w:style>
  <w:style w:type="character" w:customStyle="1" w:styleId="1e">
    <w:name w:val="Гиперссылка1"/>
    <w:link w:val="1d"/>
    <w:rPr>
      <w:color w:val="0000FF"/>
      <w:u w:val="single"/>
    </w:rPr>
  </w:style>
  <w:style w:type="paragraph" w:customStyle="1" w:styleId="1f">
    <w:name w:val="Основной шрифт абзаца1"/>
    <w:link w:val="1f0"/>
  </w:style>
  <w:style w:type="character" w:customStyle="1" w:styleId="1f0">
    <w:name w:val="Основной шрифт абзаца1"/>
    <w:link w:val="1f"/>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1">
    <w:name w:val="Заголовок1"/>
    <w:basedOn w:val="a"/>
    <w:next w:val="a3"/>
    <w:link w:val="1f2"/>
    <w:pPr>
      <w:keepNext/>
      <w:spacing w:before="240" w:after="120"/>
    </w:pPr>
    <w:rPr>
      <w:rFonts w:ascii="PT Astra Serif" w:hAnsi="PT Astra Serif"/>
      <w:sz w:val="28"/>
    </w:rPr>
  </w:style>
  <w:style w:type="character" w:customStyle="1" w:styleId="1f2">
    <w:name w:val="Заголовок1"/>
    <w:basedOn w:val="1"/>
    <w:link w:val="1f1"/>
    <w:rPr>
      <w:rFonts w:ascii="PT Astra Serif" w:hAnsi="PT Astra Serif"/>
      <w:sz w:val="28"/>
    </w:rPr>
  </w:style>
  <w:style w:type="paragraph" w:styleId="af">
    <w:name w:val="footer"/>
    <w:basedOn w:val="a"/>
    <w:link w:val="1f3"/>
    <w:pPr>
      <w:tabs>
        <w:tab w:val="center" w:pos="4677"/>
        <w:tab w:val="right" w:pos="9355"/>
      </w:tabs>
      <w:spacing w:after="0" w:line="240" w:lineRule="auto"/>
    </w:pPr>
  </w:style>
  <w:style w:type="character" w:customStyle="1" w:styleId="1f3">
    <w:name w:val="Нижний колонтитул Знак1"/>
    <w:basedOn w:val="1"/>
    <w:link w:val="af"/>
    <w:rPr>
      <w:rFonts w:ascii="Calibri" w:hAnsi="Calibri"/>
      <w:sz w:val="22"/>
    </w:rPr>
  </w:style>
  <w:style w:type="paragraph" w:styleId="af0">
    <w:name w:val="Body Text Indent"/>
    <w:basedOn w:val="a"/>
    <w:link w:val="af1"/>
    <w:pPr>
      <w:ind w:firstLine="709"/>
      <w:jc w:val="both"/>
    </w:pPr>
  </w:style>
  <w:style w:type="character" w:customStyle="1" w:styleId="af1">
    <w:name w:val="Основной текст с отступом Знак"/>
    <w:basedOn w:val="1"/>
    <w:link w:val="af0"/>
    <w:rPr>
      <w:rFonts w:ascii="Calibri" w:hAnsi="Calibri"/>
      <w:sz w:val="22"/>
    </w:rPr>
  </w:style>
  <w:style w:type="paragraph" w:customStyle="1" w:styleId="1f4">
    <w:name w:val="Обычный1"/>
    <w:link w:val="1f5"/>
    <w:rPr>
      <w:rFonts w:ascii="Calibri" w:hAnsi="Calibri"/>
      <w:sz w:val="22"/>
    </w:rPr>
  </w:style>
  <w:style w:type="character" w:customStyle="1" w:styleId="1f5">
    <w:name w:val="Обычный1"/>
    <w:link w:val="1f4"/>
    <w:rPr>
      <w:rFonts w:ascii="Calibri" w:hAnsi="Calibri"/>
      <w:sz w:val="22"/>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2">
    <w:name w:val="Balloon Text"/>
    <w:basedOn w:val="a"/>
    <w:link w:val="1f6"/>
    <w:pPr>
      <w:spacing w:after="0" w:line="240" w:lineRule="auto"/>
    </w:pPr>
    <w:rPr>
      <w:rFonts w:ascii="Tahoma" w:hAnsi="Tahoma"/>
      <w:sz w:val="16"/>
    </w:rPr>
  </w:style>
  <w:style w:type="character" w:customStyle="1" w:styleId="1f6">
    <w:name w:val="Текст выноски Знак1"/>
    <w:basedOn w:val="1"/>
    <w:link w:val="af2"/>
    <w:rPr>
      <w:rFonts w:ascii="Tahoma" w:hAnsi="Tahoma"/>
      <w:sz w:val="16"/>
    </w:rPr>
  </w:style>
  <w:style w:type="paragraph" w:customStyle="1" w:styleId="af3">
    <w:name w:val="Верхний и нижний колонтитулы"/>
    <w:basedOn w:val="a"/>
    <w:link w:val="af4"/>
  </w:style>
  <w:style w:type="character" w:customStyle="1" w:styleId="af4">
    <w:name w:val="Верхний и нижний колонтитулы"/>
    <w:basedOn w:val="1"/>
    <w:link w:val="af3"/>
    <w:rPr>
      <w:rFonts w:ascii="Calibri" w:hAnsi="Calibri"/>
      <w:sz w:val="22"/>
    </w:rPr>
  </w:style>
  <w:style w:type="paragraph" w:customStyle="1" w:styleId="1f7">
    <w:name w:val="Название объекта1"/>
    <w:basedOn w:val="1f8"/>
    <w:link w:val="1f9"/>
    <w:rPr>
      <w:rFonts w:ascii="PT Astra Serif" w:hAnsi="PT Astra Serif"/>
      <w:i/>
      <w:sz w:val="24"/>
    </w:rPr>
  </w:style>
  <w:style w:type="character" w:customStyle="1" w:styleId="1f9">
    <w:name w:val="Название объекта1"/>
    <w:basedOn w:val="1fa"/>
    <w:link w:val="1f7"/>
    <w:rPr>
      <w:rFonts w:ascii="PT Astra Serif" w:hAnsi="PT Astra Serif"/>
      <w:i/>
      <w:sz w:val="24"/>
    </w:rPr>
  </w:style>
  <w:style w:type="paragraph" w:customStyle="1" w:styleId="af5">
    <w:name w:val="Нижний колонтитул Знак"/>
    <w:basedOn w:val="DefaultParagraphFont0"/>
    <w:link w:val="af6"/>
  </w:style>
  <w:style w:type="character" w:customStyle="1" w:styleId="af6">
    <w:name w:val="Нижний колонтитул Знак"/>
    <w:basedOn w:val="DefaultParagraphFont00"/>
    <w:link w:val="af5"/>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7">
    <w:name w:val="caption"/>
    <w:basedOn w:val="a"/>
    <w:link w:val="af8"/>
    <w:pPr>
      <w:spacing w:before="120" w:after="120"/>
    </w:pPr>
    <w:rPr>
      <w:rFonts w:ascii="PT Astra Serif" w:hAnsi="PT Astra Serif"/>
      <w:i/>
      <w:sz w:val="24"/>
    </w:rPr>
  </w:style>
  <w:style w:type="character" w:customStyle="1" w:styleId="af8">
    <w:name w:val="Название объекта Знак"/>
    <w:basedOn w:val="1"/>
    <w:link w:val="af7"/>
    <w:rPr>
      <w:rFonts w:ascii="PT Astra Serif" w:hAnsi="PT Astra Serif"/>
      <w:i/>
      <w:sz w:val="24"/>
    </w:rPr>
  </w:style>
  <w:style w:type="paragraph" w:customStyle="1" w:styleId="1f8">
    <w:name w:val="Обычный1"/>
    <w:link w:val="1fa"/>
    <w:rPr>
      <w:rFonts w:ascii="Calibri" w:hAnsi="Calibri"/>
      <w:sz w:val="22"/>
    </w:rPr>
  </w:style>
  <w:style w:type="character" w:customStyle="1" w:styleId="1fa">
    <w:name w:val="Обычный1"/>
    <w:link w:val="1f8"/>
    <w:rPr>
      <w:rFonts w:ascii="Calibri" w:hAnsi="Calibri"/>
      <w:sz w:val="22"/>
    </w:rPr>
  </w:style>
  <w:style w:type="paragraph" w:customStyle="1" w:styleId="DefaultParagraphFont0">
    <w:name w:val="Default Paragraph Font_0"/>
    <w:link w:val="DefaultParagraphFont00"/>
  </w:style>
  <w:style w:type="character" w:customStyle="1" w:styleId="DefaultParagraphFont00">
    <w:name w:val="Default Paragraph Font_0"/>
    <w:link w:val="DefaultParagraphFont0"/>
  </w:style>
  <w:style w:type="paragraph" w:styleId="af9">
    <w:name w:val="Subtitle"/>
    <w:next w:val="a"/>
    <w:link w:val="afa"/>
    <w:uiPriority w:val="11"/>
    <w:qFormat/>
    <w:pPr>
      <w:jc w:val="both"/>
    </w:pPr>
    <w:rPr>
      <w:rFonts w:ascii="XO Thames" w:hAnsi="XO Thames"/>
      <w:i/>
      <w:sz w:val="24"/>
    </w:rPr>
  </w:style>
  <w:style w:type="character" w:customStyle="1" w:styleId="afa">
    <w:name w:val="Подзаголовок Знак"/>
    <w:link w:val="af9"/>
    <w:rPr>
      <w:rFonts w:ascii="XO Thames" w:hAnsi="XO Thames"/>
      <w:i/>
      <w:sz w:val="24"/>
    </w:rPr>
  </w:style>
  <w:style w:type="paragraph" w:customStyle="1" w:styleId="1fb">
    <w:name w:val="Название книги1"/>
    <w:link w:val="1fc"/>
    <w:rPr>
      <w:rFonts w:ascii="Cambria" w:hAnsi="Cambria"/>
      <w:b/>
      <w:i/>
      <w:sz w:val="24"/>
    </w:rPr>
  </w:style>
  <w:style w:type="character" w:customStyle="1" w:styleId="1fc">
    <w:name w:val="Название книги1"/>
    <w:link w:val="1fb"/>
    <w:rPr>
      <w:rFonts w:ascii="Cambria" w:hAnsi="Cambria"/>
      <w:b/>
      <w:i/>
      <w:sz w:val="24"/>
    </w:rPr>
  </w:style>
  <w:style w:type="paragraph" w:styleId="afb">
    <w:name w:val="Title"/>
    <w:basedOn w:val="a"/>
    <w:next w:val="a3"/>
    <w:link w:val="afc"/>
    <w:uiPriority w:val="10"/>
    <w:qFormat/>
    <w:pPr>
      <w:keepNext/>
      <w:spacing w:before="240" w:after="120"/>
    </w:pPr>
    <w:rPr>
      <w:rFonts w:ascii="PT Astra Serif" w:hAnsi="PT Astra Serif"/>
      <w:sz w:val="28"/>
    </w:rPr>
  </w:style>
  <w:style w:type="character" w:customStyle="1" w:styleId="afc">
    <w:name w:val="Название Знак"/>
    <w:basedOn w:val="1"/>
    <w:link w:val="afb"/>
    <w:rPr>
      <w:rFonts w:ascii="PT Astra Serif" w:hAnsi="PT Astra Serif"/>
      <w:sz w:val="28"/>
    </w:rPr>
  </w:style>
  <w:style w:type="character" w:customStyle="1" w:styleId="40">
    <w:name w:val="Заголовок 4 Знак"/>
    <w:link w:val="4"/>
    <w:rPr>
      <w:rFonts w:ascii="XO Thames" w:hAnsi="XO Thames"/>
      <w:b/>
      <w:sz w:val="24"/>
    </w:rPr>
  </w:style>
  <w:style w:type="paragraph" w:customStyle="1" w:styleId="afd">
    <w:name w:val="Текст выноски Знак"/>
    <w:link w:val="afe"/>
    <w:rPr>
      <w:rFonts w:ascii="Tahoma" w:hAnsi="Tahoma"/>
      <w:sz w:val="16"/>
    </w:rPr>
  </w:style>
  <w:style w:type="character" w:customStyle="1" w:styleId="afe">
    <w:name w:val="Текст выноски Знак"/>
    <w:link w:val="afd"/>
    <w:rPr>
      <w:rFonts w:ascii="Tahoma" w:hAnsi="Tahoma"/>
      <w:sz w:val="16"/>
    </w:rPr>
  </w:style>
  <w:style w:type="paragraph" w:customStyle="1" w:styleId="1fd">
    <w:name w:val="Гиперссылка1"/>
    <w:link w:val="1fe"/>
    <w:rPr>
      <w:color w:val="0000FF"/>
      <w:u w:val="single"/>
    </w:rPr>
  </w:style>
  <w:style w:type="character" w:customStyle="1" w:styleId="1fe">
    <w:name w:val="Гиперссылка1"/>
    <w:link w:val="1fd"/>
    <w:rPr>
      <w:color w:val="0000FF"/>
      <w:u w:val="single"/>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3627</Words>
  <Characters>20679</Characters>
  <Application>Microsoft Office Word</Application>
  <DocSecurity>0</DocSecurity>
  <Lines>172</Lines>
  <Paragraphs>48</Paragraphs>
  <ScaleCrop>false</ScaleCrop>
  <Company/>
  <LinksUpToDate>false</LinksUpToDate>
  <CharactersWithSpaces>24258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0115</cp:lastModifiedBy>
  <cp:revision>3</cp:revision>
  <dcterms:created xsi:type="dcterms:W3CDTF">2026-03-04T06:01:00Z</dcterms:created>
  <dcterms:modified xsi:type="dcterms:W3CDTF">2026-03-04T07:36:00Z</dcterms:modified>
</cp:coreProperties>
</file>