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90" w:rsidRPr="00DF3151" w:rsidRDefault="009B04A4" w:rsidP="00C404EE">
      <w:pPr>
        <w:pStyle w:val="a7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Доклад</w:t>
      </w:r>
    </w:p>
    <w:p w:rsidR="009B04A4" w:rsidRPr="00DF3151" w:rsidRDefault="009B04A4" w:rsidP="00C404EE">
      <w:pPr>
        <w:pStyle w:val="a7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об организации </w:t>
      </w:r>
      <w:proofErr w:type="gramStart"/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системы внутреннего обеспечения соответствия деятельности Департамента энергетики</w:t>
      </w:r>
      <w:proofErr w:type="gramEnd"/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и</w:t>
      </w:r>
      <w:r w:rsidR="004D7490"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тарифов Ивановской области требованиям антимонопольного законодательства</w:t>
      </w:r>
      <w:r w:rsidR="004D7490"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</w:t>
      </w:r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2762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20</w:t>
      </w:r>
      <w:r w:rsidR="00DF3151" w:rsidRPr="0072762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="00727623" w:rsidRPr="0072762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Pr="0072762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  <w:r w:rsidR="004D7490" w:rsidRPr="0072762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у.</w:t>
      </w:r>
    </w:p>
    <w:p w:rsidR="003265FE" w:rsidRDefault="003265FE" w:rsidP="00C404EE">
      <w:pPr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65FE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системы внутреннего обеспечения соответствия требованиям антимонопольного законодательства в Департаменте энергетики и тарифов Ивановской области (далее — Департамент) реализуется 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Указа Президента  Российской Федерации от 21 декабря 2017 года № 618 «Об основных направлениях государственной политики по развитию конкуренции»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65FE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приказом Департамента от 1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.02.2019 №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15-п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системе внутреннего обеспечения соответствия требованиям антимонопольного законодательства (антимонопольном комплаенсе) в Департаменте энергетики и тарифов Ивановской области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— приказ от 1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.02.2019 №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15-п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Департаменте был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«Положение об организации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 (антимонопольный </w:t>
      </w:r>
      <w:proofErr w:type="spell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комплаенс</w:t>
      </w:r>
      <w:proofErr w:type="spell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— Положение)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 w:rsidR="009F3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 лицом</w:t>
      </w:r>
      <w:r w:rsid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Департамента, ответственным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организацию и функционирование системы внутреннего обеспечения соответствия требованиям антимонопольного законодательства, приказом </w:t>
      </w:r>
      <w:r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Департамента от </w:t>
      </w:r>
      <w:r w:rsidR="007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28.11.2024 №85/1</w:t>
      </w:r>
      <w:r w:rsidR="009F354A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 определен </w:t>
      </w:r>
      <w:r w:rsidR="007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специалист-эксперт</w:t>
      </w:r>
      <w:r w:rsidR="00390188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Департамента</w:t>
      </w:r>
      <w:r w:rsidR="00401DA1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Колесова С.А</w:t>
      </w:r>
      <w:r w:rsidR="009F354A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90188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осуществляющ</w:t>
      </w:r>
      <w:r w:rsidR="009F3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внедрение и </w:t>
      </w:r>
      <w:proofErr w:type="gramStart"/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в Департаменте антимонопольного </w:t>
      </w:r>
      <w:proofErr w:type="spellStart"/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Информация о результатах проведенной оценки рисков нарушения Департаментом</w:t>
      </w:r>
      <w:r w:rsidR="00833875"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антимонопольного законодательства</w:t>
      </w:r>
      <w:r w:rsidR="009F3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оценки рисков нарушения Департаментом антимонопольного законодательства в соответствии с разделом III 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со структурными подразделениями Департамента в </w:t>
      </w:r>
      <w:r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9DA"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7623"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2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 проведены следующие мероприятия.</w:t>
      </w:r>
    </w:p>
    <w:p w:rsidR="009F354A" w:rsidRPr="000424D7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Выявление и анализ выявленных, потенциальных (возможных) нарушений антимонопольного законодательства в деятельности Департамента </w:t>
      </w:r>
      <w:proofErr w:type="gram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предыдущие </w:t>
      </w:r>
      <w:r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года</w:t>
      </w:r>
      <w:r w:rsidR="001A3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A3426"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2022,2023</w:t>
      </w:r>
      <w:r w:rsidR="00727623"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,2024</w:t>
      </w:r>
      <w:r w:rsidR="009F354A"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Жалобы по вопросам применения и возможного нарушения норм антимонопольного законодательства в УФАС по </w:t>
      </w:r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Ивановской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в отношении Департамента не поступали. Предостережения, предупреждения, штрафы отсутствуют.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Рассмотрение дел по вопросам применения и возможного нарушения Департаментом норм антимонопольного законодательства в судебных инстанциях за указанный период не осуществлялось. Нарушения антимонопольного законодательства в деятельности Департамента </w:t>
      </w:r>
      <w:proofErr w:type="gram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предыдущие 3 </w:t>
      </w:r>
      <w:r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="001A3426"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2022,2023</w:t>
      </w:r>
      <w:r w:rsidR="00727623"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,2024</w:t>
      </w:r>
      <w:r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выявлено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анализ выявленных, потенциальных (возможных) нарушений антимонопольного законодательства в нормативных правовых актов Департамента, а также ненормативных правовых актов по основной деятельности, адресованных неопределенному кругу лиц, которые могут иметь признаки нарушения антимонопольного законодательства (далее — правовые акты).</w:t>
      </w:r>
      <w:proofErr w:type="gramEnd"/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проведенного анализа правовых актов сделан вывод об их соответствии антимонопольному законодательству, а также о нецелесообразности внесения изменений в действующие правовые акты.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Выявление и анализ выявленных, потенциальных (возможных) нарушений антимонопольного законодательства при разработк</w:t>
      </w:r>
      <w:r w:rsidR="00647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 нормативных правовых актов Департамент (далее — проекты НПА).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9F354A"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проектах НПА признаки нарушения антимонопольного законодательства не выявлены.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Замечания и предложения от организаций и граждан по проектам НПА в 20</w:t>
      </w:r>
      <w:r w:rsidR="0025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не поступали.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Осуществление на постоянной основе мониторинга и анализа практики применения антимонопольного законодательства в Департаменте посредством сбора сведений в структурных подразделениях Департамента о правоприменительной практике и подготовке аналитической справки об изменениях и основных аспектах правоприменительной практики.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анализа правоприменительной практики нарушений антимонопольного законодательства в деятельности Департамента за период 20</w:t>
      </w:r>
      <w:r w:rsidR="001A3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A3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7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гг. не выявлено.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Информация об исполнении мероприятий по снижению рисков нарушения Департаментом антимонопольного законодательства</w:t>
      </w:r>
    </w:p>
    <w:p w:rsidR="009B04A4" w:rsidRPr="00DF3151" w:rsidRDefault="00A25A8A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Департамента от 16.12.2019 №124/1-п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законодательства»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определены уровни рисков, выявленные риски (описание), причины возникновения (описание), условия возникновения рисков (описание), а также мероприятия по снижению рисков нарушения антимонопольного законодательства.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Риски нарушения антимонопольного законодательства распределены по уровням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№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2258-р. В целях снижения рисков нарушения антимонопольного законодательства приказом Департамента 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16.12.2019 №124/1-п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утверждены мероприятия Департамента по снижению рисков нарушения антимонопольного законодательства.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мероприятий по снижению рисков нарушения антимонопольного законодательства осуществляется 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административно-экономическим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отделом и </w:t>
      </w:r>
      <w:r w:rsidR="00C40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 лицом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Департамента, показателем выполнения мероприятий является отсутствие выявленных УФАС по 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области нарушений антимонопольного законодательства и достижение плановых значений показателей эффективности функционирования антимонопольного комплаенса.</w:t>
      </w:r>
    </w:p>
    <w:p w:rsidR="009B04A4" w:rsidRPr="000424D7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Информация о достижении ключевых показателей эффективности</w:t>
      </w:r>
      <w:r w:rsidR="00EE0F1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антимонопольного </w:t>
      </w:r>
      <w:proofErr w:type="spellStart"/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7490" w:rsidRPr="001E1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1E1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2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404EE" w:rsidRPr="0072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27623" w:rsidRPr="0072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E15DF" w:rsidRPr="0072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4D7490" w:rsidRPr="0072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9B04A4" w:rsidRPr="00DF3151" w:rsidRDefault="007D34AA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30.12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.2019 №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Департаментом утверждены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ключевые 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эффективности функционирования антимонопольного комплаенса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методики расчета ключевых показателей эффективности функционирования антимонопольного </w:t>
      </w:r>
      <w:proofErr w:type="spellStart"/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D7490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Департаменте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04A4" w:rsidRPr="00DF3151" w:rsidRDefault="00B618FE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Ключевые показатели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эффективности функционирования антимонопольного комплаенса в соответствии с приказом Департамента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30.12.2019 № 131-п  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</w:p>
    <w:p w:rsidR="00B618FE" w:rsidRPr="00DF3151" w:rsidRDefault="00B618FE" w:rsidP="00C404EE">
      <w:pPr>
        <w:pStyle w:val="a6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>Коэффициент снижения количества нарушений антимонопольн</w:t>
      </w:r>
      <w:r w:rsidR="004D7490" w:rsidRPr="00DF3151">
        <w:rPr>
          <w:rFonts w:ascii="Times New Roman" w:hAnsi="Times New Roman"/>
          <w:color w:val="000000" w:themeColor="text1"/>
          <w:sz w:val="28"/>
          <w:szCs w:val="28"/>
        </w:rPr>
        <w:t>ого законодательства со стороны</w:t>
      </w:r>
      <w:r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по сравнению с предыдущим годом.</w:t>
      </w:r>
    </w:p>
    <w:p w:rsidR="00B618FE" w:rsidRPr="00DF3151" w:rsidRDefault="00B618FE" w:rsidP="00C404E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>Нарушений антимонопольного законодательства со стороны Департамента не выявлено.</w:t>
      </w:r>
    </w:p>
    <w:p w:rsidR="00B618FE" w:rsidRPr="00DF3151" w:rsidRDefault="00B618FE" w:rsidP="00C404EE">
      <w:pPr>
        <w:pStyle w:val="a6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>Доля проектов нормативно-правовых актов Департамента, в которых выявлены риски нарушения антимонопольного законодательства.</w:t>
      </w:r>
    </w:p>
    <w:p w:rsidR="00B618FE" w:rsidRPr="00DF3151" w:rsidRDefault="00B618FE" w:rsidP="00C404E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Проектов нормативно-правовых актов Департамента, в которых </w:t>
      </w:r>
      <w:proofErr w:type="gramStart"/>
      <w:r w:rsidRPr="00DF3151">
        <w:rPr>
          <w:rFonts w:ascii="Times New Roman" w:hAnsi="Times New Roman"/>
          <w:color w:val="000000" w:themeColor="text1"/>
          <w:sz w:val="28"/>
          <w:szCs w:val="28"/>
        </w:rPr>
        <w:t>выявлены риски нарушения антимонопольного законодательства</w:t>
      </w:r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 выявлено</w:t>
      </w:r>
      <w:proofErr w:type="gramEnd"/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618FE" w:rsidRPr="00DF3151" w:rsidRDefault="00B618FE" w:rsidP="00C404EE">
      <w:pPr>
        <w:pStyle w:val="a6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>Доля нормативно-правовых актов Департамента, в которых выявлены риски нарушения антимонопольного законодательства.</w:t>
      </w:r>
    </w:p>
    <w:p w:rsidR="00B618FE" w:rsidRPr="00DF3151" w:rsidRDefault="00B618FE" w:rsidP="00C404E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Нормативно-правовых актов Департамента, в которых </w:t>
      </w:r>
      <w:proofErr w:type="gramStart"/>
      <w:r w:rsidRPr="00DF3151">
        <w:rPr>
          <w:rFonts w:ascii="Times New Roman" w:hAnsi="Times New Roman"/>
          <w:color w:val="000000" w:themeColor="text1"/>
          <w:sz w:val="28"/>
          <w:szCs w:val="28"/>
        </w:rPr>
        <w:t>выявлены риски нарушения антимонопольного законодательства</w:t>
      </w:r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 выявлено</w:t>
      </w:r>
      <w:proofErr w:type="gramEnd"/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618FE" w:rsidRPr="00DF3151" w:rsidRDefault="00B618FE" w:rsidP="00C404EE">
      <w:pPr>
        <w:pStyle w:val="a6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DF3151">
        <w:rPr>
          <w:rFonts w:ascii="Times New Roman" w:hAnsi="Times New Roman"/>
          <w:color w:val="000000" w:themeColor="text1"/>
          <w:sz w:val="28"/>
          <w:szCs w:val="28"/>
        </w:rPr>
        <w:t>комплаенсу</w:t>
      </w:r>
      <w:proofErr w:type="spellEnd"/>
      <w:r w:rsidRPr="00DF315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18FE" w:rsidRPr="00DF3151" w:rsidRDefault="00C404EE" w:rsidP="00C404E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727623">
        <w:rPr>
          <w:rFonts w:ascii="Times New Roman" w:hAnsi="Times New Roman"/>
          <w:sz w:val="28"/>
          <w:szCs w:val="28"/>
        </w:rPr>
        <w:t>202</w:t>
      </w:r>
      <w:r w:rsidR="00727623" w:rsidRPr="00727623">
        <w:rPr>
          <w:rFonts w:ascii="Times New Roman" w:hAnsi="Times New Roman"/>
          <w:sz w:val="28"/>
          <w:szCs w:val="28"/>
        </w:rPr>
        <w:t>4</w:t>
      </w:r>
      <w:r w:rsidR="00B618FE"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A10D31"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обучающие мероприятия по антимонопольному законодательству и антимонопольному </w:t>
      </w:r>
      <w:proofErr w:type="spellStart"/>
      <w:r w:rsidR="00A10D31" w:rsidRPr="00DF3151">
        <w:rPr>
          <w:rFonts w:ascii="Times New Roman" w:hAnsi="Times New Roman"/>
          <w:color w:val="000000" w:themeColor="text1"/>
          <w:sz w:val="28"/>
          <w:szCs w:val="28"/>
        </w:rPr>
        <w:t>комплаенсу</w:t>
      </w:r>
      <w:proofErr w:type="spellEnd"/>
      <w:r w:rsidR="00A10D31"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 проводились силами сотрудников Департамента. 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проведенной </w:t>
      </w:r>
      <w:proofErr w:type="gram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достижения показателей эффективности функционирования антимонопольного</w:t>
      </w:r>
      <w:proofErr w:type="gram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bookmarkStart w:id="0" w:name="_GoBack"/>
      <w:r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04EE"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7623"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End w:id="0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 сделан вывод о достижении значений показателей эффективности функционирования антимонопольного комплаенса в Департаменте.</w:t>
      </w:r>
    </w:p>
    <w:p w:rsidR="003C3D22" w:rsidRPr="00B618FE" w:rsidRDefault="00727623" w:rsidP="009F35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3D22" w:rsidRPr="00B618FE" w:rsidSect="000D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229"/>
    <w:multiLevelType w:val="multilevel"/>
    <w:tmpl w:val="474A49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4A4"/>
    <w:rsid w:val="000424D7"/>
    <w:rsid w:val="000D3EB0"/>
    <w:rsid w:val="00151949"/>
    <w:rsid w:val="001606C3"/>
    <w:rsid w:val="001A3426"/>
    <w:rsid w:val="001E15DF"/>
    <w:rsid w:val="00203500"/>
    <w:rsid w:val="00253F39"/>
    <w:rsid w:val="003265FE"/>
    <w:rsid w:val="00390188"/>
    <w:rsid w:val="003F0D32"/>
    <w:rsid w:val="00401DA1"/>
    <w:rsid w:val="004D7490"/>
    <w:rsid w:val="00562FF7"/>
    <w:rsid w:val="00647E9C"/>
    <w:rsid w:val="00727623"/>
    <w:rsid w:val="00751B7B"/>
    <w:rsid w:val="007D34AA"/>
    <w:rsid w:val="00833875"/>
    <w:rsid w:val="008A2020"/>
    <w:rsid w:val="009B04A4"/>
    <w:rsid w:val="009F354A"/>
    <w:rsid w:val="00A10D31"/>
    <w:rsid w:val="00A25A8A"/>
    <w:rsid w:val="00A41536"/>
    <w:rsid w:val="00A4543D"/>
    <w:rsid w:val="00A54389"/>
    <w:rsid w:val="00B00739"/>
    <w:rsid w:val="00B618FE"/>
    <w:rsid w:val="00BC22EC"/>
    <w:rsid w:val="00C404EE"/>
    <w:rsid w:val="00C90E09"/>
    <w:rsid w:val="00CB4090"/>
    <w:rsid w:val="00D420E6"/>
    <w:rsid w:val="00DF3151"/>
    <w:rsid w:val="00E719DA"/>
    <w:rsid w:val="00EE0F14"/>
    <w:rsid w:val="00F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B0"/>
  </w:style>
  <w:style w:type="paragraph" w:styleId="1">
    <w:name w:val="heading 1"/>
    <w:basedOn w:val="a"/>
    <w:link w:val="10"/>
    <w:uiPriority w:val="9"/>
    <w:qFormat/>
    <w:rsid w:val="009B0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04A4"/>
    <w:rPr>
      <w:color w:val="0000FF"/>
      <w:u w:val="single"/>
    </w:rPr>
  </w:style>
  <w:style w:type="character" w:customStyle="1" w:styleId="btn-text">
    <w:name w:val="btn-text"/>
    <w:basedOn w:val="a0"/>
    <w:rsid w:val="009B04A4"/>
  </w:style>
  <w:style w:type="paragraph" w:styleId="a4">
    <w:name w:val="Normal (Web)"/>
    <w:basedOn w:val="a"/>
    <w:uiPriority w:val="99"/>
    <w:semiHidden/>
    <w:unhideWhenUsed/>
    <w:rsid w:val="009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04A4"/>
    <w:rPr>
      <w:b/>
      <w:bCs/>
    </w:rPr>
  </w:style>
  <w:style w:type="paragraph" w:styleId="a6">
    <w:name w:val="List Paragraph"/>
    <w:basedOn w:val="a"/>
    <w:uiPriority w:val="34"/>
    <w:qFormat/>
    <w:rsid w:val="00B618FE"/>
    <w:pPr>
      <w:spacing w:after="0" w:line="240" w:lineRule="auto"/>
      <w:ind w:left="720"/>
      <w:contextualSpacing/>
    </w:pPr>
    <w:rPr>
      <w:rFonts w:ascii="Lucida Console" w:eastAsia="Lucida Console" w:hAnsi="Lucida Console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4D74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04A4"/>
    <w:rPr>
      <w:color w:val="0000FF"/>
      <w:u w:val="single"/>
    </w:rPr>
  </w:style>
  <w:style w:type="character" w:customStyle="1" w:styleId="btn-text">
    <w:name w:val="btn-text"/>
    <w:basedOn w:val="a0"/>
    <w:rsid w:val="009B04A4"/>
  </w:style>
  <w:style w:type="paragraph" w:styleId="a4">
    <w:name w:val="Normal (Web)"/>
    <w:basedOn w:val="a"/>
    <w:uiPriority w:val="99"/>
    <w:semiHidden/>
    <w:unhideWhenUsed/>
    <w:rsid w:val="009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04A4"/>
    <w:rPr>
      <w:b/>
      <w:bCs/>
    </w:rPr>
  </w:style>
  <w:style w:type="paragraph" w:styleId="a6">
    <w:name w:val="List Paragraph"/>
    <w:basedOn w:val="a"/>
    <w:uiPriority w:val="34"/>
    <w:qFormat/>
    <w:rsid w:val="00B618FE"/>
    <w:pPr>
      <w:spacing w:after="0" w:line="240" w:lineRule="auto"/>
      <w:ind w:left="720"/>
      <w:contextualSpacing/>
    </w:pPr>
    <w:rPr>
      <w:rFonts w:ascii="Lucida Console" w:eastAsia="Lucida Console" w:hAnsi="Lucida Conso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708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Белина Л.В.</dc:creator>
  <cp:lastModifiedBy>Павлычев С.Ю.</cp:lastModifiedBy>
  <cp:revision>20</cp:revision>
  <dcterms:created xsi:type="dcterms:W3CDTF">2020-02-11T07:22:00Z</dcterms:created>
  <dcterms:modified xsi:type="dcterms:W3CDTF">2025-01-27T14:36:00Z</dcterms:modified>
</cp:coreProperties>
</file>