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21177729"/>
        <w:docPartObj>
          <w:docPartGallery w:val="Cover Pages"/>
          <w:docPartUnique/>
        </w:docPartObj>
      </w:sdtPr>
      <w:sdtContent>
        <w:sdt>
          <w:sdtPr>
            <w:id w:val="-1724750495"/>
          </w:sdtPr>
          <w:sdtContent>
            <w:p w:rsidR="009E3B7C" w:rsidRDefault="001170F3">
              <w:r>
                <w:rPr>
                  <w:rFonts w:asciiTheme="majorHAnsi" w:eastAsiaTheme="majorEastAsia" w:hAnsiTheme="majorHAnsi" w:cstheme="majorBidi"/>
                  <w:noProof/>
                  <w:sz w:val="76"/>
                  <w:szCs w:val="76"/>
                </w:rPr>
                <mc:AlternateContent>
                  <mc:Choice Requires="wps">
                    <w:drawing>
                      <wp:anchor distT="0" distB="0" distL="114300" distR="114300" simplePos="0" relativeHeight="251659264" behindDoc="0" locked="0" layoutInCell="0" allowOverlap="0" wp14:anchorId="59C8D067" wp14:editId="07EFE58D">
                        <wp:simplePos x="0" y="0"/>
                        <wp:positionH relativeFrom="margin">
                          <wp:posOffset>-295910</wp:posOffset>
                        </wp:positionH>
                        <wp:positionV relativeFrom="page">
                          <wp:posOffset>414655</wp:posOffset>
                        </wp:positionV>
                        <wp:extent cx="6304915" cy="1488440"/>
                        <wp:effectExtent l="0" t="0" r="635" b="0"/>
                        <wp:wrapTopAndBottom/>
                        <wp:docPr id="3" name="Надпись 3" descr="Контактные данные организации"/>
                        <wp:cNvGraphicFramePr/>
                        <a:graphic xmlns:a="http://schemas.openxmlformats.org/drawingml/2006/main">
                          <a:graphicData uri="http://schemas.microsoft.com/office/word/2010/wordprocessingShape">
                            <wps:wsp>
                              <wps:cNvSpPr txBox="1"/>
                              <wps:spPr>
                                <a:xfrm>
                                  <a:off x="0" y="0"/>
                                  <a:ext cx="6304915" cy="148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7B0" w:rsidRPr="00DF0CAC" w:rsidRDefault="00C547B0" w:rsidP="00CA0A1A">
                                    <w:pPr>
                                      <w:pStyle w:val="31"/>
                                    </w:pPr>
                                    <w:bookmarkStart w:id="0" w:name="_Toc97386219"/>
                                    <w:bookmarkStart w:id="1" w:name="_Toc97309414"/>
                                    <w:bookmarkStart w:id="2" w:name="_Toc97369829"/>
                                    <w:r>
                                      <w:rPr>
                                        <w:noProof/>
                                      </w:rPr>
                                      <w:drawing>
                                        <wp:inline distT="0" distB="0" distL="0" distR="0" wp14:anchorId="5276F66D" wp14:editId="38D88F03">
                                          <wp:extent cx="1653426" cy="1173708"/>
                                          <wp:effectExtent l="0" t="0" r="444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60049" cy="1178410"/>
                                                  </a:xfrm>
                                                  <a:prstGeom prst="rect">
                                                    <a:avLst/>
                                                  </a:prstGeom>
                                                </pic:spPr>
                                              </pic:pic>
                                            </a:graphicData>
                                          </a:graphic>
                                        </wp:inline>
                                      </w:drawing>
                                    </w:r>
                                    <w:r>
                                      <w:rPr>
                                        <w:noProof/>
                                      </w:rPr>
                                      <w:drawing>
                                        <wp:inline distT="0" distB="0" distL="0" distR="0" wp14:anchorId="66F330A4" wp14:editId="1A9DF985">
                                          <wp:extent cx="4626610" cy="10915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6610" cy="1091565"/>
                                                  </a:xfrm>
                                                  <a:prstGeom prst="rect">
                                                    <a:avLst/>
                                                  </a:prstGeom>
                                                  <a:noFill/>
                                                  <a:ln>
                                                    <a:noFill/>
                                                  </a:ln>
                                                </pic:spPr>
                                              </pic:pic>
                                            </a:graphicData>
                                          </a:graphic>
                                        </wp:inline>
                                      </w:drawing>
                                    </w:r>
                                    <w:bookmarkEnd w:id="0"/>
                                  </w:p>
                                  <w:bookmarkEnd w:id="1"/>
                                  <w:bookmarkEnd w:id="2"/>
                                  <w:p w:rsidR="00C547B0" w:rsidRPr="00DF0CAC" w:rsidRDefault="00C547B0" w:rsidP="00CA0A1A">
                                    <w:pPr>
                                      <w:pStyle w:val="3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C8D067" id="_x0000_t202" coordsize="21600,21600" o:spt="202" path="m,l,21600r21600,l21600,xe">
                        <v:stroke joinstyle="miter"/>
                        <v:path gradientshapeok="t" o:connecttype="rect"/>
                      </v:shapetype>
                      <v:shape id="Надпись 3" o:spid="_x0000_s1026" type="#_x0000_t202" alt="Контактные данные организации" style="position:absolute;margin-left:-23.3pt;margin-top:32.65pt;width:496.45pt;height:11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" o:allowincell="f" o:allowoverlap="f" filled="f" stroked="f" strokeweight=".5pt">
                        <v:textbox inset="0,0,0,0">
                          <w:txbxContent>
                            <w:p w:rsidR="009419C1" w:rsidRPr="00DF0CAC" w:rsidRDefault="009419C1" w:rsidP="00CA0A1A">
                              <w:pPr>
                                <w:pStyle w:val="31"/>
                              </w:pPr>
                              <w:bookmarkStart w:id="3" w:name="_Toc97386219"/>
                              <w:bookmarkStart w:id="4" w:name="_Toc97309414"/>
                              <w:bookmarkStart w:id="5" w:name="_Toc97369829"/>
                              <w:r>
                                <w:rPr>
                                  <w:noProof/>
                                </w:rPr>
                                <w:drawing>
                                  <wp:inline distT="0" distB="0" distL="0" distR="0" wp14:anchorId="5276F66D" wp14:editId="38D88F03">
                                    <wp:extent cx="1653426" cy="1173708"/>
                                    <wp:effectExtent l="0" t="0" r="444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60049" cy="1178410"/>
                                            </a:xfrm>
                                            <a:prstGeom prst="rect">
                                              <a:avLst/>
                                            </a:prstGeom>
                                          </pic:spPr>
                                        </pic:pic>
                                      </a:graphicData>
                                    </a:graphic>
                                  </wp:inline>
                                </w:drawing>
                              </w:r>
                              <w:r>
                                <w:rPr>
                                  <w:noProof/>
                                </w:rPr>
                                <w:drawing>
                                  <wp:inline distT="0" distB="0" distL="0" distR="0" wp14:anchorId="66F330A4" wp14:editId="1A9DF985">
                                    <wp:extent cx="4626610" cy="10915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610" cy="1091565"/>
                                            </a:xfrm>
                                            <a:prstGeom prst="rect">
                                              <a:avLst/>
                                            </a:prstGeom>
                                            <a:noFill/>
                                            <a:ln>
                                              <a:noFill/>
                                            </a:ln>
                                          </pic:spPr>
                                        </pic:pic>
                                      </a:graphicData>
                                    </a:graphic>
                                  </wp:inline>
                                </w:drawing>
                              </w:r>
                              <w:bookmarkEnd w:id="3"/>
                            </w:p>
                            <w:bookmarkEnd w:id="4"/>
                            <w:bookmarkEnd w:id="5"/>
                            <w:p w:rsidR="009419C1" w:rsidRPr="00DF0CAC" w:rsidRDefault="009419C1" w:rsidP="00CA0A1A">
                              <w:pPr>
                                <w:pStyle w:val="31"/>
                              </w:pPr>
                            </w:p>
                          </w:txbxContent>
                        </v:textbox>
                        <w10:wrap type="topAndBottom" anchorx="margin" anchory="page"/>
                      </v:shape>
                    </w:pict>
                  </mc:Fallback>
                </mc:AlternateContent>
              </w:r>
              <w:r w:rsidR="00CA0A1A">
                <w:rPr>
                  <w:noProof/>
                </w:rPr>
                <mc:AlternateContent>
                  <mc:Choice Requires="wps">
                    <w:drawing>
                      <wp:anchor distT="0" distB="0" distL="114300" distR="114300" simplePos="0" relativeHeight="251657216" behindDoc="0" locked="0" layoutInCell="1" allowOverlap="1" wp14:anchorId="16792DC9" wp14:editId="41DE390F">
                        <wp:simplePos x="0" y="0"/>
                        <mc:AlternateContent>
                          <mc:Choice Requires="wp14">
                            <wp:positionH relativeFrom="page">
                              <wp14:pctPosHOffset>9300</wp14:pctPosHOffset>
                            </wp:positionH>
                          </mc:Choice>
                          <mc:Fallback>
                            <wp:positionH relativeFrom="page">
                              <wp:posOffset>702945</wp:posOffset>
                            </wp:positionH>
                          </mc:Fallback>
                        </mc:AlternateContent>
                        <wp:positionV relativeFrom="margin">
                          <wp:align>bottom</wp:align>
                        </wp:positionV>
                        <wp:extent cx="6296025" cy="6986905"/>
                        <wp:effectExtent l="0" t="0" r="9525" b="4445"/>
                        <wp:wrapTopAndBottom/>
                        <wp:docPr id="6" name="Надпись 6" descr="Заголовок, подзаголовок и аннотация"/>
                        <wp:cNvGraphicFramePr/>
                        <a:graphic xmlns:a="http://schemas.openxmlformats.org/drawingml/2006/main">
                          <a:graphicData uri="http://schemas.microsoft.com/office/word/2010/wordprocessingShape">
                            <wps:wsp>
                              <wps:cNvSpPr txBox="1"/>
                              <wps:spPr>
                                <a:xfrm>
                                  <a:off x="0" y="0"/>
                                  <a:ext cx="6296025" cy="6986962"/>
                                </a:xfrm>
                                <a:prstGeom prst="rect">
                                  <a:avLst/>
                                </a:prstGeom>
                                <a:noFill/>
                                <a:ln w="6350">
                                  <a:noFill/>
                                </a:ln>
                                <a:effectLst/>
                              </wps:spPr>
                              <wps:txbx>
                                <w:txbxContent>
                                  <w:p w:rsidR="00C547B0" w:rsidRPr="00DF0CAC" w:rsidRDefault="00C547B0">
                                    <w:pPr>
                                      <w:pStyle w:val="1f6"/>
                                    </w:pPr>
                                    <w:sdt>
                                      <w:sdtPr>
                                        <w:rPr>
                                          <w:sz w:val="72"/>
                                          <w:szCs w:val="72"/>
                                        </w:rPr>
                                        <w:alias w:val="Заголовок"/>
                                        <w:tag w:val=""/>
                                        <w:id w:val="1238747917"/>
                                        <w:dataBinding w:prefixMappings="xmlns:ns0='http://purl.org/dc/elements/1.1/' xmlns:ns1='http://schemas.openxmlformats.org/package/2006/metadata/core-properties' " w:xpath="/ns1:coreProperties[1]/ns0:title[1]" w:storeItemID="{6C3C8BC8-F283-45AE-878A-BAB7291924A1}"/>
                                        <w:text/>
                                      </w:sdtPr>
                                      <w:sdtContent>
                                        <w:r w:rsidRPr="00CA0A1A">
                                          <w:rPr>
                                            <w:sz w:val="72"/>
                                            <w:szCs w:val="72"/>
                                          </w:rPr>
                                          <w:t>Отчет о деятельности</w:t>
                                        </w:r>
                                      </w:sdtContent>
                                    </w:sdt>
                                  </w:p>
                                  <w:p w:rsidR="00C547B0" w:rsidRPr="00DF0CAC" w:rsidRDefault="00C547B0">
                                    <w:pPr>
                                      <w:pStyle w:val="afffff3"/>
                                    </w:pPr>
                                    <w:r>
                                      <w:t xml:space="preserve">Год </w:t>
                                    </w:r>
                                    <w:r w:rsidRPr="00565DAC">
                                      <w:rPr>
                                        <w:sz w:val="72"/>
                                        <w:szCs w:val="72"/>
                                      </w:rPr>
                                      <w:t>2021</w:t>
                                    </w:r>
                                  </w:p>
                                  <w:p w:rsidR="00C547B0" w:rsidRPr="00536FC7" w:rsidRDefault="00C547B0">
                                    <w:pPr>
                                      <w:pStyle w:val="affffff3"/>
                                      <w:rPr>
                                        <w:sz w:val="32"/>
                                        <w:szCs w:val="32"/>
                                      </w:rPr>
                                    </w:pPr>
                                    <w:sdt>
                                      <w:sdtPr>
                                        <w:rPr>
                                          <w:sz w:val="32"/>
                                          <w:szCs w:val="32"/>
                                        </w:rPr>
                                        <w:alias w:val="Аннотация"/>
                                        <w:id w:val="-312949017"/>
                                        <w:dataBinding w:prefixMappings="xmlns:ns0='http://schemas.microsoft.com/office/2006/coverPageProps'" w:xpath="/ns0:CoverPageProperties[1]/ns0:Abstract[1]" w:storeItemID="{55AF091B-3C7A-41E3-B477-F2FDAA23CFDA}"/>
                                        <w:text/>
                                      </w:sdtPr>
                                      <w:sdtContent>
                                        <w:r w:rsidRPr="00536FC7">
                                          <w:rPr>
                                            <w:sz w:val="32"/>
                                            <w:szCs w:val="32"/>
                                          </w:rPr>
                                          <w:t>Деятельность в цифрах</w:t>
                                        </w:r>
                                        <w:r>
                                          <w:rPr>
                                            <w:sz w:val="32"/>
                                            <w:szCs w:val="32"/>
                                          </w:rPr>
                                          <w:t xml:space="preserve"> </w:t>
                                        </w:r>
                                      </w:sdtContent>
                                    </w:sdt>
                                    <w:r w:rsidRPr="00536FC7">
                                      <w:rPr>
                                        <w:sz w:val="44"/>
                                        <w:szCs w:val="44"/>
                                      </w:rPr>
                                      <w:t>•</w:t>
                                    </w:r>
                                    <w:r>
                                      <w:rPr>
                                        <w:sz w:val="32"/>
                                        <w:szCs w:val="32"/>
                                      </w:rPr>
                                      <w:t xml:space="preserve"> </w:t>
                                    </w:r>
                                    <w:r w:rsidRPr="00536FC7">
                                      <w:rPr>
                                        <w:sz w:val="32"/>
                                        <w:szCs w:val="32"/>
                                      </w:rPr>
                                      <w:t>Эффект</w:t>
                                    </w:r>
                                    <w:r>
                                      <w:rPr>
                                        <w:sz w:val="32"/>
                                        <w:szCs w:val="32"/>
                                      </w:rPr>
                                      <w:t xml:space="preserve"> от государственного регули</w:t>
                                    </w:r>
                                    <w:r w:rsidRPr="00536FC7">
                                      <w:rPr>
                                        <w:sz w:val="32"/>
                                        <w:szCs w:val="32"/>
                                      </w:rPr>
                                      <w:t>рования</w:t>
                                    </w:r>
                                    <w:r>
                                      <w:rPr>
                                        <w:sz w:val="32"/>
                                        <w:szCs w:val="32"/>
                                      </w:rPr>
                                      <w:t xml:space="preserve"> </w:t>
                                    </w:r>
                                    <w:r w:rsidRPr="00536FC7">
                                      <w:rPr>
                                        <w:sz w:val="40"/>
                                        <w:szCs w:val="40"/>
                                      </w:rPr>
                                      <w:t>•</w:t>
                                    </w:r>
                                    <w:r>
                                      <w:rPr>
                                        <w:sz w:val="32"/>
                                        <w:szCs w:val="32"/>
                                      </w:rPr>
                                      <w:t xml:space="preserve"> </w:t>
                                    </w:r>
                                    <w:r w:rsidRPr="00536FC7">
                                      <w:rPr>
                                        <w:sz w:val="32"/>
                                        <w:szCs w:val="32"/>
                                      </w:rPr>
                                      <w:t>Тарифы на коммунальные ресурсы</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92DC9" id="Надпись 6" o:spid="_x0000_s1027" type="#_x0000_t202" alt="Заголовок, подзаголовок и аннотация" style="position:absolute;margin-left:0;margin-top:0;width:495.75pt;height:550.15pt;z-index:251657216;visibility:visible;mso-wrap-style:square;mso-width-percent:0;mso-height-percent:0;mso-left-percent:93;mso-wrap-distance-left:9pt;mso-wrap-distance-top:0;mso-wrap-distance-right:9pt;mso-wrap-distance-bottom:0;mso-position-horizontal-relative:page;mso-position-vertical:bottom;mso-position-vertical-relative:margin;mso-width-percent:0;mso-height-percent: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" filled="f" stroked="f" strokeweight=".5pt">
                        <v:textbox inset="0,0,0,0">
                          <w:txbxContent>
                            <w:p w:rsidR="009419C1" w:rsidRPr="00DF0CAC" w:rsidRDefault="004B3C31">
                              <w:pPr>
                                <w:pStyle w:val="1f6"/>
                              </w:pPr>
                              <w:sdt>
                                <w:sdtPr>
                                  <w:rPr>
                                    <w:sz w:val="72"/>
                                    <w:szCs w:val="72"/>
                                  </w:rPr>
                                  <w:alias w:val="Заголовок"/>
                                  <w:tag w:val=""/>
                                  <w:id w:val="1238747917"/>
                                  <w:dataBinding w:prefixMappings="xmlns:ns0='http://purl.org/dc/elements/1.1/' xmlns:ns1='http://schemas.openxmlformats.org/package/2006/metadata/core-properties' " w:xpath="/ns1:coreProperties[1]/ns0:title[1]" w:storeItemID="{6C3C8BC8-F283-45AE-878A-BAB7291924A1}"/>
                                  <w:text/>
                                </w:sdtPr>
                                <w:sdtEndPr/>
                                <w:sdtContent>
                                  <w:r w:rsidR="009419C1" w:rsidRPr="00CA0A1A">
                                    <w:rPr>
                                      <w:sz w:val="72"/>
                                      <w:szCs w:val="72"/>
                                    </w:rPr>
                                    <w:t>Отчет о деятельности</w:t>
                                  </w:r>
                                </w:sdtContent>
                              </w:sdt>
                            </w:p>
                            <w:p w:rsidR="009419C1" w:rsidRPr="00DF0CAC" w:rsidRDefault="009419C1">
                              <w:pPr>
                                <w:pStyle w:val="afffff3"/>
                              </w:pPr>
                              <w:r>
                                <w:t xml:space="preserve">Год </w:t>
                              </w:r>
                              <w:r w:rsidRPr="00565DAC">
                                <w:rPr>
                                  <w:sz w:val="72"/>
                                  <w:szCs w:val="72"/>
                                </w:rPr>
                                <w:t>2021</w:t>
                              </w:r>
                            </w:p>
                            <w:p w:rsidR="009419C1" w:rsidRPr="00536FC7" w:rsidRDefault="004B3C31">
                              <w:pPr>
                                <w:pStyle w:val="affffff3"/>
                                <w:rPr>
                                  <w:sz w:val="32"/>
                                  <w:szCs w:val="32"/>
                                </w:rPr>
                              </w:pPr>
                              <w:sdt>
                                <w:sdtPr>
                                  <w:rPr>
                                    <w:sz w:val="32"/>
                                    <w:szCs w:val="32"/>
                                  </w:rPr>
                                  <w:alias w:val="Аннотация"/>
                                  <w:id w:val="-312949017"/>
                                  <w:dataBinding w:prefixMappings="xmlns:ns0='http://schemas.microsoft.com/office/2006/coverPageProps'" w:xpath="/ns0:CoverPageProperties[1]/ns0:Abstract[1]" w:storeItemID="{55AF091B-3C7A-41E3-B477-F2FDAA23CFDA}"/>
                                  <w:text/>
                                </w:sdtPr>
                                <w:sdtEndPr/>
                                <w:sdtContent>
                                  <w:r w:rsidR="009419C1" w:rsidRPr="00536FC7">
                                    <w:rPr>
                                      <w:sz w:val="32"/>
                                      <w:szCs w:val="32"/>
                                    </w:rPr>
                                    <w:t>Деятельность в цифрах</w:t>
                                  </w:r>
                                  <w:r w:rsidR="009419C1">
                                    <w:rPr>
                                      <w:sz w:val="32"/>
                                      <w:szCs w:val="32"/>
                                    </w:rPr>
                                    <w:t xml:space="preserve"> </w:t>
                                  </w:r>
                                </w:sdtContent>
                              </w:sdt>
                              <w:r w:rsidR="009419C1" w:rsidRPr="00536FC7">
                                <w:rPr>
                                  <w:sz w:val="44"/>
                                  <w:szCs w:val="44"/>
                                </w:rPr>
                                <w:t>•</w:t>
                              </w:r>
                              <w:r w:rsidR="009419C1">
                                <w:rPr>
                                  <w:sz w:val="32"/>
                                  <w:szCs w:val="32"/>
                                </w:rPr>
                                <w:t xml:space="preserve"> </w:t>
                              </w:r>
                              <w:r w:rsidR="009419C1" w:rsidRPr="00536FC7">
                                <w:rPr>
                                  <w:sz w:val="32"/>
                                  <w:szCs w:val="32"/>
                                </w:rPr>
                                <w:t>Эффект</w:t>
                              </w:r>
                              <w:r w:rsidR="009419C1">
                                <w:rPr>
                                  <w:sz w:val="32"/>
                                  <w:szCs w:val="32"/>
                                </w:rPr>
                                <w:t xml:space="preserve"> от государственного регули</w:t>
                              </w:r>
                              <w:r w:rsidR="009419C1" w:rsidRPr="00536FC7">
                                <w:rPr>
                                  <w:sz w:val="32"/>
                                  <w:szCs w:val="32"/>
                                </w:rPr>
                                <w:t>рования</w:t>
                              </w:r>
                              <w:r w:rsidR="009419C1">
                                <w:rPr>
                                  <w:sz w:val="32"/>
                                  <w:szCs w:val="32"/>
                                </w:rPr>
                                <w:t xml:space="preserve"> </w:t>
                              </w:r>
                              <w:r w:rsidR="009419C1" w:rsidRPr="00536FC7">
                                <w:rPr>
                                  <w:sz w:val="40"/>
                                  <w:szCs w:val="40"/>
                                </w:rPr>
                                <w:t>•</w:t>
                              </w:r>
                              <w:r w:rsidR="009419C1">
                                <w:rPr>
                                  <w:sz w:val="32"/>
                                  <w:szCs w:val="32"/>
                                </w:rPr>
                                <w:t xml:space="preserve"> </w:t>
                              </w:r>
                              <w:r w:rsidR="009419C1" w:rsidRPr="00536FC7">
                                <w:rPr>
                                  <w:sz w:val="32"/>
                                  <w:szCs w:val="32"/>
                                </w:rPr>
                                <w:t>Тарифы на коммунальные ресурсы</w:t>
                              </w:r>
                            </w:p>
                          </w:txbxContent>
                        </v:textbox>
                        <w10:wrap type="topAndBottom" anchorx="page" anchory="margin"/>
                      </v:shape>
                    </w:pict>
                  </mc:Fallback>
                </mc:AlternateContent>
              </w:r>
            </w:p>
          </w:sdtContent>
        </w:sdt>
        <w:p w:rsidR="009E3B7C" w:rsidRDefault="00DD381E">
          <w:r w:rsidRPr="00116EAB">
            <w:rPr>
              <w:noProof/>
            </w:rPr>
            <w:drawing>
              <wp:anchor distT="0" distB="0" distL="114300" distR="114300" simplePos="0" relativeHeight="251661312" behindDoc="0" locked="0" layoutInCell="1" allowOverlap="1" wp14:anchorId="51A3F4D9">
                <wp:simplePos x="0" y="0"/>
                <wp:positionH relativeFrom="column">
                  <wp:posOffset>-290830</wp:posOffset>
                </wp:positionH>
                <wp:positionV relativeFrom="paragraph">
                  <wp:posOffset>1655445</wp:posOffset>
                </wp:positionV>
                <wp:extent cx="6305550" cy="2364740"/>
                <wp:effectExtent l="0" t="0" r="0" b="0"/>
                <wp:wrapThrough wrapText="bothSides">
                  <wp:wrapPolygon edited="0">
                    <wp:start x="0" y="0"/>
                    <wp:lineTo x="0" y="21403"/>
                    <wp:lineTo x="21535" y="21403"/>
                    <wp:lineTo x="21535" y="0"/>
                    <wp:lineTo x="0" y="0"/>
                  </wp:wrapPolygon>
                </wp:wrapThrough>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f06206291-Newsletter  01-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550" cy="2364740"/>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sz w:val="20"/>
        </w:rPr>
        <w:id w:val="-2010900093"/>
        <w:docPartObj>
          <w:docPartGallery w:val="Table of Contents"/>
          <w:docPartUnique/>
        </w:docPartObj>
      </w:sdtPr>
      <w:sdtEndPr>
        <w:rPr>
          <w:b/>
          <w:bCs/>
        </w:rPr>
      </w:sdtEndPr>
      <w:sdtContent>
        <w:p w:rsidR="000F7FB7" w:rsidRDefault="000F7FB7">
          <w:pPr>
            <w:pStyle w:val="affffff"/>
          </w:pPr>
          <w:r>
            <w:t>Оглавление</w:t>
          </w:r>
        </w:p>
        <w:p w:rsidR="008E6049" w:rsidRDefault="000F7FB7" w:rsidP="008E6049">
          <w:pPr>
            <w:pStyle w:val="3fc"/>
            <w:tabs>
              <w:tab w:val="right" w:leader="dot" w:pos="8789"/>
            </w:tabs>
            <w:ind w:left="0"/>
            <w:rPr>
              <w:noProof/>
            </w:rPr>
          </w:pPr>
          <w:r>
            <w:fldChar w:fldCharType="begin"/>
          </w:r>
          <w:r>
            <w:instrText xml:space="preserve"> TOC \o "1-3" \h \z \u </w:instrText>
          </w:r>
          <w:r>
            <w:fldChar w:fldCharType="separate"/>
          </w:r>
          <w:hyperlink w:anchor="_Toc97386221" w:history="1">
            <w:r w:rsidR="008E6049" w:rsidRPr="00AF6E90">
              <w:rPr>
                <w:rStyle w:val="afff8"/>
                <w:noProof/>
              </w:rPr>
              <w:t>Общие сведения</w:t>
            </w:r>
            <w:r w:rsidR="008E6049">
              <w:rPr>
                <w:noProof/>
                <w:webHidden/>
              </w:rPr>
              <w:tab/>
            </w:r>
            <w:r w:rsidR="008E6049">
              <w:rPr>
                <w:noProof/>
                <w:webHidden/>
              </w:rPr>
              <w:fldChar w:fldCharType="begin"/>
            </w:r>
            <w:r w:rsidR="008E6049">
              <w:rPr>
                <w:noProof/>
                <w:webHidden/>
              </w:rPr>
              <w:instrText xml:space="preserve"> PAGEREF _Toc97386221 \h </w:instrText>
            </w:r>
            <w:r w:rsidR="008E6049">
              <w:rPr>
                <w:noProof/>
                <w:webHidden/>
              </w:rPr>
            </w:r>
            <w:r w:rsidR="008E6049">
              <w:rPr>
                <w:noProof/>
                <w:webHidden/>
              </w:rPr>
              <w:fldChar w:fldCharType="separate"/>
            </w:r>
            <w:r w:rsidR="008E6049">
              <w:rPr>
                <w:noProof/>
                <w:webHidden/>
              </w:rPr>
              <w:t>1</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22" w:history="1">
            <w:r w:rsidR="00AF0FE4">
              <w:rPr>
                <w:rStyle w:val="afff8"/>
                <w:noProof/>
              </w:rPr>
              <w:t>О</w:t>
            </w:r>
            <w:r w:rsidR="008E6049" w:rsidRPr="00AF6E90">
              <w:rPr>
                <w:rStyle w:val="afff8"/>
                <w:noProof/>
              </w:rPr>
              <w:t>сновные положения</w:t>
            </w:r>
            <w:r w:rsidR="008E6049">
              <w:rPr>
                <w:noProof/>
                <w:webHidden/>
              </w:rPr>
              <w:tab/>
            </w:r>
            <w:r w:rsidR="008E6049">
              <w:rPr>
                <w:noProof/>
                <w:webHidden/>
              </w:rPr>
              <w:fldChar w:fldCharType="begin"/>
            </w:r>
            <w:r w:rsidR="008E6049">
              <w:rPr>
                <w:noProof/>
                <w:webHidden/>
              </w:rPr>
              <w:instrText xml:space="preserve"> PAGEREF _Toc97386222 \h </w:instrText>
            </w:r>
            <w:r w:rsidR="008E6049">
              <w:rPr>
                <w:noProof/>
                <w:webHidden/>
              </w:rPr>
            </w:r>
            <w:r w:rsidR="008E6049">
              <w:rPr>
                <w:noProof/>
                <w:webHidden/>
              </w:rPr>
              <w:fldChar w:fldCharType="separate"/>
            </w:r>
            <w:r w:rsidR="008E6049">
              <w:rPr>
                <w:noProof/>
                <w:webHidden/>
              </w:rPr>
              <w:t>1</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23" w:history="1">
            <w:r w:rsidR="00AF0FE4">
              <w:rPr>
                <w:rStyle w:val="afff8"/>
                <w:noProof/>
              </w:rPr>
              <w:t>З</w:t>
            </w:r>
            <w:r w:rsidR="008E6049" w:rsidRPr="00AF6E90">
              <w:rPr>
                <w:rStyle w:val="afff8"/>
                <w:noProof/>
              </w:rPr>
              <w:t>адачи Департамента</w:t>
            </w:r>
            <w:r w:rsidR="008E6049">
              <w:rPr>
                <w:noProof/>
                <w:webHidden/>
              </w:rPr>
              <w:tab/>
            </w:r>
            <w:r w:rsidR="008E6049">
              <w:rPr>
                <w:noProof/>
                <w:webHidden/>
              </w:rPr>
              <w:fldChar w:fldCharType="begin"/>
            </w:r>
            <w:r w:rsidR="008E6049">
              <w:rPr>
                <w:noProof/>
                <w:webHidden/>
              </w:rPr>
              <w:instrText xml:space="preserve"> PAGEREF _Toc97386223 \h </w:instrText>
            </w:r>
            <w:r w:rsidR="008E6049">
              <w:rPr>
                <w:noProof/>
                <w:webHidden/>
              </w:rPr>
            </w:r>
            <w:r w:rsidR="008E6049">
              <w:rPr>
                <w:noProof/>
                <w:webHidden/>
              </w:rPr>
              <w:fldChar w:fldCharType="separate"/>
            </w:r>
            <w:r w:rsidR="008E6049">
              <w:rPr>
                <w:noProof/>
                <w:webHidden/>
              </w:rPr>
              <w:t>1</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24" w:history="1">
            <w:r w:rsidR="008E6049" w:rsidRPr="00AF6E90">
              <w:rPr>
                <w:rStyle w:val="afff8"/>
                <w:noProof/>
              </w:rPr>
              <w:t>Взгляд вперед</w:t>
            </w:r>
            <w:r w:rsidR="008E6049">
              <w:rPr>
                <w:noProof/>
                <w:webHidden/>
              </w:rPr>
              <w:tab/>
            </w:r>
            <w:r w:rsidR="008E6049">
              <w:rPr>
                <w:noProof/>
                <w:webHidden/>
              </w:rPr>
              <w:fldChar w:fldCharType="begin"/>
            </w:r>
            <w:r w:rsidR="008E6049">
              <w:rPr>
                <w:noProof/>
                <w:webHidden/>
              </w:rPr>
              <w:instrText xml:space="preserve"> PAGEREF _Toc97386224 \h </w:instrText>
            </w:r>
            <w:r w:rsidR="008E6049">
              <w:rPr>
                <w:noProof/>
                <w:webHidden/>
              </w:rPr>
            </w:r>
            <w:r w:rsidR="008E6049">
              <w:rPr>
                <w:noProof/>
                <w:webHidden/>
              </w:rPr>
              <w:fldChar w:fldCharType="separate"/>
            </w:r>
            <w:r w:rsidR="008E6049">
              <w:rPr>
                <w:noProof/>
                <w:webHidden/>
              </w:rPr>
              <w:t>1</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25" w:history="1">
            <w:r w:rsidR="008E6049" w:rsidRPr="00AF6E90">
              <w:rPr>
                <w:rStyle w:val="afff8"/>
                <w:noProof/>
              </w:rPr>
              <w:t>Деятельность в цифрах</w:t>
            </w:r>
            <w:r w:rsidR="008E6049">
              <w:rPr>
                <w:noProof/>
                <w:webHidden/>
              </w:rPr>
              <w:tab/>
            </w:r>
            <w:r w:rsidR="008E6049">
              <w:rPr>
                <w:noProof/>
                <w:webHidden/>
              </w:rPr>
              <w:fldChar w:fldCharType="begin"/>
            </w:r>
            <w:r w:rsidR="008E6049">
              <w:rPr>
                <w:noProof/>
                <w:webHidden/>
              </w:rPr>
              <w:instrText xml:space="preserve"> PAGEREF _Toc97386225 \h </w:instrText>
            </w:r>
            <w:r w:rsidR="008E6049">
              <w:rPr>
                <w:noProof/>
                <w:webHidden/>
              </w:rPr>
            </w:r>
            <w:r w:rsidR="008E6049">
              <w:rPr>
                <w:noProof/>
                <w:webHidden/>
              </w:rPr>
              <w:fldChar w:fldCharType="separate"/>
            </w:r>
            <w:r w:rsidR="008E6049">
              <w:rPr>
                <w:noProof/>
                <w:webHidden/>
              </w:rPr>
              <w:t>2</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29" w:history="1">
            <w:r w:rsidR="008E6049" w:rsidRPr="00AF6E90">
              <w:rPr>
                <w:rStyle w:val="afff8"/>
                <w:noProof/>
              </w:rPr>
              <w:t>Экономический эффект государственного регулирования, млн. руб.</w:t>
            </w:r>
            <w:r w:rsidR="008E6049">
              <w:rPr>
                <w:noProof/>
                <w:webHidden/>
              </w:rPr>
              <w:tab/>
            </w:r>
            <w:r w:rsidR="008E6049">
              <w:rPr>
                <w:noProof/>
                <w:webHidden/>
              </w:rPr>
              <w:fldChar w:fldCharType="begin"/>
            </w:r>
            <w:r w:rsidR="008E6049">
              <w:rPr>
                <w:noProof/>
                <w:webHidden/>
              </w:rPr>
              <w:instrText xml:space="preserve"> PAGEREF _Toc97386229 \h </w:instrText>
            </w:r>
            <w:r w:rsidR="008E6049">
              <w:rPr>
                <w:noProof/>
                <w:webHidden/>
              </w:rPr>
            </w:r>
            <w:r w:rsidR="008E6049">
              <w:rPr>
                <w:noProof/>
                <w:webHidden/>
              </w:rPr>
              <w:fldChar w:fldCharType="separate"/>
            </w:r>
            <w:r w:rsidR="008E6049">
              <w:rPr>
                <w:noProof/>
                <w:webHidden/>
              </w:rPr>
              <w:t>4</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0" w:history="1">
            <w:r w:rsidR="008E6049" w:rsidRPr="00AF6E90">
              <w:rPr>
                <w:rStyle w:val="afff8"/>
                <w:noProof/>
              </w:rPr>
              <w:t>Ежегодный эффект от государственного регулирования тарифов</w:t>
            </w:r>
            <w:r w:rsidR="008E6049">
              <w:rPr>
                <w:noProof/>
                <w:webHidden/>
              </w:rPr>
              <w:tab/>
            </w:r>
            <w:r w:rsidR="008E6049">
              <w:rPr>
                <w:noProof/>
                <w:webHidden/>
              </w:rPr>
              <w:fldChar w:fldCharType="begin"/>
            </w:r>
            <w:r w:rsidR="008E6049">
              <w:rPr>
                <w:noProof/>
                <w:webHidden/>
              </w:rPr>
              <w:instrText xml:space="preserve"> PAGEREF _Toc97386230 \h </w:instrText>
            </w:r>
            <w:r w:rsidR="008E6049">
              <w:rPr>
                <w:noProof/>
                <w:webHidden/>
              </w:rPr>
            </w:r>
            <w:r w:rsidR="008E6049">
              <w:rPr>
                <w:noProof/>
                <w:webHidden/>
              </w:rPr>
              <w:fldChar w:fldCharType="separate"/>
            </w:r>
            <w:r w:rsidR="008E6049">
              <w:rPr>
                <w:noProof/>
                <w:webHidden/>
              </w:rPr>
              <w:t>4</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31" w:history="1">
            <w:r w:rsidR="008E6049" w:rsidRPr="00AF6E90">
              <w:rPr>
                <w:rStyle w:val="afff8"/>
                <w:noProof/>
              </w:rPr>
              <w:t>Тарифы на коммунальные ресурсы</w:t>
            </w:r>
            <w:r w:rsidR="008E6049">
              <w:rPr>
                <w:noProof/>
                <w:webHidden/>
              </w:rPr>
              <w:tab/>
            </w:r>
            <w:r w:rsidR="008E6049">
              <w:rPr>
                <w:noProof/>
                <w:webHidden/>
              </w:rPr>
              <w:fldChar w:fldCharType="begin"/>
            </w:r>
            <w:r w:rsidR="008E6049">
              <w:rPr>
                <w:noProof/>
                <w:webHidden/>
              </w:rPr>
              <w:instrText xml:space="preserve"> PAGEREF _Toc97386231 \h </w:instrText>
            </w:r>
            <w:r w:rsidR="008E6049">
              <w:rPr>
                <w:noProof/>
                <w:webHidden/>
              </w:rPr>
            </w:r>
            <w:r w:rsidR="008E6049">
              <w:rPr>
                <w:noProof/>
                <w:webHidden/>
              </w:rPr>
              <w:fldChar w:fldCharType="separate"/>
            </w:r>
            <w:r w:rsidR="008E6049">
              <w:rPr>
                <w:noProof/>
                <w:webHidden/>
              </w:rPr>
              <w:t>5</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2" w:history="1">
            <w:r w:rsidR="00AF0FE4">
              <w:rPr>
                <w:rStyle w:val="afff8"/>
                <w:noProof/>
              </w:rPr>
              <w:t>Э</w:t>
            </w:r>
            <w:r w:rsidR="008E6049" w:rsidRPr="00AF6E90">
              <w:rPr>
                <w:rStyle w:val="afff8"/>
                <w:noProof/>
              </w:rPr>
              <w:t>лектроснабжение</w:t>
            </w:r>
            <w:r w:rsidR="008E6049">
              <w:rPr>
                <w:noProof/>
                <w:webHidden/>
              </w:rPr>
              <w:tab/>
            </w:r>
            <w:r w:rsidR="008E6049">
              <w:rPr>
                <w:noProof/>
                <w:webHidden/>
              </w:rPr>
              <w:fldChar w:fldCharType="begin"/>
            </w:r>
            <w:r w:rsidR="008E6049">
              <w:rPr>
                <w:noProof/>
                <w:webHidden/>
              </w:rPr>
              <w:instrText xml:space="preserve"> PAGEREF _Toc97386232 \h </w:instrText>
            </w:r>
            <w:r w:rsidR="008E6049">
              <w:rPr>
                <w:noProof/>
                <w:webHidden/>
              </w:rPr>
            </w:r>
            <w:r w:rsidR="008E6049">
              <w:rPr>
                <w:noProof/>
                <w:webHidden/>
              </w:rPr>
              <w:fldChar w:fldCharType="separate"/>
            </w:r>
            <w:r w:rsidR="008E6049">
              <w:rPr>
                <w:noProof/>
                <w:webHidden/>
              </w:rPr>
              <w:t>5</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3" w:history="1">
            <w:r w:rsidR="00AF0FE4">
              <w:rPr>
                <w:rStyle w:val="afff8"/>
                <w:noProof/>
              </w:rPr>
              <w:t>Г</w:t>
            </w:r>
            <w:r w:rsidR="008E6049" w:rsidRPr="00AF6E90">
              <w:rPr>
                <w:rStyle w:val="afff8"/>
                <w:noProof/>
              </w:rPr>
              <w:t>азоснабжение</w:t>
            </w:r>
            <w:r w:rsidR="008E6049">
              <w:rPr>
                <w:noProof/>
                <w:webHidden/>
              </w:rPr>
              <w:tab/>
            </w:r>
            <w:r w:rsidR="008E6049">
              <w:rPr>
                <w:noProof/>
                <w:webHidden/>
              </w:rPr>
              <w:fldChar w:fldCharType="begin"/>
            </w:r>
            <w:r w:rsidR="008E6049">
              <w:rPr>
                <w:noProof/>
                <w:webHidden/>
              </w:rPr>
              <w:instrText xml:space="preserve"> PAGEREF _Toc97386233 \h </w:instrText>
            </w:r>
            <w:r w:rsidR="008E6049">
              <w:rPr>
                <w:noProof/>
                <w:webHidden/>
              </w:rPr>
            </w:r>
            <w:r w:rsidR="008E6049">
              <w:rPr>
                <w:noProof/>
                <w:webHidden/>
              </w:rPr>
              <w:fldChar w:fldCharType="separate"/>
            </w:r>
            <w:r w:rsidR="008E6049">
              <w:rPr>
                <w:noProof/>
                <w:webHidden/>
              </w:rPr>
              <w:t>8</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4" w:history="1">
            <w:r w:rsidR="00AF0FE4">
              <w:rPr>
                <w:rStyle w:val="afff8"/>
                <w:noProof/>
              </w:rPr>
              <w:t>Т</w:t>
            </w:r>
            <w:r w:rsidR="008E6049" w:rsidRPr="00AF6E90">
              <w:rPr>
                <w:rStyle w:val="afff8"/>
                <w:noProof/>
              </w:rPr>
              <w:t>еплоснабжение</w:t>
            </w:r>
            <w:r w:rsidR="008E6049">
              <w:rPr>
                <w:noProof/>
                <w:webHidden/>
              </w:rPr>
              <w:tab/>
            </w:r>
            <w:r w:rsidR="008E6049">
              <w:rPr>
                <w:noProof/>
                <w:webHidden/>
              </w:rPr>
              <w:fldChar w:fldCharType="begin"/>
            </w:r>
            <w:r w:rsidR="008E6049">
              <w:rPr>
                <w:noProof/>
                <w:webHidden/>
              </w:rPr>
              <w:instrText xml:space="preserve"> PAGEREF _Toc97386234 \h </w:instrText>
            </w:r>
            <w:r w:rsidR="008E6049">
              <w:rPr>
                <w:noProof/>
                <w:webHidden/>
              </w:rPr>
            </w:r>
            <w:r w:rsidR="008E6049">
              <w:rPr>
                <w:noProof/>
                <w:webHidden/>
              </w:rPr>
              <w:fldChar w:fldCharType="separate"/>
            </w:r>
            <w:r w:rsidR="008E6049">
              <w:rPr>
                <w:noProof/>
                <w:webHidden/>
              </w:rPr>
              <w:t>9</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5" w:history="1">
            <w:r w:rsidR="008E6049" w:rsidRPr="00AF6E90">
              <w:rPr>
                <w:rStyle w:val="afff8"/>
                <w:noProof/>
              </w:rPr>
              <w:t>Водоснабжение и водоотведение</w:t>
            </w:r>
            <w:r w:rsidR="008E6049">
              <w:rPr>
                <w:noProof/>
                <w:webHidden/>
              </w:rPr>
              <w:tab/>
            </w:r>
            <w:r w:rsidR="008E6049">
              <w:rPr>
                <w:noProof/>
                <w:webHidden/>
              </w:rPr>
              <w:fldChar w:fldCharType="begin"/>
            </w:r>
            <w:r w:rsidR="008E6049">
              <w:rPr>
                <w:noProof/>
                <w:webHidden/>
              </w:rPr>
              <w:instrText xml:space="preserve"> PAGEREF _Toc97386235 \h </w:instrText>
            </w:r>
            <w:r w:rsidR="008E6049">
              <w:rPr>
                <w:noProof/>
                <w:webHidden/>
              </w:rPr>
            </w:r>
            <w:r w:rsidR="008E6049">
              <w:rPr>
                <w:noProof/>
                <w:webHidden/>
              </w:rPr>
              <w:fldChar w:fldCharType="separate"/>
            </w:r>
            <w:r w:rsidR="008E6049">
              <w:rPr>
                <w:noProof/>
                <w:webHidden/>
              </w:rPr>
              <w:t>10</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6" w:history="1">
            <w:r w:rsidR="008E6049" w:rsidRPr="00AF6E90">
              <w:rPr>
                <w:rStyle w:val="afff8"/>
                <w:noProof/>
              </w:rPr>
              <w:t>Обращение с твердыми коммунальными отходами (ТКО)</w:t>
            </w:r>
            <w:r w:rsidR="008E6049">
              <w:rPr>
                <w:noProof/>
                <w:webHidden/>
              </w:rPr>
              <w:tab/>
            </w:r>
            <w:r w:rsidR="008E6049">
              <w:rPr>
                <w:noProof/>
                <w:webHidden/>
              </w:rPr>
              <w:fldChar w:fldCharType="begin"/>
            </w:r>
            <w:r w:rsidR="008E6049">
              <w:rPr>
                <w:noProof/>
                <w:webHidden/>
              </w:rPr>
              <w:instrText xml:space="preserve"> PAGEREF _Toc97386236 \h </w:instrText>
            </w:r>
            <w:r w:rsidR="008E6049">
              <w:rPr>
                <w:noProof/>
                <w:webHidden/>
              </w:rPr>
            </w:r>
            <w:r w:rsidR="008E6049">
              <w:rPr>
                <w:noProof/>
                <w:webHidden/>
              </w:rPr>
              <w:fldChar w:fldCharType="separate"/>
            </w:r>
            <w:r w:rsidR="008E6049">
              <w:rPr>
                <w:noProof/>
                <w:webHidden/>
              </w:rPr>
              <w:t>12</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37" w:history="1">
            <w:r w:rsidR="008E6049" w:rsidRPr="00AF6E90">
              <w:rPr>
                <w:rStyle w:val="afff8"/>
                <w:noProof/>
              </w:rPr>
              <w:t>Плата за технологическое присоединение</w:t>
            </w:r>
            <w:r w:rsidR="008E6049">
              <w:rPr>
                <w:noProof/>
                <w:webHidden/>
              </w:rPr>
              <w:tab/>
            </w:r>
            <w:r w:rsidR="008E6049">
              <w:rPr>
                <w:noProof/>
                <w:webHidden/>
              </w:rPr>
              <w:fldChar w:fldCharType="begin"/>
            </w:r>
            <w:r w:rsidR="008E6049">
              <w:rPr>
                <w:noProof/>
                <w:webHidden/>
              </w:rPr>
              <w:instrText xml:space="preserve"> PAGEREF _Toc97386237 \h </w:instrText>
            </w:r>
            <w:r w:rsidR="008E6049">
              <w:rPr>
                <w:noProof/>
                <w:webHidden/>
              </w:rPr>
            </w:r>
            <w:r w:rsidR="008E6049">
              <w:rPr>
                <w:noProof/>
                <w:webHidden/>
              </w:rPr>
              <w:fldChar w:fldCharType="separate"/>
            </w:r>
            <w:r w:rsidR="008E6049">
              <w:rPr>
                <w:noProof/>
                <w:webHidden/>
              </w:rPr>
              <w:t>14</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8" w:history="1">
            <w:r w:rsidR="008E6049" w:rsidRPr="00AF6E90">
              <w:rPr>
                <w:rStyle w:val="afff8"/>
                <w:noProof/>
              </w:rPr>
              <w:t>Технологическое присоединение к электрическим сетям</w:t>
            </w:r>
            <w:r w:rsidR="008E6049">
              <w:rPr>
                <w:noProof/>
                <w:webHidden/>
              </w:rPr>
              <w:tab/>
            </w:r>
            <w:r w:rsidR="008E6049">
              <w:rPr>
                <w:noProof/>
                <w:webHidden/>
              </w:rPr>
              <w:fldChar w:fldCharType="begin"/>
            </w:r>
            <w:r w:rsidR="008E6049">
              <w:rPr>
                <w:noProof/>
                <w:webHidden/>
              </w:rPr>
              <w:instrText xml:space="preserve"> PAGEREF _Toc97386238 \h </w:instrText>
            </w:r>
            <w:r w:rsidR="008E6049">
              <w:rPr>
                <w:noProof/>
                <w:webHidden/>
              </w:rPr>
            </w:r>
            <w:r w:rsidR="008E6049">
              <w:rPr>
                <w:noProof/>
                <w:webHidden/>
              </w:rPr>
              <w:fldChar w:fldCharType="separate"/>
            </w:r>
            <w:r w:rsidR="008E6049">
              <w:rPr>
                <w:noProof/>
                <w:webHidden/>
              </w:rPr>
              <w:t>14</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39" w:history="1">
            <w:r w:rsidR="008E6049" w:rsidRPr="00AF6E90">
              <w:rPr>
                <w:rStyle w:val="afff8"/>
                <w:noProof/>
              </w:rPr>
              <w:t>Подключение к газораспределительным сетям</w:t>
            </w:r>
            <w:r w:rsidR="008E6049">
              <w:rPr>
                <w:noProof/>
                <w:webHidden/>
              </w:rPr>
              <w:tab/>
            </w:r>
            <w:r w:rsidR="008E6049">
              <w:rPr>
                <w:noProof/>
                <w:webHidden/>
              </w:rPr>
              <w:fldChar w:fldCharType="begin"/>
            </w:r>
            <w:r w:rsidR="008E6049">
              <w:rPr>
                <w:noProof/>
                <w:webHidden/>
              </w:rPr>
              <w:instrText xml:space="preserve"> PAGEREF _Toc97386239 \h </w:instrText>
            </w:r>
            <w:r w:rsidR="008E6049">
              <w:rPr>
                <w:noProof/>
                <w:webHidden/>
              </w:rPr>
            </w:r>
            <w:r w:rsidR="008E6049">
              <w:rPr>
                <w:noProof/>
                <w:webHidden/>
              </w:rPr>
              <w:fldChar w:fldCharType="separate"/>
            </w:r>
            <w:r w:rsidR="008E6049">
              <w:rPr>
                <w:noProof/>
                <w:webHidden/>
              </w:rPr>
              <w:t>15</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40" w:history="1">
            <w:r w:rsidR="008E6049" w:rsidRPr="00AF6E90">
              <w:rPr>
                <w:rStyle w:val="afff8"/>
                <w:noProof/>
              </w:rPr>
              <w:t>Подключение к централизованным системам теплоснабжения</w:t>
            </w:r>
            <w:r w:rsidR="008E6049">
              <w:rPr>
                <w:noProof/>
                <w:webHidden/>
              </w:rPr>
              <w:tab/>
            </w:r>
            <w:r w:rsidR="008E6049">
              <w:rPr>
                <w:noProof/>
                <w:webHidden/>
              </w:rPr>
              <w:fldChar w:fldCharType="begin"/>
            </w:r>
            <w:r w:rsidR="008E6049">
              <w:rPr>
                <w:noProof/>
                <w:webHidden/>
              </w:rPr>
              <w:instrText xml:space="preserve"> PAGEREF _Toc97386240 \h </w:instrText>
            </w:r>
            <w:r w:rsidR="008E6049">
              <w:rPr>
                <w:noProof/>
                <w:webHidden/>
              </w:rPr>
            </w:r>
            <w:r w:rsidR="008E6049">
              <w:rPr>
                <w:noProof/>
                <w:webHidden/>
              </w:rPr>
              <w:fldChar w:fldCharType="separate"/>
            </w:r>
            <w:r w:rsidR="008E6049">
              <w:rPr>
                <w:noProof/>
                <w:webHidden/>
              </w:rPr>
              <w:t>15</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41" w:history="1">
            <w:r w:rsidR="008E6049" w:rsidRPr="00AF6E90">
              <w:rPr>
                <w:rStyle w:val="afff8"/>
                <w:noProof/>
              </w:rPr>
              <w:t>П</w:t>
            </w:r>
            <w:r w:rsidR="00AF0FE4">
              <w:rPr>
                <w:rStyle w:val="afff8"/>
                <w:noProof/>
              </w:rPr>
              <w:t>одключение</w:t>
            </w:r>
            <w:r w:rsidR="008E6049" w:rsidRPr="00AF6E90">
              <w:rPr>
                <w:rStyle w:val="afff8"/>
                <w:noProof/>
              </w:rPr>
              <w:t xml:space="preserve"> </w:t>
            </w:r>
            <w:r w:rsidR="00AF0FE4">
              <w:rPr>
                <w:rStyle w:val="afff8"/>
                <w:noProof/>
              </w:rPr>
              <w:t>к</w:t>
            </w:r>
            <w:r w:rsidR="008E6049" w:rsidRPr="00AF6E90">
              <w:rPr>
                <w:rStyle w:val="afff8"/>
                <w:noProof/>
              </w:rPr>
              <w:t xml:space="preserve"> </w:t>
            </w:r>
            <w:r w:rsidR="00AF0FE4">
              <w:rPr>
                <w:rStyle w:val="afff8"/>
                <w:noProof/>
              </w:rPr>
              <w:t>централизованным</w:t>
            </w:r>
            <w:r w:rsidR="008E6049" w:rsidRPr="00AF6E90">
              <w:rPr>
                <w:rStyle w:val="afff8"/>
                <w:noProof/>
              </w:rPr>
              <w:t xml:space="preserve"> </w:t>
            </w:r>
            <w:r w:rsidR="00AF0FE4">
              <w:rPr>
                <w:rStyle w:val="afff8"/>
                <w:noProof/>
              </w:rPr>
              <w:t>системам водоснабжения и водоотведения</w:t>
            </w:r>
            <w:r w:rsidR="008E6049">
              <w:rPr>
                <w:noProof/>
                <w:webHidden/>
              </w:rPr>
              <w:tab/>
            </w:r>
            <w:r w:rsidR="008E6049">
              <w:rPr>
                <w:noProof/>
                <w:webHidden/>
              </w:rPr>
              <w:fldChar w:fldCharType="begin"/>
            </w:r>
            <w:r w:rsidR="008E6049">
              <w:rPr>
                <w:noProof/>
                <w:webHidden/>
              </w:rPr>
              <w:instrText xml:space="preserve"> PAGEREF _Toc97386241 \h </w:instrText>
            </w:r>
            <w:r w:rsidR="008E6049">
              <w:rPr>
                <w:noProof/>
                <w:webHidden/>
              </w:rPr>
            </w:r>
            <w:r w:rsidR="008E6049">
              <w:rPr>
                <w:noProof/>
                <w:webHidden/>
              </w:rPr>
              <w:fldChar w:fldCharType="separate"/>
            </w:r>
            <w:r w:rsidR="008E6049">
              <w:rPr>
                <w:noProof/>
                <w:webHidden/>
              </w:rPr>
              <w:t>15</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42" w:history="1">
            <w:r w:rsidR="008E6049" w:rsidRPr="00AF6E90">
              <w:rPr>
                <w:rStyle w:val="afff8"/>
                <w:noProof/>
              </w:rPr>
              <w:t>Вопросы, требующие внимания</w:t>
            </w:r>
            <w:r w:rsidR="008E6049">
              <w:rPr>
                <w:noProof/>
                <w:webHidden/>
              </w:rPr>
              <w:tab/>
            </w:r>
            <w:r w:rsidR="008E6049">
              <w:rPr>
                <w:noProof/>
                <w:webHidden/>
              </w:rPr>
              <w:fldChar w:fldCharType="begin"/>
            </w:r>
            <w:r w:rsidR="008E6049">
              <w:rPr>
                <w:noProof/>
                <w:webHidden/>
              </w:rPr>
              <w:instrText xml:space="preserve"> PAGEREF _Toc97386242 \h </w:instrText>
            </w:r>
            <w:r w:rsidR="008E6049">
              <w:rPr>
                <w:noProof/>
                <w:webHidden/>
              </w:rPr>
            </w:r>
            <w:r w:rsidR="008E6049">
              <w:rPr>
                <w:noProof/>
                <w:webHidden/>
              </w:rPr>
              <w:fldChar w:fldCharType="separate"/>
            </w:r>
            <w:r w:rsidR="008E6049">
              <w:rPr>
                <w:noProof/>
                <w:webHidden/>
              </w:rPr>
              <w:t>17</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43" w:history="1">
            <w:r w:rsidR="008E6049" w:rsidRPr="00AF6E90">
              <w:rPr>
                <w:rStyle w:val="afff8"/>
                <w:noProof/>
              </w:rPr>
              <w:t>Согласование долгосрочных праметров регулирования тарифов для заключения концессионных соглашений в сфере теплоснабжения, водоснабжения и водоотведения</w:t>
            </w:r>
            <w:r w:rsidR="008E6049">
              <w:rPr>
                <w:noProof/>
                <w:webHidden/>
              </w:rPr>
              <w:tab/>
            </w:r>
            <w:r w:rsidR="008E6049">
              <w:rPr>
                <w:noProof/>
                <w:webHidden/>
              </w:rPr>
              <w:fldChar w:fldCharType="begin"/>
            </w:r>
            <w:r w:rsidR="008E6049">
              <w:rPr>
                <w:noProof/>
                <w:webHidden/>
              </w:rPr>
              <w:instrText xml:space="preserve"> PAGEREF _Toc97386243 \h </w:instrText>
            </w:r>
            <w:r w:rsidR="008E6049">
              <w:rPr>
                <w:noProof/>
                <w:webHidden/>
              </w:rPr>
            </w:r>
            <w:r w:rsidR="008E6049">
              <w:rPr>
                <w:noProof/>
                <w:webHidden/>
              </w:rPr>
              <w:fldChar w:fldCharType="separate"/>
            </w:r>
            <w:r w:rsidR="008E6049">
              <w:rPr>
                <w:noProof/>
                <w:webHidden/>
              </w:rPr>
              <w:t>17</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44" w:history="1">
            <w:r w:rsidR="00AF0FE4">
              <w:rPr>
                <w:rStyle w:val="afff8"/>
                <w:noProof/>
              </w:rPr>
              <w:t>Ц</w:t>
            </w:r>
            <w:r w:rsidR="008E6049" w:rsidRPr="00AF6E90">
              <w:rPr>
                <w:rStyle w:val="afff8"/>
                <w:noProof/>
              </w:rPr>
              <w:t>еновые зоны теплоснабжения</w:t>
            </w:r>
            <w:r w:rsidR="008E6049">
              <w:rPr>
                <w:noProof/>
                <w:webHidden/>
              </w:rPr>
              <w:tab/>
            </w:r>
            <w:r w:rsidR="008E6049">
              <w:rPr>
                <w:noProof/>
                <w:webHidden/>
              </w:rPr>
              <w:fldChar w:fldCharType="begin"/>
            </w:r>
            <w:r w:rsidR="008E6049">
              <w:rPr>
                <w:noProof/>
                <w:webHidden/>
              </w:rPr>
              <w:instrText xml:space="preserve"> PAGEREF _Toc97386244 \h </w:instrText>
            </w:r>
            <w:r w:rsidR="008E6049">
              <w:rPr>
                <w:noProof/>
                <w:webHidden/>
              </w:rPr>
            </w:r>
            <w:r w:rsidR="008E6049">
              <w:rPr>
                <w:noProof/>
                <w:webHidden/>
              </w:rPr>
              <w:fldChar w:fldCharType="separate"/>
            </w:r>
            <w:r w:rsidR="008E6049">
              <w:rPr>
                <w:noProof/>
                <w:webHidden/>
              </w:rPr>
              <w:t>17</w:t>
            </w:r>
            <w:r w:rsidR="008E6049">
              <w:rPr>
                <w:noProof/>
                <w:webHidden/>
              </w:rPr>
              <w:fldChar w:fldCharType="end"/>
            </w:r>
          </w:hyperlink>
        </w:p>
        <w:p w:rsidR="008E6049" w:rsidRDefault="00C547B0">
          <w:pPr>
            <w:pStyle w:val="2ff1"/>
            <w:tabs>
              <w:tab w:val="right" w:leader="dot" w:pos="8789"/>
            </w:tabs>
            <w:rPr>
              <w:rFonts w:eastAsiaTheme="minorEastAsia"/>
              <w:noProof/>
              <w:color w:val="auto"/>
              <w:kern w:val="0"/>
              <w:sz w:val="22"/>
              <w:szCs w:val="22"/>
            </w:rPr>
          </w:pPr>
          <w:hyperlink w:anchor="_Toc97386245" w:history="1">
            <w:r w:rsidR="00AF0FE4">
              <w:rPr>
                <w:rStyle w:val="afff8"/>
                <w:noProof/>
              </w:rPr>
              <w:t>Но</w:t>
            </w:r>
            <w:r w:rsidR="008E6049" w:rsidRPr="00AF6E90">
              <w:rPr>
                <w:rStyle w:val="afff8"/>
                <w:noProof/>
              </w:rPr>
              <w:t>рмативы топливно-энергетических ресурсов</w:t>
            </w:r>
            <w:r w:rsidR="008E6049">
              <w:rPr>
                <w:noProof/>
                <w:webHidden/>
              </w:rPr>
              <w:tab/>
            </w:r>
            <w:r w:rsidR="008E6049">
              <w:rPr>
                <w:noProof/>
                <w:webHidden/>
              </w:rPr>
              <w:fldChar w:fldCharType="begin"/>
            </w:r>
            <w:r w:rsidR="008E6049">
              <w:rPr>
                <w:noProof/>
                <w:webHidden/>
              </w:rPr>
              <w:instrText xml:space="preserve"> PAGEREF _Toc97386245 \h </w:instrText>
            </w:r>
            <w:r w:rsidR="008E6049">
              <w:rPr>
                <w:noProof/>
                <w:webHidden/>
              </w:rPr>
            </w:r>
            <w:r w:rsidR="008E6049">
              <w:rPr>
                <w:noProof/>
                <w:webHidden/>
              </w:rPr>
              <w:fldChar w:fldCharType="separate"/>
            </w:r>
            <w:r w:rsidR="008E6049">
              <w:rPr>
                <w:noProof/>
                <w:webHidden/>
              </w:rPr>
              <w:t>17</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46" w:history="1">
            <w:r w:rsidR="008E6049" w:rsidRPr="00AF6E90">
              <w:rPr>
                <w:rStyle w:val="afff8"/>
                <w:noProof/>
              </w:rPr>
              <w:t>Обеспечение эффективного и устойчивого функционирования организаций энергетического комплекса</w:t>
            </w:r>
            <w:r w:rsidR="008E6049">
              <w:rPr>
                <w:noProof/>
                <w:webHidden/>
              </w:rPr>
              <w:tab/>
            </w:r>
            <w:r w:rsidR="008E6049">
              <w:rPr>
                <w:noProof/>
                <w:webHidden/>
              </w:rPr>
              <w:fldChar w:fldCharType="begin"/>
            </w:r>
            <w:r w:rsidR="008E6049">
              <w:rPr>
                <w:noProof/>
                <w:webHidden/>
              </w:rPr>
              <w:instrText xml:space="preserve"> PAGEREF _Toc97386246 \h </w:instrText>
            </w:r>
            <w:r w:rsidR="008E6049">
              <w:rPr>
                <w:noProof/>
                <w:webHidden/>
              </w:rPr>
            </w:r>
            <w:r w:rsidR="008E6049">
              <w:rPr>
                <w:noProof/>
                <w:webHidden/>
              </w:rPr>
              <w:fldChar w:fldCharType="separate"/>
            </w:r>
            <w:r w:rsidR="008E6049">
              <w:rPr>
                <w:noProof/>
                <w:webHidden/>
              </w:rPr>
              <w:t>18</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47" w:history="1">
            <w:r w:rsidR="008E6049" w:rsidRPr="00AF6E90">
              <w:rPr>
                <w:rStyle w:val="afff8"/>
                <w:noProof/>
              </w:rPr>
              <w:t>Контрольно-надзорная деятельность</w:t>
            </w:r>
            <w:r w:rsidR="008E6049">
              <w:rPr>
                <w:noProof/>
                <w:webHidden/>
              </w:rPr>
              <w:tab/>
            </w:r>
            <w:r w:rsidR="008E6049">
              <w:rPr>
                <w:noProof/>
                <w:webHidden/>
              </w:rPr>
              <w:fldChar w:fldCharType="begin"/>
            </w:r>
            <w:r w:rsidR="008E6049">
              <w:rPr>
                <w:noProof/>
                <w:webHidden/>
              </w:rPr>
              <w:instrText xml:space="preserve"> PAGEREF _Toc97386247 \h </w:instrText>
            </w:r>
            <w:r w:rsidR="008E6049">
              <w:rPr>
                <w:noProof/>
                <w:webHidden/>
              </w:rPr>
            </w:r>
            <w:r w:rsidR="008E6049">
              <w:rPr>
                <w:noProof/>
                <w:webHidden/>
              </w:rPr>
              <w:fldChar w:fldCharType="separate"/>
            </w:r>
            <w:r w:rsidR="008E6049">
              <w:rPr>
                <w:noProof/>
                <w:webHidden/>
              </w:rPr>
              <w:t>19</w:t>
            </w:r>
            <w:r w:rsidR="008E6049">
              <w:rPr>
                <w:noProof/>
                <w:webHidden/>
              </w:rPr>
              <w:fldChar w:fldCharType="end"/>
            </w:r>
          </w:hyperlink>
        </w:p>
        <w:p w:rsidR="008E6049" w:rsidRDefault="00C547B0">
          <w:pPr>
            <w:pStyle w:val="1f8"/>
            <w:tabs>
              <w:tab w:val="right" w:leader="dot" w:pos="8789"/>
            </w:tabs>
            <w:rPr>
              <w:rFonts w:eastAsiaTheme="minorEastAsia"/>
              <w:noProof/>
              <w:color w:val="auto"/>
              <w:kern w:val="0"/>
              <w:sz w:val="22"/>
              <w:szCs w:val="22"/>
            </w:rPr>
          </w:pPr>
          <w:hyperlink w:anchor="_Toc97386248" w:history="1">
            <w:r w:rsidR="008E6049" w:rsidRPr="00AF6E90">
              <w:rPr>
                <w:rStyle w:val="afff8"/>
                <w:noProof/>
              </w:rPr>
              <w:t>Контактные данные</w:t>
            </w:r>
            <w:r w:rsidR="008E6049">
              <w:rPr>
                <w:noProof/>
                <w:webHidden/>
              </w:rPr>
              <w:tab/>
            </w:r>
            <w:r w:rsidR="008E6049">
              <w:rPr>
                <w:noProof/>
                <w:webHidden/>
              </w:rPr>
              <w:fldChar w:fldCharType="begin"/>
            </w:r>
            <w:r w:rsidR="008E6049">
              <w:rPr>
                <w:noProof/>
                <w:webHidden/>
              </w:rPr>
              <w:instrText xml:space="preserve"> PAGEREF _Toc97386248 \h </w:instrText>
            </w:r>
            <w:r w:rsidR="008E6049">
              <w:rPr>
                <w:noProof/>
                <w:webHidden/>
              </w:rPr>
            </w:r>
            <w:r w:rsidR="008E6049">
              <w:rPr>
                <w:noProof/>
                <w:webHidden/>
              </w:rPr>
              <w:fldChar w:fldCharType="separate"/>
            </w:r>
            <w:r w:rsidR="008E6049">
              <w:rPr>
                <w:noProof/>
                <w:webHidden/>
              </w:rPr>
              <w:t>20</w:t>
            </w:r>
            <w:r w:rsidR="008E6049">
              <w:rPr>
                <w:noProof/>
                <w:webHidden/>
              </w:rPr>
              <w:fldChar w:fldCharType="end"/>
            </w:r>
          </w:hyperlink>
        </w:p>
        <w:p w:rsidR="008E6049" w:rsidRDefault="008E6049">
          <w:pPr>
            <w:pStyle w:val="2ff1"/>
            <w:tabs>
              <w:tab w:val="right" w:leader="dot" w:pos="8789"/>
            </w:tabs>
            <w:rPr>
              <w:rFonts w:eastAsiaTheme="minorEastAsia"/>
              <w:noProof/>
              <w:color w:val="auto"/>
              <w:kern w:val="0"/>
              <w:sz w:val="22"/>
              <w:szCs w:val="22"/>
            </w:rPr>
          </w:pPr>
        </w:p>
        <w:p w:rsidR="000F7FB7" w:rsidRDefault="000F7FB7">
          <w:r>
            <w:rPr>
              <w:b/>
              <w:bCs/>
            </w:rPr>
            <w:fldChar w:fldCharType="end"/>
          </w:r>
        </w:p>
      </w:sdtContent>
    </w:sdt>
    <w:p w:rsidR="007E21FD" w:rsidRDefault="007E21FD">
      <w:pPr>
        <w:rPr>
          <w:b/>
          <w:bCs/>
        </w:rPr>
      </w:pPr>
    </w:p>
    <w:p w:rsidR="007E21FD" w:rsidRDefault="007E21FD">
      <w:pPr>
        <w:sectPr w:rsidR="007E21FD" w:rsidSect="00615ED4">
          <w:headerReference w:type="default" r:id="rId19"/>
          <w:pgSz w:w="11907" w:h="16839" w:code="9"/>
          <w:pgMar w:top="2520" w:right="1554" w:bottom="1800" w:left="1554" w:header="864" w:footer="709" w:gutter="0"/>
          <w:pgNumType w:start="0"/>
          <w:cols w:space="720"/>
          <w:titlePg/>
          <w:docGrid w:linePitch="360"/>
        </w:sectPr>
      </w:pPr>
    </w:p>
    <w:p w:rsidR="007E21FD" w:rsidRPr="00F91951" w:rsidRDefault="001C0AA8">
      <w:pPr>
        <w:pStyle w:val="11"/>
      </w:pPr>
      <w:bookmarkStart w:id="3" w:name="_Toc325634774"/>
      <w:bookmarkStart w:id="4" w:name="_Toc329165210"/>
      <w:bookmarkStart w:id="5" w:name="_Toc97309415"/>
      <w:bookmarkStart w:id="6" w:name="_Toc97386221"/>
      <w:r>
        <w:lastRenderedPageBreak/>
        <w:t>Общие сведения</w:t>
      </w:r>
      <w:bookmarkEnd w:id="3"/>
      <w:bookmarkEnd w:id="4"/>
      <w:bookmarkEnd w:id="5"/>
      <w:bookmarkEnd w:id="6"/>
    </w:p>
    <w:p w:rsidR="007E21FD" w:rsidRPr="00F91951" w:rsidRDefault="003509CF">
      <w:pPr>
        <w:pStyle w:val="23"/>
      </w:pPr>
      <w:bookmarkStart w:id="7" w:name="_Toc97309416"/>
      <w:bookmarkStart w:id="8" w:name="_Toc97386222"/>
      <w:r>
        <w:t>основные положения</w:t>
      </w:r>
      <w:bookmarkEnd w:id="7"/>
      <w:bookmarkEnd w:id="8"/>
    </w:p>
    <w:p w:rsidR="000F4CD2" w:rsidRPr="00732244" w:rsidRDefault="000F4CD2" w:rsidP="009419C1">
      <w:pPr>
        <w:ind w:firstLine="709"/>
        <w:jc w:val="both"/>
      </w:pPr>
      <w:r w:rsidRPr="00732244">
        <w:t>Департамент энергетики и тарифов Ивановской области (далее - Департамент) - орган исполнительной власти, входит в систему органов исполнительной власти Ивановской области, и осуществляет государственное регулирование цен (тарифов) на электрическую и тепловую энергию, на услуги организаций водопроводно-канализационного хозяйства, операторов и регионального оператора по обращению с твердыми коммунальными отходами, тарифов на социально значимые услуги и услуги в сфере транспорта, розничных цен на природный и сжиженный углеводородный газ, специальных надбавок к тарифам на транспортировку газа по газораспределительным сетям, а также контроль за их применением в соответствии с действующим законодательством.</w:t>
      </w:r>
    </w:p>
    <w:p w:rsidR="007E21FD" w:rsidRPr="00732244" w:rsidRDefault="000F4CD2" w:rsidP="009419C1">
      <w:pPr>
        <w:ind w:firstLine="709"/>
        <w:jc w:val="both"/>
      </w:pPr>
      <w:r w:rsidRPr="00732244">
        <w:t>Структура Департамента утверждена указом Губернатора Ивановской области от 16.12.2014 № 252-уг, положение - постановлением Правительства Ивановской области от 25.12.2014 № 577-п.</w:t>
      </w:r>
    </w:p>
    <w:p w:rsidR="007E21FD" w:rsidRPr="00F91951" w:rsidRDefault="00E25F89">
      <w:pPr>
        <w:pStyle w:val="23"/>
      </w:pPr>
      <w:bookmarkStart w:id="9" w:name="_Toc97309417"/>
      <w:bookmarkStart w:id="10" w:name="_Toc97386223"/>
      <w:r>
        <w:t>задачи Департамента</w:t>
      </w:r>
      <w:bookmarkEnd w:id="9"/>
      <w:bookmarkEnd w:id="10"/>
    </w:p>
    <w:p w:rsidR="007E21FD" w:rsidRDefault="00E25F89" w:rsidP="009419C1">
      <w:pPr>
        <w:pStyle w:val="affff4"/>
        <w:numPr>
          <w:ilvl w:val="0"/>
          <w:numId w:val="24"/>
        </w:numPr>
        <w:ind w:left="709" w:hanging="349"/>
        <w:jc w:val="both"/>
      </w:pPr>
      <w:r w:rsidRPr="00E25F89">
        <w:t>Соблюдение баланса экономических интересов поставщиков и потребителей</w:t>
      </w:r>
      <w:r w:rsidR="00EB7965">
        <w:t xml:space="preserve"> электрической и тепловой энергии (мощности), газа, услуг в сфере водоснабжения и водоотведения, в сфере обращения с твердыми коммунальными отходами, транспорта и социально-значимых услуг</w:t>
      </w:r>
      <w:r w:rsidR="00EB7965" w:rsidRPr="00EB7965">
        <w:t xml:space="preserve"> </w:t>
      </w:r>
      <w:r w:rsidR="00EB7965">
        <w:t>электрической энергии (мощности), обеспечивающего доступность этих товаров и услуг для потребителей и эффективное функционирование регулируемых организаций.</w:t>
      </w:r>
    </w:p>
    <w:p w:rsidR="00EB7965" w:rsidRDefault="00EB7965" w:rsidP="009419C1">
      <w:pPr>
        <w:pStyle w:val="affff4"/>
        <w:numPr>
          <w:ilvl w:val="0"/>
          <w:numId w:val="24"/>
        </w:numPr>
        <w:ind w:left="709" w:hanging="349"/>
        <w:jc w:val="both"/>
      </w:pPr>
      <w:r>
        <w:t>Недопущение установления для отдельных категорий потребителей льготных цен (тарифов) за счет повышения цен (тарифов) для других потребителей.</w:t>
      </w:r>
    </w:p>
    <w:p w:rsidR="00EB7965" w:rsidRDefault="00EB7965" w:rsidP="009419C1">
      <w:pPr>
        <w:pStyle w:val="affff4"/>
        <w:numPr>
          <w:ilvl w:val="0"/>
          <w:numId w:val="24"/>
        </w:numPr>
        <w:ind w:left="709" w:hanging="349"/>
        <w:jc w:val="both"/>
      </w:pPr>
      <w:r>
        <w:t>Создание экономических стимулов обеспечения повышения энергетической эффективности систем тепло- и электроснабжения и использования энергосберегающих технологий в процессах использования тепловой энергии (мощности) и электрической энергии (мощности).</w:t>
      </w:r>
    </w:p>
    <w:p w:rsidR="00EB7965" w:rsidRDefault="00EB7965" w:rsidP="009419C1">
      <w:pPr>
        <w:pStyle w:val="affff4"/>
        <w:numPr>
          <w:ilvl w:val="0"/>
          <w:numId w:val="24"/>
        </w:numPr>
        <w:ind w:left="709" w:hanging="349"/>
        <w:jc w:val="both"/>
      </w:pPr>
      <w:r>
        <w:t>Обеспечение доступности для потребителей и иных лиц информации о формировании тарифов и надбавок.</w:t>
      </w:r>
    </w:p>
    <w:p w:rsidR="00EB7965" w:rsidRPr="00F91951" w:rsidRDefault="00EB7965" w:rsidP="009419C1">
      <w:pPr>
        <w:pStyle w:val="affff4"/>
        <w:numPr>
          <w:ilvl w:val="0"/>
          <w:numId w:val="24"/>
        </w:numPr>
        <w:ind w:left="709" w:hanging="349"/>
        <w:jc w:val="both"/>
      </w:pPr>
      <w:r>
        <w:t>Участие в реализации основных направлений государственной политики по вопросам развития и устойчивого функционирования энергетики, энергосбережения и повышения энергетической эффективности на территории Ивановской области.</w:t>
      </w:r>
    </w:p>
    <w:p w:rsidR="007E21FD" w:rsidRPr="00F91951" w:rsidRDefault="003509CF">
      <w:pPr>
        <w:pStyle w:val="23"/>
      </w:pPr>
      <w:bookmarkStart w:id="11" w:name="_Toc97309418"/>
      <w:bookmarkStart w:id="12" w:name="_Toc97386224"/>
      <w:r>
        <w:t>Взгляд вперед</w:t>
      </w:r>
      <w:bookmarkEnd w:id="11"/>
      <w:bookmarkEnd w:id="12"/>
    </w:p>
    <w:p w:rsidR="002A1788" w:rsidRDefault="00DD381E" w:rsidP="009419C1">
      <w:pPr>
        <w:jc w:val="both"/>
      </w:pPr>
      <w:r>
        <w:t>«</w:t>
      </w:r>
      <w:r w:rsidR="002A1788" w:rsidRPr="002A1788">
        <w:t>В целях справедливого тарифного регулирования</w:t>
      </w:r>
      <w:r w:rsidR="002A1788">
        <w:t xml:space="preserve">, постепенного выравнивания тарифов и оптимизации расходов областного бюджета на компенсацию регулируемым организациям </w:t>
      </w:r>
      <w:proofErr w:type="spellStart"/>
      <w:r w:rsidR="002A1788">
        <w:t>межтарифной</w:t>
      </w:r>
      <w:proofErr w:type="spellEnd"/>
      <w:r w:rsidR="002A1788">
        <w:t xml:space="preserve"> разницы Департамент под руководством </w:t>
      </w:r>
      <w:r w:rsidR="002A1788" w:rsidRPr="002A1788">
        <w:t>Правительств</w:t>
      </w:r>
      <w:r w:rsidR="002A1788">
        <w:t>а</w:t>
      </w:r>
      <w:r w:rsidR="002A1788" w:rsidRPr="002A1788">
        <w:t xml:space="preserve"> Ивановской области реализует политик</w:t>
      </w:r>
      <w:r w:rsidR="002A1788">
        <w:t>у</w:t>
      </w:r>
      <w:r w:rsidR="002A1788" w:rsidRPr="002A1788">
        <w:t xml:space="preserve"> сдерживания темпов роста тарифов для населения, сложившихся вы</w:t>
      </w:r>
      <w:r w:rsidR="00F77BFD">
        <w:t xml:space="preserve">ше среднего уровня по региону, </w:t>
      </w:r>
      <w:r w:rsidR="00F77BFD" w:rsidRPr="00F77BFD">
        <w:t xml:space="preserve">тарифы </w:t>
      </w:r>
      <w:r w:rsidR="00F77BFD">
        <w:t>ниже средних увеличиваются</w:t>
      </w:r>
      <w:r>
        <w:t xml:space="preserve"> чуть</w:t>
      </w:r>
      <w:r w:rsidR="00F77BFD">
        <w:t xml:space="preserve"> более высокими темпами с целью приведения к </w:t>
      </w:r>
      <w:r w:rsidR="00F77BFD" w:rsidRPr="00F77BFD">
        <w:t>среднеобластно</w:t>
      </w:r>
      <w:r w:rsidR="00F77BFD">
        <w:t xml:space="preserve">му </w:t>
      </w:r>
      <w:r w:rsidR="00F77BFD" w:rsidRPr="00F77BFD">
        <w:t>уровн</w:t>
      </w:r>
      <w:r w:rsidR="00F77BFD">
        <w:t>ю</w:t>
      </w:r>
      <w:r w:rsidR="00F77BFD" w:rsidRPr="00F77BFD">
        <w:t>.</w:t>
      </w:r>
      <w:r>
        <w:t>»</w:t>
      </w:r>
    </w:p>
    <w:p w:rsidR="007E21FD" w:rsidRPr="002A1788" w:rsidRDefault="00E25F89" w:rsidP="002A1788">
      <w:r w:rsidRPr="002A1788">
        <w:t>Морева Евгения Николаевна</w:t>
      </w:r>
      <w:r w:rsidR="003509CF" w:rsidRPr="002A1788">
        <w:br/>
      </w:r>
      <w:r w:rsidRPr="002A1788">
        <w:t>Начальник Департамента энергетики и тарифов Ивановской области</w:t>
      </w:r>
      <w:r w:rsidR="003509CF" w:rsidRPr="002A1788">
        <w:br/>
      </w:r>
      <w:sdt>
        <w:sdtPr>
          <w:alias w:val="Щелкните стрелку, чтобы выбрать дату"/>
          <w:tag w:val="Щелкните стрелку, чтобы выбрать дату"/>
          <w:id w:val="-405455016"/>
          <w:date w:fullDate="2022-03-15T00:00:00Z">
            <w:dateFormat w:val="d MMMM yyyy г."/>
            <w:lid w:val="ru-RU"/>
            <w:storeMappedDataAs w:val="dateTime"/>
            <w:calendar w:val="gregorian"/>
          </w:date>
        </w:sdtPr>
        <w:sdtContent>
          <w:r w:rsidRPr="002A1788">
            <w:t>15 марта 2022 г.</w:t>
          </w:r>
        </w:sdtContent>
      </w:sdt>
    </w:p>
    <w:p w:rsidR="007E21FD" w:rsidRDefault="001C0AA8">
      <w:pPr>
        <w:pStyle w:val="11"/>
      </w:pPr>
      <w:bookmarkStart w:id="13" w:name="_Toc325634775"/>
      <w:bookmarkStart w:id="14" w:name="_Toc329165211"/>
      <w:bookmarkStart w:id="15" w:name="_Toc97309419"/>
      <w:bookmarkStart w:id="16" w:name="_Toc97386225"/>
      <w:r>
        <w:lastRenderedPageBreak/>
        <w:t>Деятельность в цифрах</w:t>
      </w:r>
      <w:bookmarkEnd w:id="13"/>
      <w:bookmarkEnd w:id="14"/>
      <w:bookmarkEnd w:id="15"/>
      <w:bookmarkEnd w:id="16"/>
    </w:p>
    <w:p w:rsidR="0021618D" w:rsidRDefault="00E018D7" w:rsidP="0021618D">
      <w:r>
        <w:rPr>
          <w:noProof/>
        </w:rPr>
        <mc:AlternateContent>
          <mc:Choice Requires="wps">
            <w:drawing>
              <wp:anchor distT="0" distB="0" distL="114300" distR="114300" simplePos="0" relativeHeight="251635712" behindDoc="0" locked="0" layoutInCell="0" allowOverlap="1" wp14:anchorId="5EE4453C" wp14:editId="764102EF">
                <wp:simplePos x="0" y="0"/>
                <wp:positionH relativeFrom="margin">
                  <wp:align>left</wp:align>
                </wp:positionH>
                <wp:positionV relativeFrom="margin">
                  <wp:align>top</wp:align>
                </wp:positionV>
                <wp:extent cx="2278380" cy="8086725"/>
                <wp:effectExtent l="76200" t="57150" r="81280" b="99060"/>
                <wp:wrapSquare wrapText="bothSides"/>
                <wp:docPr id="296" name="Авто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8086725"/>
                        </a:xfrm>
                        <a:prstGeom prst="roundRect">
                          <a:avLst>
                            <a:gd name="adj" fmla="val 10394"/>
                          </a:avLst>
                        </a:prstGeom>
                        <a:ln>
                          <a:headEnd/>
                          <a:tailEnd/>
                        </a:ln>
                      </wps:spPr>
                      <wps:style>
                        <a:lnRef idx="3">
                          <a:schemeClr val="lt1"/>
                        </a:lnRef>
                        <a:fillRef idx="1">
                          <a:schemeClr val="accent3"/>
                        </a:fillRef>
                        <a:effectRef idx="1">
                          <a:schemeClr val="accent3"/>
                        </a:effectRef>
                        <a:fontRef idx="minor">
                          <a:schemeClr val="lt1"/>
                        </a:fontRef>
                      </wps:style>
                      <wps:txbx>
                        <w:txbxContent>
                          <w:p w:rsidR="00C547B0" w:rsidRPr="00E018D7" w:rsidRDefault="00C547B0" w:rsidP="00772D7D">
                            <w:pPr>
                              <w:spacing w:line="264" w:lineRule="auto"/>
                              <w:rPr>
                                <w:color w:val="FFFFFF" w:themeColor="background1"/>
                                <w:sz w:val="22"/>
                                <w:szCs w:val="22"/>
                              </w:rPr>
                            </w:pPr>
                            <w:r w:rsidRPr="00E018D7">
                              <w:rPr>
                                <w:color w:val="FFFFFF" w:themeColor="background1"/>
                                <w:sz w:val="22"/>
                                <w:szCs w:val="22"/>
                              </w:rPr>
                              <w:t>Департамент осуществляет тарифное регулирование порядка 420 организаций по 16 направлениям.</w:t>
                            </w:r>
                          </w:p>
                          <w:p w:rsidR="00C547B0" w:rsidRPr="00E018D7" w:rsidRDefault="00C547B0" w:rsidP="00772D7D">
                            <w:pPr>
                              <w:spacing w:line="264" w:lineRule="auto"/>
                              <w:rPr>
                                <w:color w:val="FFFFFF" w:themeColor="background1"/>
                                <w:sz w:val="22"/>
                                <w:szCs w:val="22"/>
                              </w:rPr>
                            </w:pPr>
                            <w:r w:rsidRPr="00E018D7">
                              <w:rPr>
                                <w:color w:val="FFFFFF" w:themeColor="background1"/>
                                <w:sz w:val="22"/>
                                <w:szCs w:val="22"/>
                              </w:rPr>
                              <w:t>Важнейшими из них являются электроэнергетика, теплоснабжение, водоснабжение и водоотведение, газоснабжение, обращение с твердыми коммунальными отходами, где деятельность регулируемых организаций связана с предоставлением коммунальных услуг гражданам.</w:t>
                            </w:r>
                          </w:p>
                          <w:p w:rsidR="00C547B0" w:rsidRPr="00E018D7" w:rsidRDefault="00C547B0" w:rsidP="00772D7D">
                            <w:pPr>
                              <w:spacing w:line="264" w:lineRule="auto"/>
                              <w:rPr>
                                <w:color w:val="FFFFFF" w:themeColor="background1"/>
                                <w:sz w:val="22"/>
                                <w:szCs w:val="22"/>
                              </w:rPr>
                            </w:pPr>
                            <w:r w:rsidRPr="00E018D7">
                              <w:rPr>
                                <w:color w:val="FFFFFF" w:themeColor="background1"/>
                                <w:sz w:val="22"/>
                                <w:szCs w:val="22"/>
                              </w:rPr>
                              <w:t>Основной задачей в сфере регулирования тарифов является соблюдение баланса интересов производителей регулируемых видов услуг и потребителей, в том числе населения. Выполнение указанной задачи обеспечивается, в первую очередь, принятием экономически обоснованных тарифных решений.</w:t>
                            </w: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100000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E4453C" id="Автофигура 2" o:spid="_x0000_s1028" style="position:absolute;margin-left:0;margin-top:0;width:179.4pt;height:636.75pt;z-index:251635712;visibility:visible;mso-wrap-style:square;mso-width-percent:400;mso-height-percent:1000;mso-wrap-distance-left:9pt;mso-wrap-distance-top:0;mso-wrap-distance-right:9pt;mso-wrap-distance-bottom:0;mso-position-horizontal:left;mso-position-horizontal-relative:margin;mso-position-vertical:top;mso-position-vertical-relative:margin;mso-width-percent:400;mso-height-percent:100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" o:allowincell="f" fillcolor="#ac956e [3206]" strokecolor="white [3201]" strokeweight="3pt">
                <v:shadow on="t" color="black" opacity="24903f" origin=",.5" offset="0,.55556mm"/>
                <v:textbox inset="18pt,18pt,18pt,18pt">
                  <w:txbxContent>
                    <w:p w:rsidR="009419C1" w:rsidRPr="00E018D7" w:rsidRDefault="009419C1" w:rsidP="00772D7D">
                      <w:pPr>
                        <w:spacing w:line="264" w:lineRule="auto"/>
                        <w:rPr>
                          <w:color w:val="FFFFFF" w:themeColor="background1"/>
                          <w:sz w:val="22"/>
                          <w:szCs w:val="22"/>
                        </w:rPr>
                      </w:pPr>
                      <w:r w:rsidRPr="00E018D7">
                        <w:rPr>
                          <w:color w:val="FFFFFF" w:themeColor="background1"/>
                          <w:sz w:val="22"/>
                          <w:szCs w:val="22"/>
                        </w:rPr>
                        <w:t>Департамент осуществляет тарифное регулирование порядка 420 организаций по 16 направлениям.</w:t>
                      </w:r>
                    </w:p>
                    <w:p w:rsidR="009419C1" w:rsidRPr="00E018D7" w:rsidRDefault="009419C1" w:rsidP="00772D7D">
                      <w:pPr>
                        <w:spacing w:line="264" w:lineRule="auto"/>
                        <w:rPr>
                          <w:color w:val="FFFFFF" w:themeColor="background1"/>
                          <w:sz w:val="22"/>
                          <w:szCs w:val="22"/>
                        </w:rPr>
                      </w:pPr>
                      <w:r w:rsidRPr="00E018D7">
                        <w:rPr>
                          <w:color w:val="FFFFFF" w:themeColor="background1"/>
                          <w:sz w:val="22"/>
                          <w:szCs w:val="22"/>
                        </w:rPr>
                        <w:t>Важнейшими из них являются электроэнергетика, теплоснабжение, водоснабжение и водоотведение, газоснабжение, обращение с твердыми коммунальными отходами, где деятельность регулируемых организаций связана с предоставлением коммунальных услуг гражданам.</w:t>
                      </w:r>
                    </w:p>
                    <w:p w:rsidR="009419C1" w:rsidRPr="00E018D7" w:rsidRDefault="009419C1" w:rsidP="00772D7D">
                      <w:pPr>
                        <w:spacing w:line="264" w:lineRule="auto"/>
                        <w:rPr>
                          <w:color w:val="FFFFFF" w:themeColor="background1"/>
                          <w:sz w:val="22"/>
                          <w:szCs w:val="22"/>
                        </w:rPr>
                      </w:pPr>
                      <w:r w:rsidRPr="00E018D7">
                        <w:rPr>
                          <w:color w:val="FFFFFF" w:themeColor="background1"/>
                          <w:sz w:val="22"/>
                          <w:szCs w:val="22"/>
                        </w:rPr>
                        <w:t>Основной задачей в сфере регулирования тарифов является соблюдение баланса интересов производителей регулируемых видов услуг и потребителей, в том числе населения. Выполнение указанной задачи обеспечивается, в первую очередь, принятием экономически обоснованных тарифных решений.</w:t>
                      </w:r>
                    </w:p>
                  </w:txbxContent>
                </v:textbox>
                <w10:wrap type="square" anchorx="margin" anchory="margin"/>
              </v:roundrect>
            </w:pict>
          </mc:Fallback>
        </mc:AlternateContent>
      </w:r>
      <w:r w:rsidR="0021618D">
        <w:t>В 202</w:t>
      </w:r>
      <w:r w:rsidR="00AF0FE4">
        <w:t xml:space="preserve">1 </w:t>
      </w:r>
      <w:r w:rsidR="0021618D">
        <w:t xml:space="preserve">году состоялось </w:t>
      </w:r>
      <w:r w:rsidR="00AF0FE4" w:rsidRPr="00F6639C">
        <w:t>6</w:t>
      </w:r>
      <w:r w:rsidR="00B321B6" w:rsidRPr="00F6639C">
        <w:t>1</w:t>
      </w:r>
      <w:r w:rsidR="0021618D" w:rsidRPr="00F6639C">
        <w:t xml:space="preserve"> заседани</w:t>
      </w:r>
      <w:r w:rsidR="00B321B6" w:rsidRPr="00F6639C">
        <w:t>е</w:t>
      </w:r>
      <w:r w:rsidR="0021618D">
        <w:t xml:space="preserve"> Правления Департамента (далее – Правление). </w:t>
      </w:r>
    </w:p>
    <w:p w:rsidR="0021618D" w:rsidRDefault="0021618D" w:rsidP="0021618D">
      <w:r>
        <w:t>На заседаниях Правления принято 4</w:t>
      </w:r>
      <w:r w:rsidR="00011AA0">
        <w:t>4</w:t>
      </w:r>
      <w:r>
        <w:t>4 постановления, из них:</w:t>
      </w:r>
    </w:p>
    <w:p w:rsidR="0021618D" w:rsidRDefault="00FC18B9" w:rsidP="0021618D">
      <w:r>
        <w:t>27</w:t>
      </w:r>
      <w:r w:rsidR="0021618D">
        <w:t xml:space="preserve"> – по вопросам в сфере ценообразования на электрическую энергию;</w:t>
      </w:r>
    </w:p>
    <w:p w:rsidR="0021618D" w:rsidRDefault="00FC18B9" w:rsidP="0021618D">
      <w:r>
        <w:t>4</w:t>
      </w:r>
      <w:r w:rsidR="0021618D">
        <w:t xml:space="preserve"> – по формированию цен на газ;</w:t>
      </w:r>
    </w:p>
    <w:p w:rsidR="0021618D" w:rsidRDefault="00527D03" w:rsidP="0021618D">
      <w:r>
        <w:t>203</w:t>
      </w:r>
      <w:r w:rsidR="0021618D">
        <w:t xml:space="preserve"> – по тарифам на тепловую энергию;</w:t>
      </w:r>
    </w:p>
    <w:p w:rsidR="0021618D" w:rsidRDefault="0021618D" w:rsidP="0021618D">
      <w:r>
        <w:t>2</w:t>
      </w:r>
      <w:r w:rsidR="00124BE5">
        <w:t>1</w:t>
      </w:r>
      <w:r>
        <w:t xml:space="preserve"> – по тарифам на горячее водоснабжение;</w:t>
      </w:r>
    </w:p>
    <w:p w:rsidR="007E21FD" w:rsidRDefault="0021618D" w:rsidP="0021618D">
      <w:r w:rsidRPr="00FC18B9">
        <w:t>1</w:t>
      </w:r>
      <w:r w:rsidR="00FC18B9">
        <w:t>35</w:t>
      </w:r>
      <w:r>
        <w:t xml:space="preserve"> – по тарифам на питьевую воду и водоотведение;</w:t>
      </w:r>
    </w:p>
    <w:p w:rsidR="0021618D" w:rsidRDefault="00FC18B9" w:rsidP="0021618D">
      <w:r>
        <w:t>5</w:t>
      </w:r>
      <w:r w:rsidR="0021618D">
        <w:t xml:space="preserve"> - по тарифам в сфере обращения с твердыми коммунальными отходами;</w:t>
      </w:r>
    </w:p>
    <w:p w:rsidR="0021618D" w:rsidRDefault="00FC18B9" w:rsidP="0021618D">
      <w:r>
        <w:t>24</w:t>
      </w:r>
      <w:r w:rsidR="0021618D">
        <w:t xml:space="preserve"> – об установлении тарифов на подключение (технологическое присоединение) к сетям;</w:t>
      </w:r>
    </w:p>
    <w:p w:rsidR="0021618D" w:rsidRDefault="00124BE5" w:rsidP="0021618D">
      <w:r>
        <w:t>10</w:t>
      </w:r>
      <w:r w:rsidR="0021618D">
        <w:t xml:space="preserve"> – по вопросам утверждения инвестиционных программ;</w:t>
      </w:r>
    </w:p>
    <w:p w:rsidR="0021618D" w:rsidRDefault="0021618D" w:rsidP="0021618D">
      <w:r>
        <w:t>1 – об установлении</w:t>
      </w:r>
      <w:r w:rsidR="00124BE5">
        <w:t xml:space="preserve"> </w:t>
      </w:r>
      <w:r w:rsidR="00FC18B9" w:rsidRPr="00FC18B9">
        <w:t>предельны</w:t>
      </w:r>
      <w:r w:rsidR="00FC18B9">
        <w:t>х</w:t>
      </w:r>
      <w:r w:rsidR="00FC18B9" w:rsidRPr="00FC18B9">
        <w:t xml:space="preserve"> размер</w:t>
      </w:r>
      <w:r w:rsidR="00FC18B9">
        <w:t>ов</w:t>
      </w:r>
      <w:r w:rsidR="00FC18B9" w:rsidRPr="00FC18B9">
        <w:t xml:space="preserve"> оптовых </w:t>
      </w:r>
      <w:r w:rsidR="00FC18B9">
        <w:t xml:space="preserve">и розничных </w:t>
      </w:r>
      <w:r w:rsidR="00FC18B9" w:rsidRPr="00FC18B9">
        <w:t>надбавок фактическим отпускным ценам, установленным производителями лекарственных препаратов</w:t>
      </w:r>
      <w:r w:rsidR="00FC18B9">
        <w:t xml:space="preserve">, </w:t>
      </w:r>
      <w:r w:rsidR="00FC18B9" w:rsidRPr="00FC18B9">
        <w:t>включенны</w:t>
      </w:r>
      <w:r w:rsidR="00FC18B9">
        <w:t>х</w:t>
      </w:r>
      <w:r w:rsidR="00FC18B9" w:rsidRPr="00FC18B9">
        <w:t xml:space="preserve"> в перечень жизненно необходимых и важнейших лекарственных препаратов</w:t>
      </w:r>
      <w:r>
        <w:t>;</w:t>
      </w:r>
    </w:p>
    <w:p w:rsidR="00124BE5" w:rsidRDefault="00124BE5" w:rsidP="0021618D">
      <w:r>
        <w:t xml:space="preserve">1 </w:t>
      </w:r>
      <w:r w:rsidR="00FC18B9">
        <w:t>– по формированию цен</w:t>
      </w:r>
      <w:r>
        <w:t xml:space="preserve"> </w:t>
      </w:r>
      <w:r w:rsidR="00FC18B9" w:rsidRPr="00FC18B9">
        <w:t>на услуги по технической инвентаризации жилищного фонда на территории Ивановской области</w:t>
      </w:r>
      <w:r w:rsidR="00FC18B9">
        <w:t>;</w:t>
      </w:r>
    </w:p>
    <w:p w:rsidR="0021618D" w:rsidRDefault="00124BE5" w:rsidP="0021618D">
      <w:r>
        <w:t>9</w:t>
      </w:r>
      <w:r w:rsidR="0021618D">
        <w:t xml:space="preserve"> – об установлении тарифов на перевозки;</w:t>
      </w:r>
    </w:p>
    <w:p w:rsidR="0021618D" w:rsidRDefault="00124BE5" w:rsidP="0021618D">
      <w:r>
        <w:t>4</w:t>
      </w:r>
      <w:r w:rsidR="0021618D">
        <w:t xml:space="preserve"> – по вопросам установления нормативов потребления коммунальных услуг.</w:t>
      </w:r>
    </w:p>
    <w:tbl>
      <w:tblPr>
        <w:tblStyle w:val="39"/>
        <w:tblW w:w="5041" w:type="pct"/>
        <w:tblLayout w:type="fixed"/>
        <w:tblLook w:val="04A0" w:firstRow="1" w:lastRow="0" w:firstColumn="1" w:lastColumn="0" w:noHBand="0" w:noVBand="1"/>
      </w:tblPr>
      <w:tblGrid>
        <w:gridCol w:w="2450"/>
        <w:gridCol w:w="7199"/>
      </w:tblGrid>
      <w:tr w:rsidR="00F266B8" w:rsidRPr="003D1334" w:rsidTr="00AF0FE4">
        <w:trPr>
          <w:cnfStyle w:val="100000000000" w:firstRow="1" w:lastRow="0" w:firstColumn="0" w:lastColumn="0" w:oddVBand="0" w:evenVBand="0" w:oddHBand="0"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2395" w:type="dxa"/>
            <w:vMerge w:val="restart"/>
          </w:tcPr>
          <w:p w:rsidR="00F266B8" w:rsidRPr="003D1334" w:rsidRDefault="00E018D7" w:rsidP="008D2371">
            <w:pPr>
              <w:spacing w:before="240" w:after="240"/>
              <w:rPr>
                <w:b w:val="0"/>
                <w:i/>
                <w:noProof/>
                <w:color w:val="554740" w:themeColor="accent2" w:themeShade="BF"/>
                <w:spacing w:val="10"/>
                <w:sz w:val="24"/>
                <w:szCs w:val="24"/>
                <w:lang w:bidi="ru-RU"/>
              </w:rPr>
            </w:pPr>
            <w:r w:rsidRPr="003D1334">
              <w:rPr>
                <w:b w:val="0"/>
                <w:i/>
                <w:noProof/>
                <w:color w:val="554740" w:themeColor="accent2" w:themeShade="BF"/>
                <w:spacing w:val="10"/>
                <w:sz w:val="24"/>
                <w:szCs w:val="24"/>
                <w:lang w:bidi="ru-RU"/>
              </w:rPr>
              <w:lastRenderedPageBreak/>
              <w:t>За 202</w:t>
            </w:r>
            <w:r w:rsidR="00C52A27" w:rsidRPr="003D1334">
              <w:rPr>
                <w:b w:val="0"/>
                <w:i/>
                <w:noProof/>
                <w:color w:val="554740" w:themeColor="accent2" w:themeShade="BF"/>
                <w:spacing w:val="10"/>
                <w:sz w:val="24"/>
                <w:szCs w:val="24"/>
                <w:lang w:bidi="ru-RU"/>
              </w:rPr>
              <w:t>1</w:t>
            </w:r>
            <w:r w:rsidRPr="003D1334">
              <w:rPr>
                <w:b w:val="0"/>
                <w:i/>
                <w:noProof/>
                <w:color w:val="554740" w:themeColor="accent2" w:themeShade="BF"/>
                <w:spacing w:val="10"/>
                <w:sz w:val="24"/>
                <w:szCs w:val="24"/>
                <w:lang w:bidi="ru-RU"/>
              </w:rPr>
              <w:t xml:space="preserve"> год от регулируемых организаций поступило 6</w:t>
            </w:r>
            <w:r w:rsidR="003D1334" w:rsidRPr="003D1334">
              <w:rPr>
                <w:b w:val="0"/>
                <w:i/>
                <w:noProof/>
                <w:color w:val="554740" w:themeColor="accent2" w:themeShade="BF"/>
                <w:spacing w:val="10"/>
                <w:sz w:val="24"/>
                <w:szCs w:val="24"/>
                <w:lang w:bidi="ru-RU"/>
              </w:rPr>
              <w:t>56</w:t>
            </w:r>
            <w:r w:rsidR="009419C1">
              <w:rPr>
                <w:b w:val="0"/>
                <w:i/>
                <w:noProof/>
                <w:color w:val="554740" w:themeColor="accent2" w:themeShade="BF"/>
                <w:spacing w:val="10"/>
                <w:sz w:val="24"/>
                <w:szCs w:val="24"/>
                <w:lang w:bidi="ru-RU"/>
              </w:rPr>
              <w:t xml:space="preserve"> заявлений</w:t>
            </w:r>
            <w:r w:rsidRPr="003D1334">
              <w:rPr>
                <w:b w:val="0"/>
                <w:i/>
                <w:noProof/>
                <w:color w:val="554740" w:themeColor="accent2" w:themeShade="BF"/>
                <w:spacing w:val="10"/>
                <w:sz w:val="24"/>
                <w:szCs w:val="24"/>
                <w:lang w:bidi="ru-RU"/>
              </w:rPr>
              <w:t xml:space="preserve"> об установлении тарифов, ставок и размеров платы за технолог</w:t>
            </w:r>
            <w:r w:rsidR="009419C1">
              <w:rPr>
                <w:b w:val="0"/>
                <w:i/>
                <w:noProof/>
                <w:color w:val="554740" w:themeColor="accent2" w:themeShade="BF"/>
                <w:spacing w:val="10"/>
                <w:sz w:val="24"/>
                <w:szCs w:val="24"/>
                <w:lang w:bidi="ru-RU"/>
              </w:rPr>
              <w:t>ическое присоединение к сетям</w:t>
            </w:r>
            <w:r w:rsidRPr="003D1334">
              <w:rPr>
                <w:b w:val="0"/>
                <w:i/>
                <w:noProof/>
                <w:color w:val="554740" w:themeColor="accent2" w:themeShade="BF"/>
                <w:spacing w:val="10"/>
                <w:sz w:val="24"/>
                <w:szCs w:val="24"/>
                <w:lang w:bidi="ru-RU"/>
              </w:rPr>
              <w:t xml:space="preserve"> по индивидуальным проектам:</w:t>
            </w: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C5B94" w:rsidRPr="003D1334" w:rsidRDefault="00EC5B94" w:rsidP="00E018D7">
            <w:pPr>
              <w:keepNext/>
              <w:spacing w:before="60" w:after="120" w:line="240" w:lineRule="atLeast"/>
              <w:outlineLvl w:val="1"/>
              <w:rPr>
                <w:rFonts w:eastAsia="Times New Roman" w:cs="Times New Roman"/>
                <w:bCs w:val="0"/>
                <w:i/>
                <w:noProof/>
                <w:color w:val="FFFFFF"/>
                <w:spacing w:val="20"/>
                <w:kern w:val="0"/>
                <w:sz w:val="24"/>
                <w:szCs w:val="24"/>
                <w:lang w:eastAsia="en-US" w:bidi="ru-RU"/>
              </w:rPr>
            </w:pPr>
          </w:p>
          <w:p w:rsidR="00E018D7" w:rsidRPr="003D1334" w:rsidRDefault="00E018D7" w:rsidP="00E018D7">
            <w:pPr>
              <w:keepNext/>
              <w:spacing w:before="60" w:after="120" w:line="240" w:lineRule="atLeast"/>
              <w:outlineLvl w:val="1"/>
              <w:rPr>
                <w:rFonts w:eastAsia="Times New Roman" w:cs="Times New Roman"/>
                <w:b w:val="0"/>
                <w:i/>
                <w:noProof/>
                <w:color w:val="554740" w:themeColor="accent2" w:themeShade="BF"/>
                <w:spacing w:val="20"/>
                <w:kern w:val="0"/>
                <w:sz w:val="24"/>
                <w:szCs w:val="24"/>
                <w:lang w:eastAsia="en-US" w:bidi="ru-RU"/>
              </w:rPr>
            </w:pPr>
            <w:bookmarkStart w:id="17" w:name="_Toc97309420"/>
            <w:bookmarkStart w:id="18" w:name="_Toc97369835"/>
            <w:bookmarkStart w:id="19" w:name="_Toc97386226"/>
            <w:r w:rsidRPr="003D1334">
              <w:rPr>
                <w:rFonts w:eastAsia="Times New Roman" w:cs="Times New Roman"/>
                <w:b w:val="0"/>
                <w:i/>
                <w:noProof/>
                <w:color w:val="554740" w:themeColor="accent2" w:themeShade="BF"/>
                <w:spacing w:val="20"/>
                <w:kern w:val="0"/>
                <w:sz w:val="24"/>
                <w:szCs w:val="24"/>
                <w:lang w:eastAsia="en-US" w:bidi="ru-RU"/>
              </w:rPr>
              <w:t>В 202</w:t>
            </w:r>
            <w:r w:rsidR="00C52A27" w:rsidRPr="003D1334">
              <w:rPr>
                <w:rFonts w:eastAsia="Times New Roman" w:cs="Times New Roman"/>
                <w:b w:val="0"/>
                <w:i/>
                <w:noProof/>
                <w:color w:val="554740" w:themeColor="accent2" w:themeShade="BF"/>
                <w:spacing w:val="20"/>
                <w:kern w:val="0"/>
                <w:sz w:val="24"/>
                <w:szCs w:val="24"/>
                <w:lang w:eastAsia="en-US" w:bidi="ru-RU"/>
              </w:rPr>
              <w:t>1</w:t>
            </w:r>
            <w:r w:rsidRPr="003D1334">
              <w:rPr>
                <w:rFonts w:eastAsia="Times New Roman" w:cs="Times New Roman"/>
                <w:b w:val="0"/>
                <w:i/>
                <w:noProof/>
                <w:color w:val="554740" w:themeColor="accent2" w:themeShade="BF"/>
                <w:spacing w:val="20"/>
                <w:kern w:val="0"/>
                <w:sz w:val="24"/>
                <w:szCs w:val="24"/>
                <w:lang w:eastAsia="en-US" w:bidi="ru-RU"/>
              </w:rPr>
              <w:t xml:space="preserve"> году было принято </w:t>
            </w:r>
            <w:r w:rsidR="00BD230C">
              <w:rPr>
                <w:rFonts w:eastAsia="Times New Roman" w:cs="Times New Roman"/>
                <w:b w:val="0"/>
                <w:i/>
                <w:noProof/>
                <w:color w:val="554740" w:themeColor="accent2" w:themeShade="BF"/>
                <w:spacing w:val="20"/>
                <w:kern w:val="0"/>
                <w:sz w:val="24"/>
                <w:szCs w:val="24"/>
                <w:lang w:eastAsia="en-US" w:bidi="ru-RU"/>
              </w:rPr>
              <w:t>496</w:t>
            </w:r>
            <w:r w:rsidRPr="003D1334">
              <w:rPr>
                <w:rFonts w:eastAsia="Times New Roman" w:cs="Times New Roman"/>
                <w:b w:val="0"/>
                <w:i/>
                <w:noProof/>
                <w:color w:val="554740" w:themeColor="accent2" w:themeShade="BF"/>
                <w:spacing w:val="20"/>
                <w:kern w:val="0"/>
                <w:sz w:val="24"/>
                <w:szCs w:val="24"/>
                <w:lang w:eastAsia="en-US" w:bidi="ru-RU"/>
              </w:rPr>
              <w:t xml:space="preserve"> тарифных решения, из них на долгосрочный период </w:t>
            </w:r>
            <w:r w:rsidRPr="00BD230C">
              <w:rPr>
                <w:rFonts w:eastAsia="Times New Roman" w:cs="Times New Roman"/>
                <w:b w:val="0"/>
                <w:i/>
                <w:noProof/>
                <w:color w:val="554740" w:themeColor="accent2" w:themeShade="BF"/>
                <w:spacing w:val="20"/>
                <w:kern w:val="0"/>
                <w:sz w:val="24"/>
                <w:szCs w:val="24"/>
                <w:lang w:eastAsia="en-US" w:bidi="ru-RU"/>
              </w:rPr>
              <w:t>– 4</w:t>
            </w:r>
            <w:r w:rsidR="00BD230C" w:rsidRPr="00BD230C">
              <w:rPr>
                <w:rFonts w:eastAsia="Times New Roman" w:cs="Times New Roman"/>
                <w:b w:val="0"/>
                <w:i/>
                <w:noProof/>
                <w:color w:val="554740" w:themeColor="accent2" w:themeShade="BF"/>
                <w:spacing w:val="20"/>
                <w:kern w:val="0"/>
                <w:sz w:val="24"/>
                <w:szCs w:val="24"/>
                <w:lang w:eastAsia="en-US" w:bidi="ru-RU"/>
              </w:rPr>
              <w:t>02</w:t>
            </w:r>
            <w:r w:rsidR="009419C1">
              <w:rPr>
                <w:rFonts w:eastAsia="Times New Roman" w:cs="Times New Roman"/>
                <w:b w:val="0"/>
                <w:i/>
                <w:noProof/>
                <w:color w:val="554740" w:themeColor="accent2" w:themeShade="BF"/>
                <w:spacing w:val="20"/>
                <w:kern w:val="0"/>
                <w:sz w:val="24"/>
                <w:szCs w:val="24"/>
                <w:lang w:eastAsia="en-US" w:bidi="ru-RU"/>
              </w:rPr>
              <w:t xml:space="preserve"> (81%)</w:t>
            </w:r>
            <w:r w:rsidRPr="003D1334">
              <w:rPr>
                <w:rFonts w:eastAsia="Times New Roman" w:cs="Times New Roman"/>
                <w:b w:val="0"/>
                <w:i/>
                <w:noProof/>
                <w:color w:val="554740" w:themeColor="accent2" w:themeShade="BF"/>
                <w:spacing w:val="20"/>
                <w:kern w:val="0"/>
                <w:sz w:val="24"/>
                <w:szCs w:val="24"/>
                <w:lang w:eastAsia="en-US" w:bidi="ru-RU"/>
              </w:rPr>
              <w:t>,</w:t>
            </w:r>
            <w:bookmarkEnd w:id="17"/>
            <w:bookmarkEnd w:id="18"/>
            <w:bookmarkEnd w:id="19"/>
            <w:r w:rsidRPr="003D1334">
              <w:rPr>
                <w:rFonts w:eastAsia="Times New Roman" w:cs="Times New Roman"/>
                <w:b w:val="0"/>
                <w:i/>
                <w:noProof/>
                <w:color w:val="554740" w:themeColor="accent2" w:themeShade="BF"/>
                <w:spacing w:val="20"/>
                <w:kern w:val="0"/>
                <w:sz w:val="24"/>
                <w:szCs w:val="24"/>
                <w:lang w:eastAsia="en-US" w:bidi="ru-RU"/>
              </w:rPr>
              <w:t xml:space="preserve"> </w:t>
            </w:r>
          </w:p>
          <w:p w:rsidR="00F266B8" w:rsidRPr="003D1334" w:rsidRDefault="00E018D7" w:rsidP="00EC5B94">
            <w:pPr>
              <w:keepNext/>
              <w:spacing w:before="60" w:after="120" w:line="240" w:lineRule="atLeast"/>
              <w:outlineLvl w:val="1"/>
              <w:rPr>
                <w:noProof/>
              </w:rPr>
            </w:pPr>
            <w:bookmarkStart w:id="20" w:name="_Toc97309421"/>
            <w:bookmarkStart w:id="21" w:name="_Toc97369836"/>
            <w:bookmarkStart w:id="22" w:name="_Toc97386227"/>
            <w:r w:rsidRPr="003D1334">
              <w:rPr>
                <w:rFonts w:eastAsia="Times New Roman" w:cs="Times New Roman"/>
                <w:b w:val="0"/>
                <w:i/>
                <w:noProof/>
                <w:color w:val="554740" w:themeColor="accent2" w:themeShade="BF"/>
                <w:spacing w:val="20"/>
                <w:kern w:val="0"/>
                <w:sz w:val="24"/>
                <w:szCs w:val="24"/>
                <w:lang w:eastAsia="en-US" w:bidi="ru-RU"/>
              </w:rPr>
              <w:t>в том числе:</w:t>
            </w:r>
            <w:bookmarkEnd w:id="20"/>
            <w:bookmarkEnd w:id="21"/>
            <w:bookmarkEnd w:id="22"/>
          </w:p>
        </w:tc>
        <w:tc>
          <w:tcPr>
            <w:tcW w:w="7037" w:type="dxa"/>
          </w:tcPr>
          <w:tbl>
            <w:tblPr>
              <w:tblStyle w:val="-10"/>
              <w:tblW w:w="4999" w:type="pct"/>
              <w:tblInd w:w="1" w:type="dxa"/>
              <w:tblLayout w:type="fixed"/>
              <w:tblLook w:val="04A0" w:firstRow="1" w:lastRow="0" w:firstColumn="1" w:lastColumn="0" w:noHBand="0" w:noVBand="1"/>
            </w:tblPr>
            <w:tblGrid>
              <w:gridCol w:w="4637"/>
              <w:gridCol w:w="2325"/>
            </w:tblGrid>
            <w:tr w:rsidR="00FD71FC" w:rsidRPr="003D1334" w:rsidTr="00AF0FE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jc w:val="center"/>
                    <w:rPr>
                      <w:rStyle w:val="afa"/>
                      <w:rFonts w:asciiTheme="minorHAnsi" w:hAnsiTheme="minorHAnsi"/>
                    </w:rPr>
                  </w:pPr>
                  <w:r w:rsidRPr="003D1334">
                    <w:rPr>
                      <w:rStyle w:val="afa"/>
                      <w:rFonts w:asciiTheme="minorHAnsi" w:hAnsiTheme="minorHAnsi"/>
                    </w:rPr>
                    <w:t>Сфера регулирования</w:t>
                  </w:r>
                </w:p>
              </w:tc>
              <w:tc>
                <w:tcPr>
                  <w:tcW w:w="2271" w:type="dxa"/>
                </w:tcPr>
                <w:p w:rsidR="00F266B8" w:rsidRPr="003D1334" w:rsidRDefault="00F266B8" w:rsidP="008D2371">
                  <w:pPr>
                    <w:jc w:val="center"/>
                    <w:cnfStyle w:val="100000000000" w:firstRow="1" w:lastRow="0" w:firstColumn="0" w:lastColumn="0" w:oddVBand="0" w:evenVBand="0" w:oddHBand="0" w:evenHBand="0" w:firstRowFirstColumn="0" w:firstRowLastColumn="0" w:lastRowFirstColumn="0" w:lastRowLastColumn="0"/>
                    <w:rPr>
                      <w:rStyle w:val="afa"/>
                      <w:rFonts w:asciiTheme="minorHAnsi" w:hAnsiTheme="minorHAnsi"/>
                    </w:rPr>
                  </w:pPr>
                  <w:r w:rsidRPr="003D1334">
                    <w:rPr>
                      <w:rStyle w:val="afa"/>
                      <w:rFonts w:asciiTheme="minorHAnsi" w:hAnsiTheme="minorHAnsi"/>
                    </w:rPr>
                    <w:t>Количество заявлений в 202</w:t>
                  </w:r>
                  <w:r w:rsidR="003D1334">
                    <w:rPr>
                      <w:rStyle w:val="afa"/>
                      <w:rFonts w:asciiTheme="minorHAnsi" w:hAnsiTheme="minorHAnsi"/>
                    </w:rPr>
                    <w:t>1</w:t>
                  </w:r>
                  <w:r w:rsidRPr="003D1334">
                    <w:rPr>
                      <w:rStyle w:val="afa"/>
                      <w:rFonts w:asciiTheme="minorHAnsi" w:hAnsiTheme="minorHAnsi"/>
                    </w:rPr>
                    <w:t xml:space="preserve"> году</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Всего</w:t>
                  </w:r>
                </w:p>
              </w:tc>
              <w:tc>
                <w:tcPr>
                  <w:tcW w:w="2271" w:type="dxa"/>
                </w:tcPr>
                <w:p w:rsidR="00F266B8" w:rsidRPr="003D1334"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3D1334">
                    <w:rPr>
                      <w:rStyle w:val="afa"/>
                      <w:rFonts w:asciiTheme="minorHAnsi" w:hAnsiTheme="minorHAnsi"/>
                      <w:sz w:val="22"/>
                      <w:szCs w:val="22"/>
                    </w:rPr>
                    <w:t>6</w:t>
                  </w:r>
                  <w:r w:rsidR="003D1334" w:rsidRPr="003D1334">
                    <w:rPr>
                      <w:rStyle w:val="afa"/>
                      <w:rFonts w:asciiTheme="minorHAnsi" w:hAnsiTheme="minorHAnsi"/>
                      <w:sz w:val="22"/>
                      <w:szCs w:val="22"/>
                    </w:rPr>
                    <w:t>56</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в том числе:</w:t>
                  </w:r>
                </w:p>
              </w:tc>
              <w:tc>
                <w:tcPr>
                  <w:tcW w:w="2271" w:type="dxa"/>
                </w:tcPr>
                <w:p w:rsidR="00F266B8" w:rsidRPr="003D1334" w:rsidRDefault="00F266B8"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Электроэнергия</w:t>
                  </w:r>
                </w:p>
              </w:tc>
              <w:tc>
                <w:tcPr>
                  <w:tcW w:w="2271" w:type="dxa"/>
                </w:tcPr>
                <w:p w:rsidR="00F266B8" w:rsidRPr="009419C1" w:rsidRDefault="00C52A27"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27</w:t>
                  </w:r>
                </w:p>
              </w:tc>
            </w:tr>
            <w:tr w:rsidR="00FD71FC" w:rsidRPr="003D1334" w:rsidTr="00AF0FE4">
              <w:trPr>
                <w:trHeight w:val="226"/>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Газ, в т.ч. сжиженный</w:t>
                  </w:r>
                </w:p>
              </w:tc>
              <w:tc>
                <w:tcPr>
                  <w:tcW w:w="2271" w:type="dxa"/>
                </w:tcPr>
                <w:p w:rsidR="00F266B8" w:rsidRPr="009419C1" w:rsidRDefault="00F266B8"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3</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Тепловая энергия</w:t>
                  </w:r>
                </w:p>
              </w:tc>
              <w:tc>
                <w:tcPr>
                  <w:tcW w:w="2271" w:type="dxa"/>
                </w:tcPr>
                <w:p w:rsidR="00F266B8" w:rsidRPr="009419C1"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28</w:t>
                  </w:r>
                  <w:r w:rsidR="00C52A27" w:rsidRPr="009419C1">
                    <w:rPr>
                      <w:rStyle w:val="afa"/>
                      <w:rFonts w:asciiTheme="minorHAnsi" w:hAnsiTheme="minorHAnsi"/>
                      <w:b w:val="0"/>
                      <w:sz w:val="22"/>
                      <w:szCs w:val="22"/>
                    </w:rPr>
                    <w:t>6</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Водоснабжение (питьевая вода)</w:t>
                  </w:r>
                </w:p>
              </w:tc>
              <w:tc>
                <w:tcPr>
                  <w:tcW w:w="2271" w:type="dxa"/>
                </w:tcPr>
                <w:p w:rsidR="00F266B8" w:rsidRPr="009419C1" w:rsidRDefault="00F266B8"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r w:rsidR="00C52A27" w:rsidRPr="009419C1">
                    <w:rPr>
                      <w:rStyle w:val="afa"/>
                      <w:rFonts w:asciiTheme="minorHAnsi" w:hAnsiTheme="minorHAnsi"/>
                      <w:b w:val="0"/>
                      <w:sz w:val="22"/>
                      <w:szCs w:val="22"/>
                    </w:rPr>
                    <w:t>1</w:t>
                  </w:r>
                  <w:r w:rsidRPr="009419C1">
                    <w:rPr>
                      <w:rStyle w:val="afa"/>
                      <w:rFonts w:asciiTheme="minorHAnsi" w:hAnsiTheme="minorHAnsi"/>
                      <w:b w:val="0"/>
                      <w:sz w:val="22"/>
                      <w:szCs w:val="22"/>
                    </w:rPr>
                    <w:t>5</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Горячее водоснабжение</w:t>
                  </w:r>
                </w:p>
              </w:tc>
              <w:tc>
                <w:tcPr>
                  <w:tcW w:w="2271" w:type="dxa"/>
                </w:tcPr>
                <w:p w:rsidR="00F266B8" w:rsidRPr="009419C1" w:rsidRDefault="00C52A27"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82</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Водоотведение</w:t>
                  </w:r>
                </w:p>
              </w:tc>
              <w:tc>
                <w:tcPr>
                  <w:tcW w:w="2271" w:type="dxa"/>
                </w:tcPr>
                <w:p w:rsidR="00F266B8" w:rsidRPr="009419C1" w:rsidRDefault="00F266B8"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9</w:t>
                  </w:r>
                  <w:r w:rsidR="00C52A27" w:rsidRPr="009419C1">
                    <w:rPr>
                      <w:rStyle w:val="afa"/>
                      <w:rFonts w:asciiTheme="minorHAnsi" w:hAnsiTheme="minorHAnsi"/>
                      <w:b w:val="0"/>
                      <w:sz w:val="22"/>
                      <w:szCs w:val="22"/>
                    </w:rPr>
                    <w:t>0</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Обращение с твердыми коммунальными отходами</w:t>
                  </w:r>
                </w:p>
              </w:tc>
              <w:tc>
                <w:tcPr>
                  <w:tcW w:w="2271" w:type="dxa"/>
                </w:tcPr>
                <w:p w:rsidR="00F266B8" w:rsidRPr="009419C1"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r w:rsidR="003D1334" w:rsidRPr="009419C1">
                    <w:rPr>
                      <w:rStyle w:val="afa"/>
                      <w:rFonts w:asciiTheme="minorHAnsi" w:hAnsiTheme="minorHAnsi"/>
                      <w:b w:val="0"/>
                      <w:sz w:val="22"/>
                      <w:szCs w:val="22"/>
                    </w:rPr>
                    <w:t>3</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Транспорт</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5</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Технологическое присоединение, в том числе:</w:t>
                  </w:r>
                </w:p>
              </w:tc>
              <w:tc>
                <w:tcPr>
                  <w:tcW w:w="2271" w:type="dxa"/>
                </w:tcPr>
                <w:p w:rsidR="00F266B8" w:rsidRPr="009419C1"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3</w:t>
                  </w:r>
                  <w:r w:rsidR="003D1334" w:rsidRPr="009419C1">
                    <w:rPr>
                      <w:rStyle w:val="afa"/>
                      <w:rFonts w:asciiTheme="minorHAnsi" w:hAnsiTheme="minorHAnsi"/>
                      <w:b w:val="0"/>
                      <w:sz w:val="22"/>
                      <w:szCs w:val="22"/>
                    </w:rPr>
                    <w:t>1</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электроэнергия, в том числе:</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highlight w:val="yellow"/>
                    </w:rPr>
                  </w:pPr>
                  <w:r w:rsidRPr="009419C1">
                    <w:rPr>
                      <w:rStyle w:val="afa"/>
                      <w:rFonts w:asciiTheme="minorHAnsi" w:hAnsiTheme="minorHAnsi"/>
                      <w:b w:val="0"/>
                      <w:sz w:val="22"/>
                      <w:szCs w:val="22"/>
                    </w:rPr>
                    <w:t>9</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организации</w:t>
                  </w:r>
                </w:p>
              </w:tc>
              <w:tc>
                <w:tcPr>
                  <w:tcW w:w="2271" w:type="dxa"/>
                </w:tcPr>
                <w:p w:rsidR="00F266B8" w:rsidRPr="009419C1" w:rsidRDefault="003D1334"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8</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заявители по индивидуальному проекту</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Тепловая энергия, в том числе:</w:t>
                  </w:r>
                </w:p>
              </w:tc>
              <w:tc>
                <w:tcPr>
                  <w:tcW w:w="2271" w:type="dxa"/>
                </w:tcPr>
                <w:p w:rsidR="00F266B8" w:rsidRPr="009419C1" w:rsidRDefault="003D1334"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организации</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заявители по индивидуальному проекту</w:t>
                  </w:r>
                </w:p>
              </w:tc>
              <w:tc>
                <w:tcPr>
                  <w:tcW w:w="2271" w:type="dxa"/>
                </w:tcPr>
                <w:p w:rsidR="00F266B8" w:rsidRPr="009419C1"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w:t>
                  </w:r>
                </w:p>
              </w:tc>
            </w:tr>
            <w:tr w:rsidR="00FD71FC" w:rsidRPr="003D1334" w:rsidTr="00AF0FE4">
              <w:trPr>
                <w:trHeight w:val="496"/>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водоснабжение и водоотведение, в том числе:</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3</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организации</w:t>
                  </w:r>
                </w:p>
              </w:tc>
              <w:tc>
                <w:tcPr>
                  <w:tcW w:w="2271" w:type="dxa"/>
                </w:tcPr>
                <w:p w:rsidR="00F266B8" w:rsidRPr="009419C1" w:rsidRDefault="003D1334"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3</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заявители по индивидуальному проекту</w:t>
                  </w:r>
                </w:p>
              </w:tc>
              <w:tc>
                <w:tcPr>
                  <w:tcW w:w="2271" w:type="dxa"/>
                </w:tcPr>
                <w:p w:rsidR="00F266B8" w:rsidRPr="009419C1" w:rsidRDefault="00F266B8"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газораспределение, в том числе:</w:t>
                  </w:r>
                </w:p>
              </w:tc>
              <w:tc>
                <w:tcPr>
                  <w:tcW w:w="2271" w:type="dxa"/>
                </w:tcPr>
                <w:p w:rsidR="00F266B8" w:rsidRPr="009419C1"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r w:rsidR="003D1334" w:rsidRPr="009419C1">
                    <w:rPr>
                      <w:rStyle w:val="afa"/>
                      <w:rFonts w:asciiTheme="minorHAnsi" w:hAnsiTheme="minorHAnsi"/>
                      <w:b w:val="0"/>
                      <w:sz w:val="22"/>
                      <w:szCs w:val="22"/>
                    </w:rPr>
                    <w:t>8</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организации</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7</w:t>
                  </w:r>
                </w:p>
              </w:tc>
            </w:tr>
            <w:tr w:rsidR="00FD71FC" w:rsidRPr="003D1334" w:rsidTr="00AF0F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заявители по индивидуальному проекту</w:t>
                  </w:r>
                </w:p>
              </w:tc>
              <w:tc>
                <w:tcPr>
                  <w:tcW w:w="2271" w:type="dxa"/>
                </w:tcPr>
                <w:p w:rsidR="00F266B8" w:rsidRPr="009419C1" w:rsidRDefault="00F266B8" w:rsidP="008D2371">
                  <w:pPr>
                    <w:jc w:val="center"/>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b w:val="0"/>
                      <w:sz w:val="22"/>
                      <w:szCs w:val="22"/>
                    </w:rPr>
                  </w:pPr>
                  <w:r w:rsidRPr="009419C1">
                    <w:rPr>
                      <w:rStyle w:val="afa"/>
                      <w:rFonts w:asciiTheme="minorHAnsi" w:hAnsiTheme="minorHAnsi"/>
                      <w:b w:val="0"/>
                      <w:sz w:val="22"/>
                      <w:szCs w:val="22"/>
                    </w:rPr>
                    <w:t>1</w:t>
                  </w:r>
                  <w:r w:rsidR="003D1334" w:rsidRPr="009419C1">
                    <w:rPr>
                      <w:rStyle w:val="afa"/>
                      <w:rFonts w:asciiTheme="minorHAnsi" w:hAnsiTheme="minorHAnsi"/>
                      <w:b w:val="0"/>
                      <w:sz w:val="22"/>
                      <w:szCs w:val="22"/>
                    </w:rPr>
                    <w:t>1</w:t>
                  </w:r>
                </w:p>
              </w:tc>
            </w:tr>
            <w:tr w:rsidR="00FD71FC" w:rsidRPr="003D1334" w:rsidTr="00AF0FE4">
              <w:trPr>
                <w:trHeight w:val="248"/>
              </w:trPr>
              <w:tc>
                <w:tcPr>
                  <w:cnfStyle w:val="001000000000" w:firstRow="0" w:lastRow="0" w:firstColumn="1" w:lastColumn="0" w:oddVBand="0" w:evenVBand="0" w:oddHBand="0" w:evenHBand="0" w:firstRowFirstColumn="0" w:firstRowLastColumn="0" w:lastRowFirstColumn="0" w:lastRowLastColumn="0"/>
                  <w:tcW w:w="4528" w:type="dxa"/>
                </w:tcPr>
                <w:p w:rsidR="00F266B8" w:rsidRPr="003D1334" w:rsidRDefault="00F266B8" w:rsidP="008D2371">
                  <w:pPr>
                    <w:rPr>
                      <w:rStyle w:val="afa"/>
                      <w:rFonts w:asciiTheme="minorHAnsi" w:hAnsiTheme="minorHAnsi"/>
                      <w:sz w:val="22"/>
                      <w:szCs w:val="22"/>
                    </w:rPr>
                  </w:pPr>
                  <w:r w:rsidRPr="003D1334">
                    <w:rPr>
                      <w:rStyle w:val="afa"/>
                      <w:rFonts w:asciiTheme="minorHAnsi" w:hAnsiTheme="minorHAnsi"/>
                      <w:sz w:val="22"/>
                      <w:szCs w:val="22"/>
                    </w:rPr>
                    <w:t>Твердое топливо</w:t>
                  </w:r>
                </w:p>
              </w:tc>
              <w:tc>
                <w:tcPr>
                  <w:tcW w:w="2271" w:type="dxa"/>
                </w:tcPr>
                <w:p w:rsidR="00F266B8" w:rsidRPr="009419C1" w:rsidRDefault="003D1334" w:rsidP="008D2371">
                  <w:pPr>
                    <w:jc w:val="center"/>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b w:val="0"/>
                      <w:sz w:val="22"/>
                      <w:szCs w:val="22"/>
                      <w:highlight w:val="yellow"/>
                    </w:rPr>
                  </w:pPr>
                  <w:r w:rsidRPr="009419C1">
                    <w:rPr>
                      <w:rStyle w:val="afa"/>
                      <w:rFonts w:asciiTheme="minorHAnsi" w:hAnsiTheme="minorHAnsi"/>
                      <w:b w:val="0"/>
                      <w:sz w:val="22"/>
                      <w:szCs w:val="22"/>
                    </w:rPr>
                    <w:t>4</w:t>
                  </w:r>
                </w:p>
              </w:tc>
            </w:tr>
          </w:tbl>
          <w:p w:rsidR="00F266B8" w:rsidRPr="003D1334" w:rsidRDefault="00F266B8" w:rsidP="008D2371">
            <w:pPr>
              <w:cnfStyle w:val="100000000000" w:firstRow="1" w:lastRow="0" w:firstColumn="0" w:lastColumn="0" w:oddVBand="0" w:evenVBand="0" w:oddHBand="0" w:evenHBand="0" w:firstRowFirstColumn="0" w:firstRowLastColumn="0" w:lastRowFirstColumn="0" w:lastRowLastColumn="0"/>
              <w:rPr>
                <w:noProof/>
              </w:rPr>
            </w:pP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3806"/>
        </w:trPr>
        <w:tc>
          <w:tcPr>
            <w:cnfStyle w:val="001000000000" w:firstRow="0" w:lastRow="0" w:firstColumn="1" w:lastColumn="0" w:oddVBand="0" w:evenVBand="0" w:oddHBand="0" w:evenHBand="0" w:firstRowFirstColumn="0" w:firstRowLastColumn="0" w:lastRowFirstColumn="0" w:lastRowLastColumn="0"/>
            <w:tcW w:w="2395" w:type="dxa"/>
            <w:vMerge/>
          </w:tcPr>
          <w:p w:rsidR="00F266B8" w:rsidRPr="003D1334" w:rsidRDefault="00F266B8" w:rsidP="008D2371">
            <w:pPr>
              <w:rPr>
                <w:noProof/>
              </w:rPr>
            </w:pPr>
          </w:p>
        </w:tc>
        <w:tc>
          <w:tcPr>
            <w:tcW w:w="7037" w:type="dxa"/>
          </w:tcPr>
          <w:tbl>
            <w:tblPr>
              <w:tblStyle w:val="-10"/>
              <w:tblW w:w="6967" w:type="dxa"/>
              <w:tblInd w:w="1" w:type="dxa"/>
              <w:tblLayout w:type="fixed"/>
              <w:tblLook w:val="04A0" w:firstRow="1" w:lastRow="0" w:firstColumn="1" w:lastColumn="0" w:noHBand="0" w:noVBand="1"/>
            </w:tblPr>
            <w:tblGrid>
              <w:gridCol w:w="2560"/>
              <w:gridCol w:w="1429"/>
              <w:gridCol w:w="1570"/>
              <w:gridCol w:w="1408"/>
            </w:tblGrid>
            <w:tr w:rsidR="00F266B8" w:rsidRPr="003D1334" w:rsidTr="00AF0FE4">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center"/>
                    <w:rPr>
                      <w:rStyle w:val="afa"/>
                      <w:rFonts w:asciiTheme="minorHAnsi" w:hAnsiTheme="minorHAnsi" w:cstheme="minorHAnsi"/>
                      <w:b/>
                      <w:i/>
                    </w:rPr>
                  </w:pPr>
                  <w:r w:rsidRPr="003D1334">
                    <w:rPr>
                      <w:rStyle w:val="afa"/>
                      <w:rFonts w:asciiTheme="minorHAnsi" w:hAnsiTheme="minorHAnsi" w:cstheme="minorHAnsi"/>
                    </w:rPr>
                    <w:t>Сфера регулирования</w:t>
                  </w:r>
                </w:p>
              </w:tc>
              <w:tc>
                <w:tcPr>
                  <w:tcW w:w="1429" w:type="dxa"/>
                </w:tcPr>
                <w:p w:rsidR="00F266B8" w:rsidRPr="003D1334" w:rsidRDefault="00F266B8" w:rsidP="008D2371">
                  <w:pPr>
                    <w:jc w:val="center"/>
                    <w:cnfStyle w:val="100000000000" w:firstRow="1" w:lastRow="0" w:firstColumn="0" w:lastColumn="0" w:oddVBand="0" w:evenVBand="0" w:oddHBand="0" w:evenHBand="0" w:firstRowFirstColumn="0" w:firstRowLastColumn="0" w:lastRowFirstColumn="0" w:lastRowLastColumn="0"/>
                    <w:rPr>
                      <w:rStyle w:val="afa"/>
                      <w:rFonts w:asciiTheme="minorHAnsi" w:hAnsiTheme="minorHAnsi" w:cstheme="minorHAnsi"/>
                      <w:b/>
                      <w:i/>
                    </w:rPr>
                  </w:pPr>
                  <w:r w:rsidRPr="003D1334">
                    <w:rPr>
                      <w:rStyle w:val="afa"/>
                      <w:rFonts w:asciiTheme="minorHAnsi" w:hAnsiTheme="minorHAnsi" w:cstheme="minorHAnsi"/>
                    </w:rPr>
                    <w:t>Количество тарифных решений</w:t>
                  </w:r>
                </w:p>
              </w:tc>
              <w:tc>
                <w:tcPr>
                  <w:tcW w:w="1570" w:type="dxa"/>
                </w:tcPr>
                <w:p w:rsidR="00F266B8" w:rsidRPr="003D1334" w:rsidRDefault="00F266B8" w:rsidP="008D2371">
                  <w:pPr>
                    <w:jc w:val="center"/>
                    <w:cnfStyle w:val="100000000000" w:firstRow="1" w:lastRow="0" w:firstColumn="0" w:lastColumn="0" w:oddVBand="0" w:evenVBand="0" w:oddHBand="0" w:evenHBand="0" w:firstRowFirstColumn="0" w:firstRowLastColumn="0" w:lastRowFirstColumn="0" w:lastRowLastColumn="0"/>
                    <w:rPr>
                      <w:rStyle w:val="afa"/>
                      <w:rFonts w:asciiTheme="minorHAnsi" w:hAnsiTheme="minorHAnsi" w:cstheme="minorHAnsi"/>
                      <w:b/>
                      <w:i/>
                    </w:rPr>
                  </w:pPr>
                  <w:r w:rsidRPr="003D1334">
                    <w:rPr>
                      <w:rStyle w:val="afa"/>
                      <w:rFonts w:asciiTheme="minorHAnsi" w:hAnsiTheme="minorHAnsi" w:cstheme="minorHAnsi"/>
                    </w:rPr>
                    <w:t>Из них на долгосрочный период</w:t>
                  </w:r>
                </w:p>
              </w:tc>
              <w:tc>
                <w:tcPr>
                  <w:tcW w:w="1408" w:type="dxa"/>
                </w:tcPr>
                <w:p w:rsidR="00F266B8" w:rsidRPr="003D1334" w:rsidRDefault="00F266B8" w:rsidP="008D2371">
                  <w:pPr>
                    <w:jc w:val="center"/>
                    <w:cnfStyle w:val="100000000000" w:firstRow="1" w:lastRow="0" w:firstColumn="0" w:lastColumn="0" w:oddVBand="0" w:evenVBand="0" w:oddHBand="0" w:evenHBand="0" w:firstRowFirstColumn="0" w:firstRowLastColumn="0" w:lastRowFirstColumn="0" w:lastRowLastColumn="0"/>
                    <w:rPr>
                      <w:rStyle w:val="afa"/>
                      <w:rFonts w:asciiTheme="minorHAnsi" w:hAnsiTheme="minorHAnsi" w:cstheme="minorHAnsi"/>
                      <w:b/>
                      <w:i/>
                    </w:rPr>
                  </w:pPr>
                  <w:r w:rsidRPr="003D1334">
                    <w:rPr>
                      <w:rStyle w:val="afa"/>
                      <w:rFonts w:asciiTheme="minorHAnsi" w:hAnsiTheme="minorHAnsi" w:cstheme="minorHAnsi"/>
                    </w:rPr>
                    <w:t>Количество тарифов</w:t>
                  </w: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Газ, в т.ч. сжиженный</w:t>
                  </w:r>
                </w:p>
              </w:tc>
              <w:tc>
                <w:tcPr>
                  <w:tcW w:w="1429"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3</w:t>
                  </w:r>
                </w:p>
              </w:tc>
              <w:tc>
                <w:tcPr>
                  <w:tcW w:w="1570"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w:t>
                  </w:r>
                </w:p>
              </w:tc>
              <w:tc>
                <w:tcPr>
                  <w:tcW w:w="1408" w:type="dxa"/>
                </w:tcPr>
                <w:p w:rsidR="00F266B8" w:rsidRPr="009419C1" w:rsidRDefault="00F266B8" w:rsidP="008D2371">
                  <w:pPr>
                    <w:ind w:right="177"/>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w:t>
                  </w:r>
                  <w:r w:rsidR="003D1334" w:rsidRPr="009419C1">
                    <w:rPr>
                      <w:rStyle w:val="afa"/>
                      <w:rFonts w:asciiTheme="minorHAnsi" w:hAnsiTheme="minorHAnsi" w:cstheme="minorHAnsi"/>
                      <w:b w:val="0"/>
                    </w:rPr>
                    <w:t>4</w:t>
                  </w:r>
                </w:p>
              </w:tc>
            </w:tr>
            <w:tr w:rsidR="00F266B8" w:rsidRPr="003D1334" w:rsidTr="00AF0FE4">
              <w:trPr>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Электроэнергия</w:t>
                  </w:r>
                </w:p>
              </w:tc>
              <w:tc>
                <w:tcPr>
                  <w:tcW w:w="1429" w:type="dxa"/>
                </w:tcPr>
                <w:p w:rsidR="00F266B8" w:rsidRPr="009419C1" w:rsidRDefault="00F266B8"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2</w:t>
                  </w:r>
                  <w:r w:rsidR="003D1334" w:rsidRPr="009419C1">
                    <w:rPr>
                      <w:rStyle w:val="afa"/>
                      <w:rFonts w:asciiTheme="minorHAnsi" w:hAnsiTheme="minorHAnsi" w:cstheme="minorHAnsi"/>
                      <w:b w:val="0"/>
                    </w:rPr>
                    <w:t>5</w:t>
                  </w:r>
                </w:p>
              </w:tc>
              <w:tc>
                <w:tcPr>
                  <w:tcW w:w="1570" w:type="dxa"/>
                </w:tcPr>
                <w:p w:rsidR="00F266B8" w:rsidRPr="009419C1" w:rsidRDefault="003D1334"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20</w:t>
                  </w:r>
                </w:p>
              </w:tc>
              <w:tc>
                <w:tcPr>
                  <w:tcW w:w="1408" w:type="dxa"/>
                </w:tcPr>
                <w:p w:rsidR="00F266B8" w:rsidRPr="009419C1" w:rsidRDefault="00F266B8" w:rsidP="008D2371">
                  <w:pPr>
                    <w:ind w:right="177"/>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3</w:t>
                  </w:r>
                  <w:r w:rsidR="003D1334" w:rsidRPr="009419C1">
                    <w:rPr>
                      <w:rStyle w:val="afa"/>
                      <w:rFonts w:asciiTheme="minorHAnsi" w:hAnsiTheme="minorHAnsi" w:cstheme="minorHAnsi"/>
                      <w:b w:val="0"/>
                    </w:rPr>
                    <w:t>43</w:t>
                  </w: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Тепловая энергия</w:t>
                  </w:r>
                </w:p>
              </w:tc>
              <w:tc>
                <w:tcPr>
                  <w:tcW w:w="1429"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19</w:t>
                  </w:r>
                  <w:r w:rsidR="003D1334" w:rsidRPr="009419C1">
                    <w:rPr>
                      <w:rStyle w:val="afa"/>
                      <w:rFonts w:asciiTheme="minorHAnsi" w:hAnsiTheme="minorHAnsi" w:cstheme="minorHAnsi"/>
                      <w:b w:val="0"/>
                    </w:rPr>
                    <w:t>3</w:t>
                  </w:r>
                </w:p>
              </w:tc>
              <w:tc>
                <w:tcPr>
                  <w:tcW w:w="1570"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17</w:t>
                  </w:r>
                  <w:r w:rsidR="003D1334" w:rsidRPr="009419C1">
                    <w:rPr>
                      <w:rStyle w:val="afa"/>
                      <w:rFonts w:asciiTheme="minorHAnsi" w:hAnsiTheme="minorHAnsi" w:cstheme="minorHAnsi"/>
                      <w:b w:val="0"/>
                    </w:rPr>
                    <w:t>6</w:t>
                  </w:r>
                </w:p>
              </w:tc>
              <w:tc>
                <w:tcPr>
                  <w:tcW w:w="1408" w:type="dxa"/>
                </w:tcPr>
                <w:p w:rsidR="00F266B8" w:rsidRPr="009419C1" w:rsidRDefault="00F266B8" w:rsidP="008D2371">
                  <w:pPr>
                    <w:ind w:right="177"/>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1</w:t>
                  </w:r>
                  <w:r w:rsidR="009419C1">
                    <w:rPr>
                      <w:rStyle w:val="afa"/>
                      <w:rFonts w:asciiTheme="minorHAnsi" w:hAnsiTheme="minorHAnsi" w:cstheme="minorHAnsi"/>
                      <w:b w:val="0"/>
                    </w:rPr>
                    <w:t xml:space="preserve"> </w:t>
                  </w:r>
                  <w:r w:rsidR="003D1334" w:rsidRPr="009419C1">
                    <w:rPr>
                      <w:rStyle w:val="afa"/>
                      <w:rFonts w:asciiTheme="minorHAnsi" w:hAnsiTheme="minorHAnsi" w:cstheme="minorHAnsi"/>
                      <w:b w:val="0"/>
                    </w:rPr>
                    <w:t>218</w:t>
                  </w:r>
                </w:p>
              </w:tc>
            </w:tr>
            <w:tr w:rsidR="00F266B8" w:rsidRPr="003D1334" w:rsidTr="00AF0FE4">
              <w:trPr>
                <w:trHeight w:val="500"/>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Водоснабжение (питьевая вода)</w:t>
                  </w:r>
                </w:p>
              </w:tc>
              <w:tc>
                <w:tcPr>
                  <w:tcW w:w="1429" w:type="dxa"/>
                </w:tcPr>
                <w:p w:rsidR="00F266B8" w:rsidRPr="009419C1" w:rsidRDefault="00F266B8"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1</w:t>
                  </w:r>
                  <w:r w:rsidR="003D1334" w:rsidRPr="009419C1">
                    <w:rPr>
                      <w:rStyle w:val="afa"/>
                      <w:rFonts w:asciiTheme="minorHAnsi" w:hAnsiTheme="minorHAnsi" w:cstheme="minorHAnsi"/>
                      <w:b w:val="0"/>
                    </w:rPr>
                    <w:t>15</w:t>
                  </w:r>
                </w:p>
              </w:tc>
              <w:tc>
                <w:tcPr>
                  <w:tcW w:w="1570" w:type="dxa"/>
                </w:tcPr>
                <w:p w:rsidR="00F266B8" w:rsidRPr="009419C1" w:rsidRDefault="00F266B8"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1</w:t>
                  </w:r>
                  <w:r w:rsidR="003D1334" w:rsidRPr="009419C1">
                    <w:rPr>
                      <w:rStyle w:val="afa"/>
                      <w:rFonts w:asciiTheme="minorHAnsi" w:hAnsiTheme="minorHAnsi" w:cstheme="minorHAnsi"/>
                      <w:b w:val="0"/>
                    </w:rPr>
                    <w:t>08</w:t>
                  </w:r>
                </w:p>
              </w:tc>
              <w:tc>
                <w:tcPr>
                  <w:tcW w:w="1408" w:type="dxa"/>
                </w:tcPr>
                <w:p w:rsidR="00F266B8" w:rsidRPr="009419C1" w:rsidRDefault="00F266B8" w:rsidP="008D2371">
                  <w:pPr>
                    <w:ind w:right="177"/>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1</w:t>
                  </w:r>
                  <w:r w:rsidR="009419C1">
                    <w:rPr>
                      <w:rStyle w:val="afa"/>
                      <w:rFonts w:asciiTheme="minorHAnsi" w:hAnsiTheme="minorHAnsi" w:cstheme="minorHAnsi"/>
                      <w:b w:val="0"/>
                    </w:rPr>
                    <w:t xml:space="preserve"> </w:t>
                  </w:r>
                  <w:r w:rsidR="003D1334" w:rsidRPr="009419C1">
                    <w:rPr>
                      <w:rStyle w:val="afa"/>
                      <w:rFonts w:asciiTheme="minorHAnsi" w:hAnsiTheme="minorHAnsi" w:cstheme="minorHAnsi"/>
                      <w:b w:val="0"/>
                    </w:rPr>
                    <w:t>529</w:t>
                  </w: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Горячее водоснабжение</w:t>
                  </w:r>
                </w:p>
              </w:tc>
              <w:tc>
                <w:tcPr>
                  <w:tcW w:w="1429"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w:t>
                  </w:r>
                  <w:r w:rsidR="003D1334" w:rsidRPr="009419C1">
                    <w:rPr>
                      <w:rStyle w:val="afa"/>
                      <w:rFonts w:asciiTheme="minorHAnsi" w:hAnsiTheme="minorHAnsi" w:cstheme="minorHAnsi"/>
                      <w:b w:val="0"/>
                    </w:rPr>
                    <w:t>6</w:t>
                  </w:r>
                </w:p>
              </w:tc>
              <w:tc>
                <w:tcPr>
                  <w:tcW w:w="1570"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w:t>
                  </w:r>
                </w:p>
              </w:tc>
              <w:tc>
                <w:tcPr>
                  <w:tcW w:w="1408" w:type="dxa"/>
                </w:tcPr>
                <w:p w:rsidR="00F266B8" w:rsidRPr="009419C1" w:rsidRDefault="00F266B8" w:rsidP="008D2371">
                  <w:pPr>
                    <w:ind w:right="177"/>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w:t>
                  </w:r>
                  <w:r w:rsidR="003D1334" w:rsidRPr="009419C1">
                    <w:rPr>
                      <w:rStyle w:val="afa"/>
                      <w:rFonts w:asciiTheme="minorHAnsi" w:hAnsiTheme="minorHAnsi" w:cstheme="minorHAnsi"/>
                      <w:b w:val="0"/>
                    </w:rPr>
                    <w:t>92</w:t>
                  </w:r>
                </w:p>
              </w:tc>
            </w:tr>
            <w:tr w:rsidR="00F266B8" w:rsidRPr="003D1334" w:rsidTr="00AF0FE4">
              <w:trPr>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Водоотведение</w:t>
                  </w:r>
                </w:p>
              </w:tc>
              <w:tc>
                <w:tcPr>
                  <w:tcW w:w="1429" w:type="dxa"/>
                </w:tcPr>
                <w:p w:rsidR="00F266B8" w:rsidRPr="009419C1" w:rsidRDefault="00F266B8"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9</w:t>
                  </w:r>
                  <w:r w:rsidR="003D1334" w:rsidRPr="009419C1">
                    <w:rPr>
                      <w:rStyle w:val="afa"/>
                      <w:rFonts w:asciiTheme="minorHAnsi" w:hAnsiTheme="minorHAnsi" w:cstheme="minorHAnsi"/>
                      <w:b w:val="0"/>
                    </w:rPr>
                    <w:t>0</w:t>
                  </w:r>
                </w:p>
              </w:tc>
              <w:tc>
                <w:tcPr>
                  <w:tcW w:w="1570" w:type="dxa"/>
                </w:tcPr>
                <w:p w:rsidR="00F266B8" w:rsidRPr="009419C1" w:rsidRDefault="003D1334"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85</w:t>
                  </w:r>
                </w:p>
              </w:tc>
              <w:tc>
                <w:tcPr>
                  <w:tcW w:w="1408" w:type="dxa"/>
                </w:tcPr>
                <w:p w:rsidR="00F266B8" w:rsidRPr="009419C1" w:rsidRDefault="00F266B8" w:rsidP="008D2371">
                  <w:pPr>
                    <w:ind w:right="177"/>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1</w:t>
                  </w:r>
                  <w:r w:rsidR="009419C1">
                    <w:rPr>
                      <w:rStyle w:val="afa"/>
                      <w:rFonts w:asciiTheme="minorHAnsi" w:hAnsiTheme="minorHAnsi" w:cstheme="minorHAnsi"/>
                      <w:b w:val="0"/>
                    </w:rPr>
                    <w:t xml:space="preserve"> </w:t>
                  </w:r>
                  <w:r w:rsidR="003D1334" w:rsidRPr="009419C1">
                    <w:rPr>
                      <w:rStyle w:val="afa"/>
                      <w:rFonts w:asciiTheme="minorHAnsi" w:hAnsiTheme="minorHAnsi" w:cstheme="minorHAnsi"/>
                      <w:b w:val="0"/>
                    </w:rPr>
                    <w:t>129</w:t>
                  </w: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Твердые коммунальные отходы</w:t>
                  </w:r>
                </w:p>
              </w:tc>
              <w:tc>
                <w:tcPr>
                  <w:tcW w:w="1429"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1</w:t>
                  </w:r>
                  <w:r w:rsidR="003D1334" w:rsidRPr="009419C1">
                    <w:rPr>
                      <w:rStyle w:val="afa"/>
                      <w:rFonts w:asciiTheme="minorHAnsi" w:hAnsiTheme="minorHAnsi" w:cstheme="minorHAnsi"/>
                      <w:b w:val="0"/>
                    </w:rPr>
                    <w:t>3</w:t>
                  </w:r>
                </w:p>
              </w:tc>
              <w:tc>
                <w:tcPr>
                  <w:tcW w:w="1570"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1</w:t>
                  </w:r>
                  <w:r w:rsidR="003D1334" w:rsidRPr="009419C1">
                    <w:rPr>
                      <w:rStyle w:val="afa"/>
                      <w:rFonts w:asciiTheme="minorHAnsi" w:hAnsiTheme="minorHAnsi" w:cstheme="minorHAnsi"/>
                      <w:b w:val="0"/>
                    </w:rPr>
                    <w:t>3</w:t>
                  </w:r>
                </w:p>
              </w:tc>
              <w:tc>
                <w:tcPr>
                  <w:tcW w:w="1408" w:type="dxa"/>
                </w:tcPr>
                <w:p w:rsidR="00F266B8" w:rsidRPr="009419C1" w:rsidRDefault="003D1334" w:rsidP="008D2371">
                  <w:pPr>
                    <w:ind w:right="177"/>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rPr>
                  </w:pPr>
                  <w:r w:rsidRPr="009419C1">
                    <w:rPr>
                      <w:rStyle w:val="afa"/>
                      <w:rFonts w:asciiTheme="minorHAnsi" w:hAnsiTheme="minorHAnsi" w:cstheme="minorHAnsi"/>
                      <w:b w:val="0"/>
                    </w:rPr>
                    <w:t>98</w:t>
                  </w:r>
                </w:p>
              </w:tc>
            </w:tr>
            <w:tr w:rsidR="00F266B8" w:rsidRPr="003D1334" w:rsidTr="00AF0FE4">
              <w:trPr>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Твердое топливо</w:t>
                  </w:r>
                </w:p>
              </w:tc>
              <w:tc>
                <w:tcPr>
                  <w:tcW w:w="1429" w:type="dxa"/>
                </w:tcPr>
                <w:p w:rsidR="00F266B8" w:rsidRPr="009419C1" w:rsidRDefault="003D1334"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5</w:t>
                  </w:r>
                </w:p>
              </w:tc>
              <w:tc>
                <w:tcPr>
                  <w:tcW w:w="1570" w:type="dxa"/>
                </w:tcPr>
                <w:p w:rsidR="00F266B8" w:rsidRPr="009419C1" w:rsidRDefault="00F266B8"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w:t>
                  </w:r>
                </w:p>
              </w:tc>
              <w:tc>
                <w:tcPr>
                  <w:tcW w:w="1408" w:type="dxa"/>
                </w:tcPr>
                <w:p w:rsidR="00F266B8" w:rsidRPr="009419C1" w:rsidRDefault="003D1334" w:rsidP="008D2371">
                  <w:pPr>
                    <w:ind w:right="177"/>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27</w:t>
                  </w: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Технологическое присоединение</w:t>
                  </w:r>
                </w:p>
              </w:tc>
              <w:tc>
                <w:tcPr>
                  <w:tcW w:w="1429"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w:t>
                  </w:r>
                  <w:r w:rsidR="003D1334" w:rsidRPr="009419C1">
                    <w:rPr>
                      <w:rStyle w:val="afa"/>
                      <w:rFonts w:asciiTheme="minorHAnsi" w:hAnsiTheme="minorHAnsi" w:cstheme="minorHAnsi"/>
                      <w:b w:val="0"/>
                    </w:rPr>
                    <w:t>4</w:t>
                  </w:r>
                </w:p>
              </w:tc>
              <w:tc>
                <w:tcPr>
                  <w:tcW w:w="1570" w:type="dxa"/>
                </w:tcPr>
                <w:p w:rsidR="00F266B8" w:rsidRPr="009419C1" w:rsidRDefault="00F266B8"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w:t>
                  </w:r>
                </w:p>
              </w:tc>
              <w:tc>
                <w:tcPr>
                  <w:tcW w:w="1408" w:type="dxa"/>
                </w:tcPr>
                <w:p w:rsidR="00F266B8" w:rsidRPr="009419C1" w:rsidRDefault="003D1334" w:rsidP="008D2371">
                  <w:pPr>
                    <w:ind w:right="177"/>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380</w:t>
                  </w:r>
                </w:p>
              </w:tc>
            </w:tr>
            <w:tr w:rsidR="00F266B8" w:rsidRPr="003D1334" w:rsidTr="00AF0FE4">
              <w:trPr>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Транспорт</w:t>
                  </w:r>
                </w:p>
              </w:tc>
              <w:tc>
                <w:tcPr>
                  <w:tcW w:w="1429" w:type="dxa"/>
                </w:tcPr>
                <w:p w:rsidR="00F266B8" w:rsidRPr="009419C1" w:rsidRDefault="003D1334"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w:t>
                  </w:r>
                </w:p>
              </w:tc>
              <w:tc>
                <w:tcPr>
                  <w:tcW w:w="1570" w:type="dxa"/>
                </w:tcPr>
                <w:p w:rsidR="00F266B8" w:rsidRPr="009419C1" w:rsidRDefault="00F266B8" w:rsidP="008D2371">
                  <w:pPr>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w:t>
                  </w:r>
                </w:p>
              </w:tc>
              <w:tc>
                <w:tcPr>
                  <w:tcW w:w="1408" w:type="dxa"/>
                </w:tcPr>
                <w:p w:rsidR="00F266B8" w:rsidRPr="009419C1" w:rsidRDefault="00F266B8" w:rsidP="008D2371">
                  <w:pPr>
                    <w:ind w:right="177"/>
                    <w:jc w:val="right"/>
                    <w:cnfStyle w:val="000000000000" w:firstRow="0" w:lastRow="0" w:firstColumn="0" w:lastColumn="0" w:oddVBand="0" w:evenVBand="0" w:oddHBand="0" w:evenHBand="0" w:firstRowFirstColumn="0" w:firstRowLastColumn="0" w:lastRowFirstColumn="0" w:lastRowLastColumn="0"/>
                    <w:rPr>
                      <w:rStyle w:val="afa"/>
                      <w:rFonts w:asciiTheme="minorHAnsi" w:hAnsiTheme="minorHAnsi" w:cstheme="minorHAnsi"/>
                      <w:b w:val="0"/>
                      <w:i/>
                    </w:rPr>
                  </w:pPr>
                  <w:r w:rsidRPr="009419C1">
                    <w:rPr>
                      <w:rStyle w:val="afa"/>
                      <w:rFonts w:asciiTheme="minorHAnsi" w:hAnsiTheme="minorHAnsi" w:cstheme="minorHAnsi"/>
                      <w:b w:val="0"/>
                    </w:rPr>
                    <w:t>288</w:t>
                  </w:r>
                </w:p>
              </w:tc>
            </w:tr>
            <w:tr w:rsidR="00F266B8" w:rsidRPr="003D1334" w:rsidTr="00AF0F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60" w:type="dxa"/>
                </w:tcPr>
                <w:p w:rsidR="00F266B8" w:rsidRPr="003D1334" w:rsidRDefault="00F266B8" w:rsidP="008D2371">
                  <w:pPr>
                    <w:jc w:val="both"/>
                    <w:rPr>
                      <w:rStyle w:val="afa"/>
                      <w:rFonts w:asciiTheme="minorHAnsi" w:hAnsiTheme="minorHAnsi" w:cstheme="minorHAnsi"/>
                      <w:i/>
                    </w:rPr>
                  </w:pPr>
                  <w:r w:rsidRPr="003D1334">
                    <w:rPr>
                      <w:rStyle w:val="afa"/>
                      <w:rFonts w:asciiTheme="minorHAnsi" w:hAnsiTheme="minorHAnsi" w:cstheme="minorHAnsi"/>
                    </w:rPr>
                    <w:t>Итого</w:t>
                  </w:r>
                </w:p>
              </w:tc>
              <w:tc>
                <w:tcPr>
                  <w:tcW w:w="1429" w:type="dxa"/>
                </w:tcPr>
                <w:p w:rsidR="00F266B8" w:rsidRPr="00BD230C" w:rsidRDefault="00BD230C"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rPr>
                  </w:pPr>
                  <w:r w:rsidRPr="00BD230C">
                    <w:rPr>
                      <w:rStyle w:val="afa"/>
                      <w:rFonts w:asciiTheme="minorHAnsi" w:hAnsiTheme="minorHAnsi" w:cstheme="minorHAnsi"/>
                    </w:rPr>
                    <w:t>496</w:t>
                  </w:r>
                </w:p>
              </w:tc>
              <w:tc>
                <w:tcPr>
                  <w:tcW w:w="1570" w:type="dxa"/>
                </w:tcPr>
                <w:p w:rsidR="00F266B8" w:rsidRPr="00BD230C" w:rsidRDefault="00BD230C" w:rsidP="008D2371">
                  <w:pPr>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rPr>
                  </w:pPr>
                  <w:r>
                    <w:rPr>
                      <w:rStyle w:val="afa"/>
                      <w:rFonts w:asciiTheme="minorHAnsi" w:hAnsiTheme="minorHAnsi" w:cstheme="minorHAnsi"/>
                    </w:rPr>
                    <w:t>402</w:t>
                  </w:r>
                </w:p>
              </w:tc>
              <w:tc>
                <w:tcPr>
                  <w:tcW w:w="1408" w:type="dxa"/>
                </w:tcPr>
                <w:p w:rsidR="00F266B8" w:rsidRPr="00BD230C" w:rsidRDefault="00BD230C" w:rsidP="008D2371">
                  <w:pPr>
                    <w:ind w:right="177"/>
                    <w:jc w:val="right"/>
                    <w:cnfStyle w:val="000000100000" w:firstRow="0" w:lastRow="0" w:firstColumn="0" w:lastColumn="0" w:oddVBand="0" w:evenVBand="0" w:oddHBand="1" w:evenHBand="0" w:firstRowFirstColumn="0" w:firstRowLastColumn="0" w:lastRowFirstColumn="0" w:lastRowLastColumn="0"/>
                    <w:rPr>
                      <w:rStyle w:val="afa"/>
                      <w:rFonts w:asciiTheme="minorHAnsi" w:hAnsiTheme="minorHAnsi" w:cstheme="minorHAnsi"/>
                    </w:rPr>
                  </w:pPr>
                  <w:r w:rsidRPr="00BD230C">
                    <w:rPr>
                      <w:rStyle w:val="afa"/>
                      <w:rFonts w:asciiTheme="minorHAnsi" w:hAnsiTheme="minorHAnsi" w:cstheme="minorHAnsi"/>
                    </w:rPr>
                    <w:t>5</w:t>
                  </w:r>
                  <w:r w:rsidR="009419C1">
                    <w:rPr>
                      <w:rStyle w:val="afa"/>
                      <w:rFonts w:asciiTheme="minorHAnsi" w:hAnsiTheme="minorHAnsi" w:cstheme="minorHAnsi"/>
                    </w:rPr>
                    <w:t xml:space="preserve"> </w:t>
                  </w:r>
                  <w:r w:rsidRPr="00BD230C">
                    <w:rPr>
                      <w:rStyle w:val="afa"/>
                      <w:rFonts w:asciiTheme="minorHAnsi" w:hAnsiTheme="minorHAnsi" w:cstheme="minorHAnsi"/>
                    </w:rPr>
                    <w:t>328</w:t>
                  </w:r>
                </w:p>
              </w:tc>
            </w:tr>
          </w:tbl>
          <w:p w:rsidR="00F266B8" w:rsidRPr="003D1334" w:rsidRDefault="00F266B8" w:rsidP="008D2371">
            <w:pPr>
              <w:cnfStyle w:val="000000100000" w:firstRow="0" w:lastRow="0" w:firstColumn="0" w:lastColumn="0" w:oddVBand="0" w:evenVBand="0" w:oddHBand="1" w:evenHBand="0" w:firstRowFirstColumn="0" w:firstRowLastColumn="0" w:lastRowFirstColumn="0" w:lastRowLastColumn="0"/>
              <w:rPr>
                <w:rFonts w:cstheme="minorHAnsi"/>
                <w:noProof/>
              </w:rPr>
            </w:pPr>
          </w:p>
        </w:tc>
      </w:tr>
    </w:tbl>
    <w:p w:rsidR="00F266B8" w:rsidRPr="003D1334" w:rsidRDefault="00F266B8" w:rsidP="0021618D"/>
    <w:p w:rsidR="00E07732" w:rsidRDefault="001C0AA8" w:rsidP="00E07732">
      <w:pPr>
        <w:pStyle w:val="11"/>
      </w:pPr>
      <w:bookmarkStart w:id="23" w:name="_Toc325634776"/>
      <w:bookmarkStart w:id="24" w:name="_Toc329165212"/>
      <w:bookmarkStart w:id="25" w:name="_Toc97309422"/>
      <w:bookmarkStart w:id="26" w:name="_Toc97386228"/>
      <w:r>
        <w:lastRenderedPageBreak/>
        <w:t>Эффект от государственного регулирования</w:t>
      </w:r>
      <w:bookmarkEnd w:id="23"/>
      <w:bookmarkEnd w:id="24"/>
      <w:bookmarkEnd w:id="25"/>
      <w:bookmarkEnd w:id="26"/>
    </w:p>
    <w:p w:rsidR="007E21FD" w:rsidRPr="00082275" w:rsidRDefault="00E07732" w:rsidP="00082275">
      <w:pPr>
        <w:pStyle w:val="23"/>
      </w:pPr>
      <w:bookmarkStart w:id="27" w:name="_Toc97386229"/>
      <w:r w:rsidRPr="00082275">
        <w:t>Экономический эффект государственного регулирования</w:t>
      </w:r>
      <w:bookmarkEnd w:id="27"/>
    </w:p>
    <w:tbl>
      <w:tblPr>
        <w:tblStyle w:val="2f0"/>
        <w:tblW w:w="5133" w:type="pct"/>
        <w:tblLayout w:type="fixed"/>
        <w:tblLook w:val="04A0" w:firstRow="1" w:lastRow="0" w:firstColumn="1" w:lastColumn="0" w:noHBand="0" w:noVBand="1"/>
      </w:tblPr>
      <w:tblGrid>
        <w:gridCol w:w="3124"/>
        <w:gridCol w:w="2234"/>
        <w:gridCol w:w="2234"/>
        <w:gridCol w:w="2234"/>
      </w:tblGrid>
      <w:tr w:rsidR="00E07732" w:rsidRPr="006E0479" w:rsidTr="00BD230C">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3124" w:type="dxa"/>
            <w:noWrap/>
            <w:hideMark/>
          </w:tcPr>
          <w:p w:rsidR="00E07732" w:rsidRPr="00C52A27" w:rsidRDefault="00E07732" w:rsidP="008D2371">
            <w:pPr>
              <w:jc w:val="center"/>
              <w:rPr>
                <w:rStyle w:val="afa"/>
                <w:rFonts w:ascii="Cambria" w:hAnsi="Cambria"/>
                <w:i/>
              </w:rPr>
            </w:pPr>
            <w:r w:rsidRPr="00C52A27">
              <w:rPr>
                <w:rStyle w:val="afa"/>
                <w:rFonts w:ascii="Cambria" w:hAnsi="Cambria"/>
              </w:rPr>
              <w:t>Сфера регулирования</w:t>
            </w:r>
          </w:p>
        </w:tc>
        <w:tc>
          <w:tcPr>
            <w:tcW w:w="2234" w:type="dxa"/>
            <w:hideMark/>
          </w:tcPr>
          <w:p w:rsidR="00AF0FE4" w:rsidRDefault="00E07732" w:rsidP="008D2371">
            <w:pPr>
              <w:jc w:val="center"/>
              <w:cnfStyle w:val="100000000000" w:firstRow="1" w:lastRow="0" w:firstColumn="0" w:lastColumn="0" w:oddVBand="0" w:evenVBand="0" w:oddHBand="0" w:evenHBand="0" w:firstRowFirstColumn="0" w:firstRowLastColumn="0" w:lastRowFirstColumn="0" w:lastRowLastColumn="0"/>
              <w:rPr>
                <w:rStyle w:val="afa"/>
                <w:rFonts w:ascii="Cambria" w:hAnsi="Cambria"/>
                <w:b/>
                <w:bCs/>
              </w:rPr>
            </w:pPr>
            <w:r w:rsidRPr="00C52A27">
              <w:rPr>
                <w:rStyle w:val="afa"/>
                <w:rFonts w:ascii="Cambria" w:hAnsi="Cambria"/>
              </w:rPr>
              <w:t xml:space="preserve">НВВ </w:t>
            </w:r>
            <w:r w:rsidRPr="00C52A27">
              <w:rPr>
                <w:rStyle w:val="afa"/>
                <w:rFonts w:ascii="Cambria" w:hAnsi="Cambria"/>
              </w:rPr>
              <w:br/>
              <w:t>(предложение организаций)</w:t>
            </w:r>
            <w:r w:rsidR="00AF0FE4">
              <w:rPr>
                <w:rStyle w:val="afa"/>
                <w:rFonts w:ascii="Cambria" w:hAnsi="Cambria"/>
              </w:rPr>
              <w:t xml:space="preserve">, </w:t>
            </w:r>
          </w:p>
          <w:p w:rsidR="00E07732" w:rsidRPr="00C52A27" w:rsidRDefault="00AF0FE4" w:rsidP="008D2371">
            <w:pPr>
              <w:jc w:val="center"/>
              <w:cnfStyle w:val="100000000000" w:firstRow="1" w:lastRow="0" w:firstColumn="0" w:lastColumn="0" w:oddVBand="0" w:evenVBand="0" w:oddHBand="0" w:evenHBand="0" w:firstRowFirstColumn="0" w:firstRowLastColumn="0" w:lastRowFirstColumn="0" w:lastRowLastColumn="0"/>
              <w:rPr>
                <w:rStyle w:val="afa"/>
                <w:rFonts w:ascii="Cambria" w:hAnsi="Cambria"/>
                <w:i/>
              </w:rPr>
            </w:pPr>
            <w:r>
              <w:rPr>
                <w:rStyle w:val="afa"/>
                <w:rFonts w:ascii="Cambria" w:hAnsi="Cambria"/>
              </w:rPr>
              <w:t>тыс. руб.</w:t>
            </w:r>
          </w:p>
        </w:tc>
        <w:tc>
          <w:tcPr>
            <w:tcW w:w="2234" w:type="dxa"/>
            <w:hideMark/>
          </w:tcPr>
          <w:p w:rsidR="00AF0FE4" w:rsidRDefault="00E07732" w:rsidP="008D2371">
            <w:pPr>
              <w:jc w:val="center"/>
              <w:cnfStyle w:val="100000000000" w:firstRow="1" w:lastRow="0" w:firstColumn="0" w:lastColumn="0" w:oddVBand="0" w:evenVBand="0" w:oddHBand="0" w:evenHBand="0" w:firstRowFirstColumn="0" w:firstRowLastColumn="0" w:lastRowFirstColumn="0" w:lastRowLastColumn="0"/>
              <w:rPr>
                <w:rStyle w:val="afa"/>
                <w:rFonts w:ascii="Cambria" w:hAnsi="Cambria"/>
                <w:b/>
                <w:bCs/>
              </w:rPr>
            </w:pPr>
            <w:r w:rsidRPr="00C52A27">
              <w:rPr>
                <w:rStyle w:val="afa"/>
                <w:rFonts w:ascii="Cambria" w:hAnsi="Cambria"/>
              </w:rPr>
              <w:t xml:space="preserve">НВВ </w:t>
            </w:r>
            <w:r w:rsidRPr="00C52A27">
              <w:rPr>
                <w:rStyle w:val="afa"/>
                <w:rFonts w:ascii="Cambria" w:hAnsi="Cambria"/>
              </w:rPr>
              <w:br/>
              <w:t>(Департамент)</w:t>
            </w:r>
            <w:r w:rsidR="00AF0FE4">
              <w:rPr>
                <w:rStyle w:val="afa"/>
                <w:rFonts w:ascii="Cambria" w:hAnsi="Cambria"/>
              </w:rPr>
              <w:t xml:space="preserve">, </w:t>
            </w:r>
          </w:p>
          <w:p w:rsidR="00E07732" w:rsidRPr="00C52A27" w:rsidRDefault="00AF0FE4" w:rsidP="008D2371">
            <w:pPr>
              <w:jc w:val="center"/>
              <w:cnfStyle w:val="100000000000" w:firstRow="1" w:lastRow="0" w:firstColumn="0" w:lastColumn="0" w:oddVBand="0" w:evenVBand="0" w:oddHBand="0" w:evenHBand="0" w:firstRowFirstColumn="0" w:firstRowLastColumn="0" w:lastRowFirstColumn="0" w:lastRowLastColumn="0"/>
              <w:rPr>
                <w:rStyle w:val="afa"/>
                <w:rFonts w:ascii="Cambria" w:hAnsi="Cambria"/>
                <w:i/>
              </w:rPr>
            </w:pPr>
            <w:r>
              <w:rPr>
                <w:rStyle w:val="afa"/>
                <w:rFonts w:ascii="Cambria" w:hAnsi="Cambria"/>
              </w:rPr>
              <w:t>тыс. руб.</w:t>
            </w:r>
          </w:p>
        </w:tc>
        <w:tc>
          <w:tcPr>
            <w:tcW w:w="2234" w:type="dxa"/>
            <w:hideMark/>
          </w:tcPr>
          <w:p w:rsidR="00AF0FE4" w:rsidRDefault="00E07732" w:rsidP="008D2371">
            <w:pPr>
              <w:jc w:val="center"/>
              <w:cnfStyle w:val="100000000000" w:firstRow="1" w:lastRow="0" w:firstColumn="0" w:lastColumn="0" w:oddVBand="0" w:evenVBand="0" w:oddHBand="0" w:evenHBand="0" w:firstRowFirstColumn="0" w:firstRowLastColumn="0" w:lastRowFirstColumn="0" w:lastRowLastColumn="0"/>
              <w:rPr>
                <w:rStyle w:val="afa"/>
                <w:rFonts w:ascii="Cambria" w:hAnsi="Cambria"/>
                <w:b/>
                <w:bCs/>
              </w:rPr>
            </w:pPr>
            <w:r w:rsidRPr="00C52A27">
              <w:rPr>
                <w:rStyle w:val="afa"/>
                <w:rFonts w:ascii="Cambria" w:hAnsi="Cambria"/>
              </w:rPr>
              <w:t>Эффект от государственного регулирования</w:t>
            </w:r>
            <w:r w:rsidR="00AF0FE4">
              <w:rPr>
                <w:rStyle w:val="afa"/>
                <w:rFonts w:ascii="Cambria" w:hAnsi="Cambria"/>
              </w:rPr>
              <w:t xml:space="preserve">, </w:t>
            </w:r>
          </w:p>
          <w:p w:rsidR="00E07732" w:rsidRPr="00C52A27" w:rsidRDefault="00AF0FE4" w:rsidP="008D2371">
            <w:pPr>
              <w:jc w:val="center"/>
              <w:cnfStyle w:val="100000000000" w:firstRow="1" w:lastRow="0" w:firstColumn="0" w:lastColumn="0" w:oddVBand="0" w:evenVBand="0" w:oddHBand="0" w:evenHBand="0" w:firstRowFirstColumn="0" w:firstRowLastColumn="0" w:lastRowFirstColumn="0" w:lastRowLastColumn="0"/>
              <w:rPr>
                <w:rStyle w:val="afa"/>
                <w:rFonts w:ascii="Cambria" w:hAnsi="Cambria"/>
                <w:i/>
              </w:rPr>
            </w:pPr>
            <w:r>
              <w:rPr>
                <w:rStyle w:val="afa"/>
                <w:rFonts w:ascii="Cambria" w:hAnsi="Cambria"/>
              </w:rPr>
              <w:t>тыс. руб.</w:t>
            </w:r>
          </w:p>
        </w:tc>
      </w:tr>
      <w:tr w:rsidR="00BD230C" w:rsidRPr="001C3F4B" w:rsidTr="00BD23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noWrap/>
            <w:hideMark/>
          </w:tcPr>
          <w:p w:rsidR="00BD230C" w:rsidRPr="009419C1" w:rsidRDefault="00BD230C" w:rsidP="00BD230C">
            <w:pPr>
              <w:rPr>
                <w:rStyle w:val="afa"/>
                <w:rFonts w:asciiTheme="minorHAnsi" w:hAnsiTheme="minorHAnsi"/>
                <w:b/>
                <w:i/>
              </w:rPr>
            </w:pPr>
            <w:r w:rsidRPr="009419C1">
              <w:rPr>
                <w:rStyle w:val="afa"/>
                <w:rFonts w:asciiTheme="minorHAnsi" w:hAnsiTheme="minorHAnsi"/>
                <w:b/>
              </w:rPr>
              <w:t>Всего</w:t>
            </w:r>
          </w:p>
        </w:tc>
        <w:tc>
          <w:tcPr>
            <w:tcW w:w="2234" w:type="dxa"/>
          </w:tcPr>
          <w:p w:rsidR="00BD230C" w:rsidRPr="00BD230C" w:rsidRDefault="00BD230C" w:rsidP="00BD230C">
            <w:pPr>
              <w:jc w:val="center"/>
              <w:cnfStyle w:val="000000100000" w:firstRow="0" w:lastRow="0" w:firstColumn="0" w:lastColumn="0" w:oddVBand="0" w:evenVBand="0" w:oddHBand="1" w:evenHBand="0" w:firstRowFirstColumn="0" w:firstRowLastColumn="0" w:lastRowFirstColumn="0" w:lastRowLastColumn="0"/>
              <w:rPr>
                <w:b/>
              </w:rPr>
            </w:pPr>
            <w:r w:rsidRPr="00BD230C">
              <w:rPr>
                <w:b/>
              </w:rPr>
              <w:t>37 959</w:t>
            </w:r>
          </w:p>
        </w:tc>
        <w:tc>
          <w:tcPr>
            <w:tcW w:w="2234" w:type="dxa"/>
          </w:tcPr>
          <w:p w:rsidR="00BD230C" w:rsidRPr="00BD230C" w:rsidRDefault="00BD230C" w:rsidP="00BD230C">
            <w:pPr>
              <w:jc w:val="center"/>
              <w:cnfStyle w:val="000000100000" w:firstRow="0" w:lastRow="0" w:firstColumn="0" w:lastColumn="0" w:oddVBand="0" w:evenVBand="0" w:oddHBand="1" w:evenHBand="0" w:firstRowFirstColumn="0" w:firstRowLastColumn="0" w:lastRowFirstColumn="0" w:lastRowLastColumn="0"/>
              <w:rPr>
                <w:b/>
              </w:rPr>
            </w:pPr>
            <w:r w:rsidRPr="00BD230C">
              <w:rPr>
                <w:b/>
              </w:rPr>
              <w:t>29 504</w:t>
            </w:r>
          </w:p>
        </w:tc>
        <w:tc>
          <w:tcPr>
            <w:tcW w:w="2234" w:type="dxa"/>
          </w:tcPr>
          <w:p w:rsidR="00BD230C" w:rsidRPr="00BD230C" w:rsidRDefault="00BD230C" w:rsidP="00BD230C">
            <w:pPr>
              <w:jc w:val="center"/>
              <w:cnfStyle w:val="000000100000" w:firstRow="0" w:lastRow="0" w:firstColumn="0" w:lastColumn="0" w:oddVBand="0" w:evenVBand="0" w:oddHBand="1" w:evenHBand="0" w:firstRowFirstColumn="0" w:firstRowLastColumn="0" w:lastRowFirstColumn="0" w:lastRowLastColumn="0"/>
              <w:rPr>
                <w:b/>
              </w:rPr>
            </w:pPr>
            <w:r w:rsidRPr="00BD230C">
              <w:rPr>
                <w:b/>
              </w:rPr>
              <w:t>8 455</w:t>
            </w:r>
          </w:p>
        </w:tc>
      </w:tr>
      <w:tr w:rsidR="00E07732" w:rsidRPr="001C3F4B" w:rsidTr="00BD23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noWrap/>
            <w:hideMark/>
          </w:tcPr>
          <w:p w:rsidR="00E07732" w:rsidRPr="00C52A27" w:rsidRDefault="00E07732" w:rsidP="008D2371">
            <w:pPr>
              <w:rPr>
                <w:rStyle w:val="afa"/>
                <w:rFonts w:asciiTheme="minorHAnsi" w:hAnsiTheme="minorHAnsi"/>
                <w:i/>
              </w:rPr>
            </w:pPr>
            <w:r w:rsidRPr="00C52A27">
              <w:rPr>
                <w:rStyle w:val="afa"/>
                <w:rFonts w:asciiTheme="minorHAnsi" w:hAnsiTheme="minorHAnsi"/>
              </w:rPr>
              <w:t>в том числе:</w:t>
            </w:r>
          </w:p>
        </w:tc>
        <w:tc>
          <w:tcPr>
            <w:tcW w:w="2234" w:type="dxa"/>
          </w:tcPr>
          <w:p w:rsidR="00E07732" w:rsidRPr="00C52A27" w:rsidRDefault="00E07732" w:rsidP="008D2371">
            <w:pPr>
              <w:jc w:val="center"/>
              <w:cnfStyle w:val="000000010000" w:firstRow="0" w:lastRow="0" w:firstColumn="0" w:lastColumn="0" w:oddVBand="0" w:evenVBand="0" w:oddHBand="0" w:evenHBand="1" w:firstRowFirstColumn="0" w:firstRowLastColumn="0" w:lastRowFirstColumn="0" w:lastRowLastColumn="0"/>
              <w:rPr>
                <w:rStyle w:val="afa"/>
                <w:b w:val="0"/>
                <w:i/>
              </w:rPr>
            </w:pPr>
            <w:r w:rsidRPr="00C52A27">
              <w:rPr>
                <w:rStyle w:val="afa"/>
              </w:rPr>
              <w:t> </w:t>
            </w:r>
          </w:p>
        </w:tc>
        <w:tc>
          <w:tcPr>
            <w:tcW w:w="2234" w:type="dxa"/>
          </w:tcPr>
          <w:p w:rsidR="00E07732" w:rsidRPr="00C52A27" w:rsidRDefault="00E07732" w:rsidP="008D2371">
            <w:pPr>
              <w:jc w:val="center"/>
              <w:cnfStyle w:val="000000010000" w:firstRow="0" w:lastRow="0" w:firstColumn="0" w:lastColumn="0" w:oddVBand="0" w:evenVBand="0" w:oddHBand="0" w:evenHBand="1" w:firstRowFirstColumn="0" w:firstRowLastColumn="0" w:lastRowFirstColumn="0" w:lastRowLastColumn="0"/>
              <w:rPr>
                <w:rStyle w:val="afa"/>
                <w:b w:val="0"/>
                <w:i/>
              </w:rPr>
            </w:pPr>
            <w:r w:rsidRPr="00C52A27">
              <w:rPr>
                <w:rStyle w:val="afa"/>
              </w:rPr>
              <w:t> </w:t>
            </w:r>
          </w:p>
        </w:tc>
        <w:tc>
          <w:tcPr>
            <w:tcW w:w="2234" w:type="dxa"/>
          </w:tcPr>
          <w:p w:rsidR="00E07732" w:rsidRPr="00C52A27" w:rsidRDefault="00E07732" w:rsidP="008D2371">
            <w:pPr>
              <w:jc w:val="center"/>
              <w:cnfStyle w:val="000000010000" w:firstRow="0" w:lastRow="0" w:firstColumn="0" w:lastColumn="0" w:oddVBand="0" w:evenVBand="0" w:oddHBand="0" w:evenHBand="1" w:firstRowFirstColumn="0" w:firstRowLastColumn="0" w:lastRowFirstColumn="0" w:lastRowLastColumn="0"/>
              <w:rPr>
                <w:rStyle w:val="afa"/>
                <w:b w:val="0"/>
                <w:i/>
              </w:rPr>
            </w:pPr>
            <w:r w:rsidRPr="00C52A27">
              <w:rPr>
                <w:rStyle w:val="afa"/>
              </w:rPr>
              <w:t> </w:t>
            </w:r>
          </w:p>
        </w:tc>
      </w:tr>
      <w:tr w:rsidR="00BD230C" w:rsidRPr="001C3F4B" w:rsidTr="00BD230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24" w:type="dxa"/>
          </w:tcPr>
          <w:p w:rsidR="00BD230C" w:rsidRPr="00C52A27" w:rsidRDefault="00BD230C" w:rsidP="00BD230C">
            <w:pPr>
              <w:rPr>
                <w:rStyle w:val="afa"/>
                <w:rFonts w:asciiTheme="minorHAnsi" w:hAnsiTheme="minorHAnsi"/>
                <w:i/>
              </w:rPr>
            </w:pPr>
            <w:r w:rsidRPr="00C52A27">
              <w:rPr>
                <w:rStyle w:val="afa"/>
                <w:rFonts w:asciiTheme="minorHAnsi" w:hAnsiTheme="minorHAnsi"/>
              </w:rPr>
              <w:t>Электроэнергия</w:t>
            </w:r>
          </w:p>
        </w:tc>
        <w:tc>
          <w:tcPr>
            <w:tcW w:w="2234" w:type="dxa"/>
            <w:noWrap/>
          </w:tcPr>
          <w:p w:rsidR="00BD230C" w:rsidRPr="00655249"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655249">
              <w:t>13 045</w:t>
            </w:r>
          </w:p>
        </w:tc>
        <w:tc>
          <w:tcPr>
            <w:tcW w:w="2234" w:type="dxa"/>
            <w:noWrap/>
          </w:tcPr>
          <w:p w:rsidR="00BD230C" w:rsidRPr="00655249"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655249">
              <w:t>7 437</w:t>
            </w:r>
          </w:p>
        </w:tc>
        <w:tc>
          <w:tcPr>
            <w:tcW w:w="2234" w:type="dxa"/>
            <w:noWrap/>
          </w:tcPr>
          <w:p w:rsidR="00BD230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655249">
              <w:t>5 608</w:t>
            </w:r>
          </w:p>
        </w:tc>
      </w:tr>
      <w:tr w:rsidR="00BD230C" w:rsidRPr="001C3F4B" w:rsidTr="00BD23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noWrap/>
            <w:hideMark/>
          </w:tcPr>
          <w:p w:rsidR="00BD230C" w:rsidRPr="00C52A27" w:rsidRDefault="00BD230C" w:rsidP="00BD230C">
            <w:pPr>
              <w:rPr>
                <w:rStyle w:val="afa"/>
                <w:rFonts w:asciiTheme="minorHAnsi" w:hAnsiTheme="minorHAnsi"/>
                <w:i/>
              </w:rPr>
            </w:pPr>
            <w:r w:rsidRPr="00C52A27">
              <w:rPr>
                <w:rStyle w:val="afa"/>
                <w:rFonts w:asciiTheme="minorHAnsi" w:hAnsiTheme="minorHAnsi"/>
              </w:rPr>
              <w:t>Тепловая энергия</w:t>
            </w:r>
          </w:p>
        </w:tc>
        <w:tc>
          <w:tcPr>
            <w:tcW w:w="2234" w:type="dxa"/>
            <w:noWrap/>
          </w:tcPr>
          <w:p w:rsidR="00BD230C" w:rsidRPr="005D34AE"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5D34AE">
              <w:t>15 220</w:t>
            </w:r>
          </w:p>
        </w:tc>
        <w:tc>
          <w:tcPr>
            <w:tcW w:w="2234" w:type="dxa"/>
            <w:noWrap/>
          </w:tcPr>
          <w:p w:rsidR="00BD230C" w:rsidRPr="005D34AE"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5D34AE">
              <w:t>13 398</w:t>
            </w:r>
          </w:p>
        </w:tc>
        <w:tc>
          <w:tcPr>
            <w:tcW w:w="2234" w:type="dxa"/>
            <w:noWrap/>
          </w:tcPr>
          <w:p w:rsidR="00BD230C" w:rsidRPr="005D34AE"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5D34AE">
              <w:t>1 822</w:t>
            </w:r>
          </w:p>
        </w:tc>
      </w:tr>
      <w:tr w:rsidR="00BD230C" w:rsidRPr="001C3F4B" w:rsidTr="00BD23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hideMark/>
          </w:tcPr>
          <w:p w:rsidR="00BD230C" w:rsidRPr="00C52A27" w:rsidRDefault="00BD230C" w:rsidP="00BD230C">
            <w:pPr>
              <w:rPr>
                <w:rStyle w:val="afa"/>
                <w:rFonts w:asciiTheme="minorHAnsi" w:hAnsiTheme="minorHAnsi"/>
                <w:i/>
              </w:rPr>
            </w:pPr>
            <w:r w:rsidRPr="00C52A27">
              <w:rPr>
                <w:rStyle w:val="afa"/>
                <w:rFonts w:asciiTheme="minorHAnsi" w:hAnsiTheme="minorHAnsi"/>
              </w:rPr>
              <w:t>Питьевая вода</w:t>
            </w:r>
          </w:p>
        </w:tc>
        <w:tc>
          <w:tcPr>
            <w:tcW w:w="2234" w:type="dxa"/>
            <w:noWrap/>
          </w:tcPr>
          <w:p w:rsidR="00BD230C" w:rsidRPr="005D34AE"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5D34AE">
              <w:t>1723</w:t>
            </w:r>
          </w:p>
        </w:tc>
        <w:tc>
          <w:tcPr>
            <w:tcW w:w="2234" w:type="dxa"/>
            <w:noWrap/>
          </w:tcPr>
          <w:p w:rsidR="00BD230C" w:rsidRPr="005D34AE"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5D34AE">
              <w:t>1428</w:t>
            </w:r>
          </w:p>
        </w:tc>
        <w:tc>
          <w:tcPr>
            <w:tcW w:w="2234" w:type="dxa"/>
            <w:noWrap/>
          </w:tcPr>
          <w:p w:rsidR="00BD230C" w:rsidRPr="005D34AE"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5D34AE">
              <w:t>295</w:t>
            </w:r>
          </w:p>
        </w:tc>
      </w:tr>
      <w:tr w:rsidR="00BD230C" w:rsidRPr="001C3F4B" w:rsidTr="00BD23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hideMark/>
          </w:tcPr>
          <w:p w:rsidR="00BD230C" w:rsidRPr="00C52A27" w:rsidRDefault="00BD230C" w:rsidP="00BD230C">
            <w:pPr>
              <w:rPr>
                <w:rStyle w:val="afa"/>
                <w:rFonts w:asciiTheme="minorHAnsi" w:hAnsiTheme="minorHAnsi"/>
                <w:i/>
              </w:rPr>
            </w:pPr>
            <w:r w:rsidRPr="00C52A27">
              <w:rPr>
                <w:rStyle w:val="afa"/>
                <w:rFonts w:asciiTheme="minorHAnsi" w:hAnsiTheme="minorHAnsi"/>
              </w:rPr>
              <w:t>Водоотведение</w:t>
            </w:r>
          </w:p>
        </w:tc>
        <w:tc>
          <w:tcPr>
            <w:tcW w:w="2234" w:type="dxa"/>
            <w:noWrap/>
          </w:tcPr>
          <w:p w:rsidR="00BD230C" w:rsidRPr="005D34AE"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5D34AE">
              <w:t>1 814</w:t>
            </w:r>
          </w:p>
        </w:tc>
        <w:tc>
          <w:tcPr>
            <w:tcW w:w="2234" w:type="dxa"/>
            <w:noWrap/>
          </w:tcPr>
          <w:p w:rsidR="00BD230C" w:rsidRPr="005D34AE"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5D34AE">
              <w:t>1 413</w:t>
            </w:r>
          </w:p>
        </w:tc>
        <w:tc>
          <w:tcPr>
            <w:tcW w:w="2234" w:type="dxa"/>
            <w:noWrap/>
          </w:tcPr>
          <w:p w:rsidR="00BD230C"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5D34AE">
              <w:t>401</w:t>
            </w:r>
          </w:p>
        </w:tc>
      </w:tr>
      <w:tr w:rsidR="00BD230C" w:rsidRPr="001C3F4B" w:rsidTr="00BD2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rsidR="00BD230C" w:rsidRPr="00C52A27" w:rsidRDefault="00BD230C" w:rsidP="00BD230C">
            <w:pPr>
              <w:rPr>
                <w:rStyle w:val="afa"/>
                <w:rFonts w:asciiTheme="minorHAnsi" w:hAnsiTheme="minorHAnsi"/>
                <w:i/>
              </w:rPr>
            </w:pPr>
            <w:r w:rsidRPr="00C52A27">
              <w:rPr>
                <w:rStyle w:val="afa"/>
                <w:rFonts w:asciiTheme="minorHAnsi" w:hAnsiTheme="minorHAnsi"/>
              </w:rPr>
              <w:t>Обращение с ТКО</w:t>
            </w:r>
          </w:p>
        </w:tc>
        <w:tc>
          <w:tcPr>
            <w:tcW w:w="2234" w:type="dxa"/>
            <w:noWrap/>
          </w:tcPr>
          <w:p w:rsidR="00BD230C" w:rsidRPr="00AC482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AC482C">
              <w:t>1 941</w:t>
            </w:r>
          </w:p>
        </w:tc>
        <w:tc>
          <w:tcPr>
            <w:tcW w:w="2234" w:type="dxa"/>
            <w:noWrap/>
          </w:tcPr>
          <w:p w:rsidR="00BD230C" w:rsidRPr="00AC482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AC482C">
              <w:t>1 747</w:t>
            </w:r>
          </w:p>
        </w:tc>
        <w:tc>
          <w:tcPr>
            <w:tcW w:w="2234" w:type="dxa"/>
            <w:noWrap/>
          </w:tcPr>
          <w:p w:rsidR="00BD230C" w:rsidRPr="00AC482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AC482C">
              <w:t>194</w:t>
            </w:r>
          </w:p>
        </w:tc>
      </w:tr>
      <w:tr w:rsidR="00BD230C" w:rsidRPr="001C3F4B" w:rsidTr="00BD230C">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124" w:type="dxa"/>
            <w:hideMark/>
          </w:tcPr>
          <w:p w:rsidR="00BD230C" w:rsidRPr="00C52A27" w:rsidRDefault="00BD230C" w:rsidP="00BD230C">
            <w:pPr>
              <w:rPr>
                <w:rStyle w:val="afa"/>
                <w:rFonts w:asciiTheme="minorHAnsi" w:hAnsiTheme="minorHAnsi"/>
                <w:i/>
              </w:rPr>
            </w:pPr>
            <w:r w:rsidRPr="00C52A27">
              <w:rPr>
                <w:rStyle w:val="afa"/>
                <w:rFonts w:asciiTheme="minorHAnsi" w:hAnsiTheme="minorHAnsi"/>
              </w:rPr>
              <w:t>Газ, в т.ч. сжиженный населению</w:t>
            </w:r>
          </w:p>
        </w:tc>
        <w:tc>
          <w:tcPr>
            <w:tcW w:w="2234" w:type="dxa"/>
            <w:noWrap/>
          </w:tcPr>
          <w:p w:rsidR="00BD230C" w:rsidRPr="00AC482C"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AC482C">
              <w:t>3 099</w:t>
            </w:r>
          </w:p>
        </w:tc>
        <w:tc>
          <w:tcPr>
            <w:tcW w:w="2234" w:type="dxa"/>
            <w:noWrap/>
          </w:tcPr>
          <w:p w:rsidR="00BD230C" w:rsidRPr="00AC482C"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AC482C">
              <w:t>3 026</w:t>
            </w:r>
          </w:p>
        </w:tc>
        <w:tc>
          <w:tcPr>
            <w:tcW w:w="2234" w:type="dxa"/>
            <w:noWrap/>
          </w:tcPr>
          <w:p w:rsidR="00BD230C" w:rsidRPr="00AC482C" w:rsidRDefault="00BD230C" w:rsidP="00BD230C">
            <w:pPr>
              <w:jc w:val="center"/>
              <w:cnfStyle w:val="000000010000" w:firstRow="0" w:lastRow="0" w:firstColumn="0" w:lastColumn="0" w:oddVBand="0" w:evenVBand="0" w:oddHBand="0" w:evenHBand="1" w:firstRowFirstColumn="0" w:firstRowLastColumn="0" w:lastRowFirstColumn="0" w:lastRowLastColumn="0"/>
            </w:pPr>
            <w:r w:rsidRPr="00AC482C">
              <w:t>73</w:t>
            </w:r>
          </w:p>
        </w:tc>
      </w:tr>
      <w:tr w:rsidR="00BD230C" w:rsidRPr="001C3F4B" w:rsidTr="00BD23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noWrap/>
            <w:hideMark/>
          </w:tcPr>
          <w:p w:rsidR="00BD230C" w:rsidRPr="00C52A27" w:rsidRDefault="00BD230C" w:rsidP="00BD230C">
            <w:pPr>
              <w:rPr>
                <w:rStyle w:val="afa"/>
                <w:rFonts w:asciiTheme="minorHAnsi" w:hAnsiTheme="minorHAnsi"/>
                <w:i/>
              </w:rPr>
            </w:pPr>
            <w:r w:rsidRPr="00C52A27">
              <w:rPr>
                <w:rStyle w:val="afa"/>
                <w:rFonts w:asciiTheme="minorHAnsi" w:hAnsiTheme="minorHAnsi"/>
              </w:rPr>
              <w:t>Транспорт</w:t>
            </w:r>
          </w:p>
        </w:tc>
        <w:tc>
          <w:tcPr>
            <w:tcW w:w="2234" w:type="dxa"/>
            <w:noWrap/>
          </w:tcPr>
          <w:p w:rsidR="00BD230C" w:rsidRPr="00AC482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AC482C">
              <w:t>1 117</w:t>
            </w:r>
          </w:p>
        </w:tc>
        <w:tc>
          <w:tcPr>
            <w:tcW w:w="2234" w:type="dxa"/>
            <w:noWrap/>
          </w:tcPr>
          <w:p w:rsidR="00BD230C" w:rsidRPr="00AC482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AC482C">
              <w:t>1 055</w:t>
            </w:r>
          </w:p>
        </w:tc>
        <w:tc>
          <w:tcPr>
            <w:tcW w:w="2234" w:type="dxa"/>
            <w:noWrap/>
          </w:tcPr>
          <w:p w:rsidR="00BD230C" w:rsidRDefault="00BD230C" w:rsidP="00BD230C">
            <w:pPr>
              <w:jc w:val="center"/>
              <w:cnfStyle w:val="000000100000" w:firstRow="0" w:lastRow="0" w:firstColumn="0" w:lastColumn="0" w:oddVBand="0" w:evenVBand="0" w:oddHBand="1" w:evenHBand="0" w:firstRowFirstColumn="0" w:firstRowLastColumn="0" w:lastRowFirstColumn="0" w:lastRowLastColumn="0"/>
            </w:pPr>
            <w:r w:rsidRPr="00AC482C">
              <w:t>62</w:t>
            </w:r>
          </w:p>
        </w:tc>
      </w:tr>
      <w:tr w:rsidR="00082275" w:rsidRPr="001C3F4B" w:rsidTr="00BD23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4" w:type="dxa"/>
            <w:noWrap/>
          </w:tcPr>
          <w:p w:rsidR="00082275" w:rsidRPr="00C52A27" w:rsidRDefault="00082275" w:rsidP="00BD230C">
            <w:pPr>
              <w:rPr>
                <w:rStyle w:val="afa"/>
              </w:rPr>
            </w:pPr>
          </w:p>
        </w:tc>
        <w:tc>
          <w:tcPr>
            <w:tcW w:w="2234" w:type="dxa"/>
            <w:noWrap/>
          </w:tcPr>
          <w:p w:rsidR="00082275" w:rsidRPr="00AC482C" w:rsidRDefault="00082275" w:rsidP="00BD230C">
            <w:pPr>
              <w:jc w:val="center"/>
              <w:cnfStyle w:val="000000010000" w:firstRow="0" w:lastRow="0" w:firstColumn="0" w:lastColumn="0" w:oddVBand="0" w:evenVBand="0" w:oddHBand="0" w:evenHBand="1" w:firstRowFirstColumn="0" w:firstRowLastColumn="0" w:lastRowFirstColumn="0" w:lastRowLastColumn="0"/>
            </w:pPr>
          </w:p>
        </w:tc>
        <w:tc>
          <w:tcPr>
            <w:tcW w:w="2234" w:type="dxa"/>
            <w:noWrap/>
          </w:tcPr>
          <w:p w:rsidR="00082275" w:rsidRPr="00AC482C" w:rsidRDefault="00082275" w:rsidP="00BD230C">
            <w:pPr>
              <w:jc w:val="center"/>
              <w:cnfStyle w:val="000000010000" w:firstRow="0" w:lastRow="0" w:firstColumn="0" w:lastColumn="0" w:oddVBand="0" w:evenVBand="0" w:oddHBand="0" w:evenHBand="1" w:firstRowFirstColumn="0" w:firstRowLastColumn="0" w:lastRowFirstColumn="0" w:lastRowLastColumn="0"/>
            </w:pPr>
          </w:p>
        </w:tc>
        <w:tc>
          <w:tcPr>
            <w:tcW w:w="2234" w:type="dxa"/>
            <w:noWrap/>
          </w:tcPr>
          <w:p w:rsidR="00082275" w:rsidRPr="00AC482C" w:rsidRDefault="00082275" w:rsidP="00BD230C">
            <w:pPr>
              <w:jc w:val="center"/>
              <w:cnfStyle w:val="000000010000" w:firstRow="0" w:lastRow="0" w:firstColumn="0" w:lastColumn="0" w:oddVBand="0" w:evenVBand="0" w:oddHBand="0" w:evenHBand="1" w:firstRowFirstColumn="0" w:firstRowLastColumn="0" w:lastRowFirstColumn="0" w:lastRowLastColumn="0"/>
            </w:pPr>
          </w:p>
        </w:tc>
      </w:tr>
    </w:tbl>
    <w:p w:rsidR="007E21FD" w:rsidRPr="00082275" w:rsidRDefault="00E07732">
      <w:pPr>
        <w:pStyle w:val="23"/>
      </w:pPr>
      <w:bookmarkStart w:id="28" w:name="_Toc97309423"/>
      <w:bookmarkStart w:id="29" w:name="_Toc97386230"/>
      <w:r w:rsidRPr="00082275">
        <w:t>Ежегодный эффект от государственного регулирования тарифов</w:t>
      </w:r>
      <w:bookmarkEnd w:id="28"/>
      <w:bookmarkEnd w:id="29"/>
    </w:p>
    <w:p w:rsidR="00E07732" w:rsidRDefault="00E07732" w:rsidP="00E07732">
      <w:pPr>
        <w:pStyle w:val="a"/>
        <w:numPr>
          <w:ilvl w:val="0"/>
          <w:numId w:val="0"/>
        </w:numPr>
      </w:pPr>
    </w:p>
    <w:p w:rsidR="00DD381E" w:rsidRDefault="00C849BE" w:rsidP="00E07732">
      <w:pPr>
        <w:pStyle w:val="a"/>
        <w:numPr>
          <w:ilvl w:val="0"/>
          <w:numId w:val="0"/>
        </w:numPr>
      </w:pPr>
      <w:r>
        <w:rPr>
          <w:noProof/>
        </w:rPr>
        <w:drawing>
          <wp:inline distT="0" distB="0" distL="0" distR="0" wp14:anchorId="195FC281" wp14:editId="1749E7C2">
            <wp:extent cx="6113780" cy="3698543"/>
            <wp:effectExtent l="0" t="0" r="1270" b="0"/>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CB7CEA-00CD-4796-BFE4-FFE156946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21FD" w:rsidRDefault="001C0AA8">
      <w:pPr>
        <w:pStyle w:val="11"/>
      </w:pPr>
      <w:bookmarkStart w:id="30" w:name="_Toc325634777"/>
      <w:bookmarkStart w:id="31" w:name="_Toc329165213"/>
      <w:bookmarkStart w:id="32" w:name="_Toc97309425"/>
      <w:bookmarkStart w:id="33" w:name="_Toc97386231"/>
      <w:r>
        <w:lastRenderedPageBreak/>
        <w:t>Тарифы на коммунальные ресурсы</w:t>
      </w:r>
      <w:bookmarkEnd w:id="30"/>
      <w:bookmarkEnd w:id="31"/>
      <w:bookmarkEnd w:id="32"/>
      <w:bookmarkEnd w:id="33"/>
    </w:p>
    <w:p w:rsidR="008D2371" w:rsidRPr="00082275" w:rsidRDefault="000F65DA" w:rsidP="00921FF0">
      <w:pPr>
        <w:pStyle w:val="23"/>
      </w:pPr>
      <w:bookmarkStart w:id="34" w:name="_Toc97309426"/>
      <w:bookmarkStart w:id="35" w:name="_Toc97386232"/>
      <w:r w:rsidRPr="00082275">
        <w:t>электроснабжение</w:t>
      </w:r>
      <w:bookmarkEnd w:id="34"/>
      <w:bookmarkEnd w:id="35"/>
      <w:r w:rsidRPr="00082275">
        <w:t xml:space="preserve"> </w:t>
      </w:r>
    </w:p>
    <w:p w:rsidR="00B17513" w:rsidRPr="001032C3" w:rsidRDefault="00B17513" w:rsidP="008D2371">
      <w:pPr>
        <w:autoSpaceDE w:val="0"/>
        <w:autoSpaceDN w:val="0"/>
        <w:adjustRightInd w:val="0"/>
        <w:jc w:val="both"/>
        <w:rPr>
          <w:rFonts w:cstheme="minorHAnsi"/>
          <w:b/>
          <w:caps/>
        </w:rPr>
      </w:pPr>
      <w:bookmarkStart w:id="36" w:name="_Hlk97303773"/>
      <w:r w:rsidRPr="001032C3">
        <w:rPr>
          <w:rFonts w:cstheme="minorHAnsi"/>
          <w:b/>
          <w:caps/>
        </w:rPr>
        <w:t>тарифы на электрическую энергию для населения</w:t>
      </w:r>
    </w:p>
    <w:bookmarkEnd w:id="36"/>
    <w:p w:rsidR="00B17513" w:rsidRPr="00F97371" w:rsidRDefault="00B17513" w:rsidP="001032C3">
      <w:pPr>
        <w:autoSpaceDE w:val="0"/>
        <w:autoSpaceDN w:val="0"/>
        <w:adjustRightInd w:val="0"/>
        <w:spacing w:after="120"/>
        <w:jc w:val="both"/>
        <w:rPr>
          <w:rFonts w:cstheme="minorHAnsi"/>
        </w:rPr>
      </w:pPr>
      <w:proofErr w:type="spellStart"/>
      <w:r w:rsidRPr="00F97371">
        <w:rPr>
          <w:rFonts w:cstheme="minorHAnsi"/>
        </w:rPr>
        <w:t>Одноставочные</w:t>
      </w:r>
      <w:proofErr w:type="spellEnd"/>
      <w:r w:rsidRPr="00F97371">
        <w:rPr>
          <w:rFonts w:cstheme="minorHAnsi"/>
        </w:rPr>
        <w:t>:</w:t>
      </w:r>
    </w:p>
    <w:p w:rsidR="00B17513" w:rsidRPr="00F97371" w:rsidRDefault="00B17513" w:rsidP="001032C3">
      <w:pPr>
        <w:autoSpaceDE w:val="0"/>
        <w:autoSpaceDN w:val="0"/>
        <w:adjustRightInd w:val="0"/>
        <w:spacing w:after="120"/>
        <w:jc w:val="both"/>
        <w:rPr>
          <w:rFonts w:cstheme="minorHAnsi"/>
        </w:rPr>
      </w:pPr>
      <w:r w:rsidRPr="00F97371">
        <w:rPr>
          <w:rFonts w:cstheme="minorHAnsi"/>
        </w:rPr>
        <w:t>- с 1 января 2022 г.- 4,97 руб./кВт ч (с НДС) на уровне второго полугодия 2021 года,</w:t>
      </w:r>
    </w:p>
    <w:p w:rsidR="00B17513" w:rsidRPr="00F97371" w:rsidRDefault="00B17513" w:rsidP="001032C3">
      <w:pPr>
        <w:autoSpaceDE w:val="0"/>
        <w:autoSpaceDN w:val="0"/>
        <w:adjustRightInd w:val="0"/>
        <w:spacing w:after="120"/>
        <w:jc w:val="both"/>
        <w:rPr>
          <w:rFonts w:cstheme="minorHAnsi"/>
        </w:rPr>
      </w:pPr>
      <w:r w:rsidRPr="00F97371">
        <w:rPr>
          <w:rFonts w:cstheme="minorHAnsi"/>
        </w:rPr>
        <w:t>- с 1 июля 2022 г. – 5,22 руб./кВт ч (с НДС) с приростом 5,0 % к первому полугодию 2022 года.</w:t>
      </w:r>
    </w:p>
    <w:p w:rsidR="00B17513" w:rsidRPr="00F97371" w:rsidRDefault="00B17513" w:rsidP="001032C3">
      <w:pPr>
        <w:autoSpaceDE w:val="0"/>
        <w:autoSpaceDN w:val="0"/>
        <w:adjustRightInd w:val="0"/>
        <w:spacing w:after="120"/>
        <w:jc w:val="both"/>
        <w:rPr>
          <w:rFonts w:cstheme="minorHAnsi"/>
        </w:rPr>
      </w:pPr>
      <w:r w:rsidRPr="00F97371">
        <w:rPr>
          <w:rFonts w:cstheme="minorHAnsi"/>
        </w:rPr>
        <w:t>Дифференцированные по зонам суток:</w:t>
      </w:r>
    </w:p>
    <w:p w:rsidR="00B17513" w:rsidRPr="00F97371" w:rsidRDefault="00B17513" w:rsidP="001032C3">
      <w:pPr>
        <w:autoSpaceDE w:val="0"/>
        <w:autoSpaceDN w:val="0"/>
        <w:adjustRightInd w:val="0"/>
        <w:spacing w:after="120"/>
        <w:jc w:val="both"/>
        <w:rPr>
          <w:rFonts w:cstheme="minorHAnsi"/>
        </w:rPr>
      </w:pPr>
      <w:r w:rsidRPr="00F97371">
        <w:rPr>
          <w:rFonts w:cstheme="minorHAnsi"/>
        </w:rPr>
        <w:t>день:</w:t>
      </w:r>
    </w:p>
    <w:p w:rsidR="00B17513" w:rsidRPr="00F97371" w:rsidRDefault="00B17513" w:rsidP="001032C3">
      <w:pPr>
        <w:autoSpaceDE w:val="0"/>
        <w:autoSpaceDN w:val="0"/>
        <w:adjustRightInd w:val="0"/>
        <w:spacing w:after="120"/>
        <w:jc w:val="both"/>
        <w:rPr>
          <w:rFonts w:cstheme="minorHAnsi"/>
        </w:rPr>
      </w:pPr>
      <w:r w:rsidRPr="00F97371">
        <w:rPr>
          <w:rFonts w:cstheme="minorHAnsi"/>
        </w:rPr>
        <w:t>- с 1 января 2022 г.- 5,51 руб./кВт ч (с НДС) на уровне второго полугодия 2021 года,</w:t>
      </w:r>
    </w:p>
    <w:p w:rsidR="00B17513" w:rsidRPr="00F97371" w:rsidRDefault="00B17513" w:rsidP="001032C3">
      <w:pPr>
        <w:autoSpaceDE w:val="0"/>
        <w:autoSpaceDN w:val="0"/>
        <w:adjustRightInd w:val="0"/>
        <w:spacing w:after="120"/>
        <w:jc w:val="both"/>
        <w:rPr>
          <w:rFonts w:cstheme="minorHAnsi"/>
        </w:rPr>
      </w:pPr>
      <w:r w:rsidRPr="00F97371">
        <w:rPr>
          <w:rFonts w:cstheme="minorHAnsi"/>
        </w:rPr>
        <w:t>- с 1 июля 2022 г. – 5,87 руб./кВт ч (с НДС) с приростом 6,5 % к первому полугодию 2022 года;</w:t>
      </w:r>
    </w:p>
    <w:p w:rsidR="00B17513" w:rsidRPr="00F97371" w:rsidRDefault="00B17513" w:rsidP="001032C3">
      <w:pPr>
        <w:autoSpaceDE w:val="0"/>
        <w:autoSpaceDN w:val="0"/>
        <w:adjustRightInd w:val="0"/>
        <w:spacing w:after="120"/>
        <w:jc w:val="both"/>
        <w:rPr>
          <w:rFonts w:cstheme="minorHAnsi"/>
        </w:rPr>
      </w:pPr>
      <w:r w:rsidRPr="00F97371">
        <w:rPr>
          <w:rFonts w:cstheme="minorHAnsi"/>
        </w:rPr>
        <w:t>ночь:</w:t>
      </w:r>
    </w:p>
    <w:p w:rsidR="00B17513" w:rsidRPr="00F97371" w:rsidRDefault="00B17513" w:rsidP="001032C3">
      <w:pPr>
        <w:autoSpaceDE w:val="0"/>
        <w:autoSpaceDN w:val="0"/>
        <w:adjustRightInd w:val="0"/>
        <w:spacing w:after="120"/>
        <w:jc w:val="both"/>
        <w:rPr>
          <w:rFonts w:cstheme="minorHAnsi"/>
        </w:rPr>
      </w:pPr>
      <w:r w:rsidRPr="00F97371">
        <w:rPr>
          <w:rFonts w:cstheme="minorHAnsi"/>
        </w:rPr>
        <w:t>- с 1 января 2022 г.- 3,25 руб./кВт ч (с НДС) на уровне второго полугодия 2021 года,</w:t>
      </w:r>
    </w:p>
    <w:p w:rsidR="00B17513" w:rsidRDefault="00B17513" w:rsidP="001032C3">
      <w:pPr>
        <w:autoSpaceDE w:val="0"/>
        <w:autoSpaceDN w:val="0"/>
        <w:adjustRightInd w:val="0"/>
        <w:spacing w:after="120"/>
        <w:jc w:val="both"/>
        <w:rPr>
          <w:rFonts w:cstheme="minorHAnsi"/>
          <w:caps/>
        </w:rPr>
      </w:pPr>
      <w:r w:rsidRPr="00F97371">
        <w:rPr>
          <w:rFonts w:cstheme="minorHAnsi"/>
        </w:rPr>
        <w:t>- с 1 июля 2022 г. – 3,36 руб./кВт ч (с НДС) с приростом 3,4 % к первому полугодию 2022 года.</w:t>
      </w:r>
    </w:p>
    <w:p w:rsidR="001032C3" w:rsidRDefault="001032C3" w:rsidP="001032C3">
      <w:pPr>
        <w:autoSpaceDE w:val="0"/>
        <w:autoSpaceDN w:val="0"/>
        <w:adjustRightInd w:val="0"/>
        <w:spacing w:after="120"/>
        <w:jc w:val="both"/>
        <w:rPr>
          <w:rFonts w:cstheme="minorHAnsi"/>
          <w:caps/>
        </w:rPr>
      </w:pPr>
    </w:p>
    <w:p w:rsidR="00191FAC" w:rsidRDefault="00191FAC" w:rsidP="00191FAC">
      <w:pPr>
        <w:autoSpaceDE w:val="0"/>
        <w:autoSpaceDN w:val="0"/>
        <w:adjustRightInd w:val="0"/>
        <w:spacing w:after="120"/>
        <w:jc w:val="both"/>
        <w:rPr>
          <w:rFonts w:cstheme="minorHAnsi"/>
          <w:bCs/>
          <w:caps/>
        </w:rPr>
      </w:pPr>
      <w:bookmarkStart w:id="37" w:name="_Hlk97307568"/>
      <w:r w:rsidRPr="00191FAC">
        <w:rPr>
          <w:rFonts w:cstheme="minorHAnsi"/>
          <w:bCs/>
        </w:rPr>
        <w:t>Более высокий темп роста тарифов, дифференцированных по зонам суток, обусловлен необходимостью доведения величины зонных тарифов до нормативно обоснованного уровня в соответствии с действующим законодательством.</w:t>
      </w:r>
      <w:bookmarkEnd w:id="37"/>
    </w:p>
    <w:p w:rsidR="001032C3" w:rsidRPr="001032C3" w:rsidRDefault="001032C3" w:rsidP="001032C3">
      <w:pPr>
        <w:autoSpaceDE w:val="0"/>
        <w:autoSpaceDN w:val="0"/>
        <w:adjustRightInd w:val="0"/>
        <w:spacing w:after="120"/>
        <w:jc w:val="both"/>
        <w:rPr>
          <w:rFonts w:cstheme="minorHAnsi"/>
          <w:bCs/>
        </w:rPr>
      </w:pPr>
      <w:r w:rsidRPr="001032C3">
        <w:rPr>
          <w:rFonts w:cstheme="minorHAnsi"/>
          <w:bCs/>
        </w:rPr>
        <w:t>Также, с учетом установленных на федеральном уровне ограничений по индексу изменения размера вносимой гражданами платы за коммунальные услуги в среднем по Ивановской области на 2022 год, Департамент ограничил прирост тарифов на электрическую энергию для населения, потребляемой в ночной зоне до 3,4% с 1 июля 2022 года.</w:t>
      </w:r>
    </w:p>
    <w:p w:rsidR="001032C3" w:rsidRPr="001032C3" w:rsidRDefault="001032C3" w:rsidP="001032C3">
      <w:pPr>
        <w:autoSpaceDE w:val="0"/>
        <w:autoSpaceDN w:val="0"/>
        <w:adjustRightInd w:val="0"/>
        <w:spacing w:after="120"/>
        <w:jc w:val="both"/>
        <w:rPr>
          <w:rFonts w:cstheme="minorHAnsi"/>
          <w:bCs/>
        </w:rPr>
      </w:pPr>
      <w:r w:rsidRPr="001032C3">
        <w:rPr>
          <w:rFonts w:cstheme="minorHAnsi"/>
          <w:bCs/>
        </w:rPr>
        <w:t>Для сельского населения и населения, проживающего в домах с электроплитами и (или) электроотопительными установками, тариф установлен с максимально возможным понижающим коэффициентом (0,7). Для садоводческих некоммерческих товариществ и огороднических некоммерческих товариществ также продолжает применяться к тарифам на электрическую энергию понижающий коэффициент 0,7</w:t>
      </w:r>
      <w:r>
        <w:rPr>
          <w:rFonts w:cstheme="minorHAnsi"/>
          <w:bCs/>
        </w:rPr>
        <w:t>.</w:t>
      </w:r>
    </w:p>
    <w:p w:rsidR="000F65DA" w:rsidRDefault="008D2371">
      <w:pPr>
        <w:rPr>
          <w:rFonts w:ascii="Times" w:eastAsia="Times New Roman" w:hAnsi="Times" w:cs="Times New Roman"/>
          <w:noProof/>
          <w:color w:val="auto"/>
          <w:kern w:val="0"/>
          <w:sz w:val="18"/>
          <w:lang w:eastAsia="en-US"/>
        </w:rPr>
      </w:pPr>
      <w:r>
        <w:rPr>
          <w:noProof/>
        </w:rPr>
        <w:lastRenderedPageBreak/>
        <w:drawing>
          <wp:inline distT="0" distB="0" distL="0" distR="0" wp14:anchorId="4D5BF2D7" wp14:editId="5B80054F">
            <wp:extent cx="5940425" cy="3716977"/>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65DA" w:rsidRDefault="000F65DA">
      <w:pPr>
        <w:rPr>
          <w:rFonts w:ascii="Times" w:eastAsia="Times New Roman" w:hAnsi="Times" w:cs="Times New Roman"/>
          <w:noProof/>
          <w:color w:val="auto"/>
          <w:kern w:val="0"/>
          <w:sz w:val="18"/>
          <w:lang w:eastAsia="en-US"/>
        </w:rPr>
      </w:pPr>
    </w:p>
    <w:p w:rsidR="000F65DA" w:rsidRPr="001032C3" w:rsidRDefault="008D2371">
      <w:pPr>
        <w:rPr>
          <w:b/>
        </w:rPr>
      </w:pPr>
      <w:r w:rsidRPr="001032C3">
        <w:rPr>
          <w:b/>
        </w:rPr>
        <w:t>ЕДИНЫЕ (КОТЛОВЫЕ) ТАРИФЫ НА УСЛУГИ ПО ПЕРЕДАЧЕ ЭЛЕКТРИЧЕСКОЙ ЭНЕРГИИ (МОЩНОСТИ) ДЛЯ ПРОЧИХ ПОТРЕБИТЕЛЕЙ</w:t>
      </w:r>
    </w:p>
    <w:p w:rsidR="008D2371" w:rsidRPr="00A34D8A" w:rsidRDefault="001032C3" w:rsidP="008D2371">
      <w:pPr>
        <w:rPr>
          <w:rStyle w:val="afa"/>
        </w:rPr>
      </w:pPr>
      <w:bookmarkStart w:id="38" w:name="_Hlk97304744"/>
      <w:r>
        <w:rPr>
          <w:rFonts w:cstheme="minorHAnsi"/>
          <w:bCs/>
        </w:rPr>
        <w:t xml:space="preserve">Рост </w:t>
      </w:r>
      <w:proofErr w:type="spellStart"/>
      <w:r>
        <w:rPr>
          <w:rFonts w:cstheme="minorHAnsi"/>
          <w:bCs/>
        </w:rPr>
        <w:t>одноставочных</w:t>
      </w:r>
      <w:proofErr w:type="spellEnd"/>
      <w:r>
        <w:rPr>
          <w:rFonts w:cstheme="minorHAnsi"/>
          <w:bCs/>
        </w:rPr>
        <w:t xml:space="preserve"> единых (котловых) тарифов на услуги по передаче электрической энергии (мощности) для прочих потребителей, за исключением населения, составит: </w:t>
      </w:r>
    </w:p>
    <w:tbl>
      <w:tblPr>
        <w:tblStyle w:val="-421"/>
        <w:tblW w:w="5000" w:type="pct"/>
        <w:tblLayout w:type="fixed"/>
        <w:tblLook w:val="04A0" w:firstRow="1" w:lastRow="0" w:firstColumn="1" w:lastColumn="0" w:noHBand="0" w:noVBand="1"/>
      </w:tblPr>
      <w:tblGrid>
        <w:gridCol w:w="2392"/>
        <w:gridCol w:w="2393"/>
        <w:gridCol w:w="2393"/>
        <w:gridCol w:w="2393"/>
      </w:tblGrid>
      <w:tr w:rsidR="008D2371" w:rsidRPr="00BA6D3D" w:rsidTr="00772D7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92" w:type="dxa"/>
            <w:hideMark/>
          </w:tcPr>
          <w:bookmarkEnd w:id="38"/>
          <w:p w:rsidR="008D2371" w:rsidRPr="00BA6D3D" w:rsidRDefault="008D2371" w:rsidP="008D2371">
            <w:pPr>
              <w:autoSpaceDE w:val="0"/>
              <w:autoSpaceDN w:val="0"/>
              <w:adjustRightInd w:val="0"/>
              <w:spacing w:line="360" w:lineRule="auto"/>
              <w:contextualSpacing/>
              <w:jc w:val="center"/>
              <w:rPr>
                <w:rFonts w:cstheme="minorHAnsi"/>
                <w:i/>
                <w:color w:val="auto"/>
                <w:sz w:val="24"/>
                <w:szCs w:val="24"/>
              </w:rPr>
            </w:pPr>
            <w:r w:rsidRPr="00BA6D3D">
              <w:rPr>
                <w:rFonts w:cstheme="minorHAnsi"/>
                <w:i/>
                <w:color w:val="auto"/>
                <w:sz w:val="24"/>
                <w:szCs w:val="24"/>
              </w:rPr>
              <w:t>В</w:t>
            </w:r>
            <w:r>
              <w:rPr>
                <w:rFonts w:cstheme="minorHAnsi"/>
                <w:i/>
                <w:color w:val="auto"/>
                <w:sz w:val="24"/>
                <w:szCs w:val="24"/>
              </w:rPr>
              <w:t>Н</w:t>
            </w:r>
          </w:p>
        </w:tc>
        <w:tc>
          <w:tcPr>
            <w:tcW w:w="2393" w:type="dxa"/>
            <w:hideMark/>
          </w:tcPr>
          <w:p w:rsidR="008D2371" w:rsidRPr="00BA6D3D" w:rsidRDefault="008D2371" w:rsidP="008D2371">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4"/>
                <w:szCs w:val="24"/>
              </w:rPr>
            </w:pPr>
            <w:r w:rsidRPr="00BA6D3D">
              <w:rPr>
                <w:rFonts w:cstheme="minorHAnsi"/>
                <w:i/>
                <w:color w:val="auto"/>
                <w:sz w:val="24"/>
                <w:szCs w:val="24"/>
              </w:rPr>
              <w:t>СН1</w:t>
            </w:r>
          </w:p>
        </w:tc>
        <w:tc>
          <w:tcPr>
            <w:tcW w:w="2393" w:type="dxa"/>
            <w:hideMark/>
          </w:tcPr>
          <w:p w:rsidR="008D2371" w:rsidRPr="00BA6D3D" w:rsidRDefault="008D2371" w:rsidP="008D2371">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4"/>
                <w:szCs w:val="24"/>
              </w:rPr>
            </w:pPr>
            <w:r w:rsidRPr="00BA6D3D">
              <w:rPr>
                <w:rFonts w:cstheme="minorHAnsi"/>
                <w:i/>
                <w:color w:val="auto"/>
                <w:sz w:val="24"/>
                <w:szCs w:val="24"/>
              </w:rPr>
              <w:t>СН2</w:t>
            </w:r>
          </w:p>
        </w:tc>
        <w:tc>
          <w:tcPr>
            <w:tcW w:w="2393" w:type="dxa"/>
            <w:hideMark/>
          </w:tcPr>
          <w:p w:rsidR="008D2371" w:rsidRPr="00BA6D3D" w:rsidRDefault="008D2371" w:rsidP="008D2371">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4"/>
                <w:szCs w:val="24"/>
              </w:rPr>
            </w:pPr>
            <w:r w:rsidRPr="00BA6D3D">
              <w:rPr>
                <w:rFonts w:cstheme="minorHAnsi"/>
                <w:i/>
                <w:color w:val="auto"/>
                <w:sz w:val="24"/>
                <w:szCs w:val="24"/>
              </w:rPr>
              <w:t>НН</w:t>
            </w:r>
          </w:p>
        </w:tc>
      </w:tr>
      <w:tr w:rsidR="008D2371" w:rsidRPr="00120815" w:rsidTr="00772D7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571" w:type="dxa"/>
            <w:gridSpan w:val="4"/>
            <w:hideMark/>
          </w:tcPr>
          <w:p w:rsidR="008D2371" w:rsidRPr="00120815" w:rsidRDefault="008D2371" w:rsidP="008D2371">
            <w:pPr>
              <w:autoSpaceDE w:val="0"/>
              <w:autoSpaceDN w:val="0"/>
              <w:adjustRightInd w:val="0"/>
              <w:spacing w:line="360" w:lineRule="auto"/>
              <w:contextualSpacing/>
              <w:jc w:val="center"/>
              <w:rPr>
                <w:rFonts w:cstheme="minorHAnsi"/>
                <w:b w:val="0"/>
                <w:i/>
                <w:sz w:val="24"/>
                <w:szCs w:val="24"/>
              </w:rPr>
            </w:pPr>
            <w:r w:rsidRPr="00120815">
              <w:rPr>
                <w:rFonts w:cstheme="minorHAnsi"/>
                <w:b w:val="0"/>
                <w:i/>
                <w:sz w:val="24"/>
                <w:szCs w:val="24"/>
              </w:rPr>
              <w:t>2 полугодие 2021 года, руб./тыс. кВт ч</w:t>
            </w:r>
          </w:p>
        </w:tc>
      </w:tr>
      <w:tr w:rsidR="008D2371" w:rsidRPr="00120815" w:rsidTr="00772D7D">
        <w:trPr>
          <w:trHeight w:val="170"/>
        </w:trPr>
        <w:tc>
          <w:tcPr>
            <w:cnfStyle w:val="001000000000" w:firstRow="0" w:lastRow="0" w:firstColumn="1" w:lastColumn="0" w:oddVBand="0" w:evenVBand="0" w:oddHBand="0" w:evenHBand="0" w:firstRowFirstColumn="0" w:firstRowLastColumn="0" w:lastRowFirstColumn="0" w:lastRowLastColumn="0"/>
            <w:tcW w:w="2392" w:type="dxa"/>
          </w:tcPr>
          <w:p w:rsidR="008D2371" w:rsidRPr="00120815" w:rsidRDefault="008D2371" w:rsidP="008D2371">
            <w:pPr>
              <w:spacing w:line="360" w:lineRule="auto"/>
              <w:contextualSpacing/>
              <w:jc w:val="center"/>
              <w:rPr>
                <w:rFonts w:cstheme="minorHAnsi"/>
                <w:b w:val="0"/>
                <w:i/>
                <w:sz w:val="24"/>
                <w:szCs w:val="24"/>
              </w:rPr>
            </w:pPr>
            <w:r w:rsidRPr="00120815">
              <w:rPr>
                <w:rFonts w:cstheme="minorHAnsi"/>
                <w:b w:val="0"/>
                <w:i/>
                <w:sz w:val="24"/>
                <w:szCs w:val="24"/>
              </w:rPr>
              <w:t>1 611,94</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2 083,16</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3 501,00</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4 441,59</w:t>
            </w:r>
          </w:p>
        </w:tc>
      </w:tr>
      <w:tr w:rsidR="008D2371" w:rsidRPr="00120815" w:rsidTr="00772D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71" w:type="dxa"/>
            <w:gridSpan w:val="4"/>
            <w:hideMark/>
          </w:tcPr>
          <w:p w:rsidR="008D2371" w:rsidRPr="00120815" w:rsidRDefault="008D2371" w:rsidP="008D2371">
            <w:pPr>
              <w:autoSpaceDE w:val="0"/>
              <w:autoSpaceDN w:val="0"/>
              <w:adjustRightInd w:val="0"/>
              <w:spacing w:line="360" w:lineRule="auto"/>
              <w:contextualSpacing/>
              <w:jc w:val="center"/>
              <w:rPr>
                <w:rFonts w:cstheme="minorHAnsi"/>
                <w:b w:val="0"/>
                <w:i/>
                <w:sz w:val="24"/>
                <w:szCs w:val="24"/>
              </w:rPr>
            </w:pPr>
            <w:r w:rsidRPr="00120815">
              <w:rPr>
                <w:rFonts w:cstheme="minorHAnsi"/>
                <w:b w:val="0"/>
                <w:i/>
                <w:sz w:val="24"/>
                <w:szCs w:val="24"/>
              </w:rPr>
              <w:t>1 полугодие 2022 года, руб./тыс. кВт ч</w:t>
            </w:r>
          </w:p>
        </w:tc>
      </w:tr>
      <w:tr w:rsidR="008D2371" w:rsidRPr="00120815" w:rsidTr="00772D7D">
        <w:trPr>
          <w:trHeight w:val="275"/>
        </w:trPr>
        <w:tc>
          <w:tcPr>
            <w:cnfStyle w:val="001000000000" w:firstRow="0" w:lastRow="0" w:firstColumn="1" w:lastColumn="0" w:oddVBand="0" w:evenVBand="0" w:oddHBand="0" w:evenHBand="0" w:firstRowFirstColumn="0" w:firstRowLastColumn="0" w:lastRowFirstColumn="0" w:lastRowLastColumn="0"/>
            <w:tcW w:w="2392" w:type="dxa"/>
          </w:tcPr>
          <w:p w:rsidR="008D2371" w:rsidRPr="00120815" w:rsidRDefault="008D2371" w:rsidP="008D2371">
            <w:pPr>
              <w:spacing w:line="360" w:lineRule="auto"/>
              <w:contextualSpacing/>
              <w:jc w:val="center"/>
              <w:rPr>
                <w:rFonts w:cstheme="minorHAnsi"/>
                <w:b w:val="0"/>
                <w:i/>
                <w:sz w:val="24"/>
                <w:szCs w:val="24"/>
              </w:rPr>
            </w:pPr>
            <w:r w:rsidRPr="00120815">
              <w:rPr>
                <w:rFonts w:cstheme="minorHAnsi"/>
                <w:b w:val="0"/>
                <w:i/>
                <w:sz w:val="24"/>
                <w:szCs w:val="24"/>
              </w:rPr>
              <w:t>1 611,94</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2 083,16</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3 501,00</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4 441,59</w:t>
            </w:r>
          </w:p>
        </w:tc>
      </w:tr>
      <w:tr w:rsidR="008D2371" w:rsidRPr="00120815" w:rsidTr="00772D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71" w:type="dxa"/>
            <w:gridSpan w:val="4"/>
            <w:hideMark/>
          </w:tcPr>
          <w:p w:rsidR="008D2371" w:rsidRPr="00120815" w:rsidRDefault="008D2371" w:rsidP="008D2371">
            <w:pPr>
              <w:spacing w:line="360" w:lineRule="auto"/>
              <w:contextualSpacing/>
              <w:jc w:val="center"/>
              <w:rPr>
                <w:rFonts w:cstheme="minorHAnsi"/>
                <w:b w:val="0"/>
                <w:i/>
                <w:sz w:val="24"/>
                <w:szCs w:val="24"/>
              </w:rPr>
            </w:pPr>
            <w:r w:rsidRPr="00120815">
              <w:rPr>
                <w:rFonts w:cstheme="minorHAnsi"/>
                <w:b w:val="0"/>
                <w:i/>
                <w:sz w:val="24"/>
                <w:szCs w:val="24"/>
              </w:rPr>
              <w:t>2 полугодие 2022 года, руб./тыс. кВт ч</w:t>
            </w:r>
          </w:p>
        </w:tc>
      </w:tr>
      <w:tr w:rsidR="008D2371" w:rsidRPr="00120815" w:rsidTr="00772D7D">
        <w:trPr>
          <w:trHeight w:val="170"/>
        </w:trPr>
        <w:tc>
          <w:tcPr>
            <w:cnfStyle w:val="001000000000" w:firstRow="0" w:lastRow="0" w:firstColumn="1" w:lastColumn="0" w:oddVBand="0" w:evenVBand="0" w:oddHBand="0" w:evenHBand="0" w:firstRowFirstColumn="0" w:firstRowLastColumn="0" w:lastRowFirstColumn="0" w:lastRowLastColumn="0"/>
            <w:tcW w:w="2392" w:type="dxa"/>
          </w:tcPr>
          <w:p w:rsidR="008D2371" w:rsidRPr="00120815" w:rsidRDefault="008D2371" w:rsidP="008D2371">
            <w:pPr>
              <w:spacing w:line="360" w:lineRule="auto"/>
              <w:contextualSpacing/>
              <w:jc w:val="center"/>
              <w:rPr>
                <w:rFonts w:cstheme="minorHAnsi"/>
                <w:b w:val="0"/>
                <w:i/>
                <w:sz w:val="24"/>
                <w:szCs w:val="24"/>
              </w:rPr>
            </w:pPr>
            <w:r w:rsidRPr="00120815">
              <w:rPr>
                <w:rFonts w:cstheme="minorHAnsi"/>
                <w:b w:val="0"/>
                <w:i/>
                <w:sz w:val="24"/>
                <w:szCs w:val="24"/>
              </w:rPr>
              <w:t>1 703,41</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2 164,3</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3 611,86</w:t>
            </w:r>
          </w:p>
        </w:tc>
        <w:tc>
          <w:tcPr>
            <w:tcW w:w="2393" w:type="dxa"/>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4 580,68</w:t>
            </w:r>
          </w:p>
        </w:tc>
      </w:tr>
      <w:tr w:rsidR="008D2371" w:rsidRPr="00120815" w:rsidTr="00772D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71" w:type="dxa"/>
            <w:gridSpan w:val="4"/>
            <w:hideMark/>
          </w:tcPr>
          <w:p w:rsidR="008D2371" w:rsidRPr="00120815" w:rsidRDefault="008D2371" w:rsidP="008D2371">
            <w:pPr>
              <w:autoSpaceDE w:val="0"/>
              <w:autoSpaceDN w:val="0"/>
              <w:adjustRightInd w:val="0"/>
              <w:spacing w:line="360" w:lineRule="auto"/>
              <w:contextualSpacing/>
              <w:jc w:val="center"/>
              <w:rPr>
                <w:rFonts w:cstheme="minorHAnsi"/>
                <w:b w:val="0"/>
                <w:i/>
                <w:sz w:val="24"/>
                <w:szCs w:val="24"/>
              </w:rPr>
            </w:pPr>
            <w:r w:rsidRPr="00120815">
              <w:rPr>
                <w:rFonts w:cstheme="minorHAnsi"/>
                <w:b w:val="0"/>
                <w:i/>
                <w:sz w:val="24"/>
                <w:szCs w:val="24"/>
              </w:rPr>
              <w:t>Рост, % (1 пол. 2022 г./2 пол. 2021 г.)</w:t>
            </w:r>
          </w:p>
        </w:tc>
      </w:tr>
      <w:tr w:rsidR="008D2371" w:rsidRPr="00120815" w:rsidTr="00772D7D">
        <w:trPr>
          <w:trHeight w:val="170"/>
        </w:trPr>
        <w:tc>
          <w:tcPr>
            <w:cnfStyle w:val="001000000000" w:firstRow="0" w:lastRow="0" w:firstColumn="1" w:lastColumn="0" w:oddVBand="0" w:evenVBand="0" w:oddHBand="0" w:evenHBand="0" w:firstRowFirstColumn="0" w:firstRowLastColumn="0" w:lastRowFirstColumn="0" w:lastRowLastColumn="0"/>
            <w:tcW w:w="2392" w:type="dxa"/>
            <w:hideMark/>
          </w:tcPr>
          <w:p w:rsidR="008D2371" w:rsidRPr="00120815" w:rsidRDefault="008D2371" w:rsidP="008D2371">
            <w:pPr>
              <w:spacing w:line="360" w:lineRule="auto"/>
              <w:contextualSpacing/>
              <w:jc w:val="center"/>
              <w:rPr>
                <w:rFonts w:cstheme="minorHAnsi"/>
                <w:b w:val="0"/>
                <w:i/>
                <w:sz w:val="24"/>
                <w:szCs w:val="24"/>
              </w:rPr>
            </w:pPr>
            <w:r w:rsidRPr="00120815">
              <w:rPr>
                <w:rFonts w:cstheme="minorHAnsi"/>
                <w:b w:val="0"/>
                <w:i/>
                <w:sz w:val="24"/>
                <w:szCs w:val="24"/>
              </w:rPr>
              <w:t>100,0</w:t>
            </w:r>
          </w:p>
        </w:tc>
        <w:tc>
          <w:tcPr>
            <w:tcW w:w="2393" w:type="dxa"/>
            <w:hideMark/>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100,0</w:t>
            </w:r>
          </w:p>
        </w:tc>
        <w:tc>
          <w:tcPr>
            <w:tcW w:w="2393" w:type="dxa"/>
            <w:hideMark/>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100,0</w:t>
            </w:r>
          </w:p>
        </w:tc>
        <w:tc>
          <w:tcPr>
            <w:tcW w:w="2393" w:type="dxa"/>
            <w:hideMark/>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120815">
              <w:rPr>
                <w:rFonts w:cstheme="minorHAnsi"/>
                <w:i/>
                <w:sz w:val="24"/>
                <w:szCs w:val="24"/>
              </w:rPr>
              <w:t>100,0</w:t>
            </w:r>
          </w:p>
        </w:tc>
      </w:tr>
      <w:tr w:rsidR="008D2371" w:rsidRPr="00120815" w:rsidTr="00772D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71" w:type="dxa"/>
            <w:gridSpan w:val="4"/>
            <w:hideMark/>
          </w:tcPr>
          <w:p w:rsidR="008D2371" w:rsidRPr="00120815" w:rsidRDefault="008D2371" w:rsidP="008D2371">
            <w:pPr>
              <w:spacing w:line="360" w:lineRule="auto"/>
              <w:contextualSpacing/>
              <w:jc w:val="center"/>
              <w:rPr>
                <w:rFonts w:cstheme="minorHAnsi"/>
                <w:i/>
                <w:sz w:val="24"/>
                <w:szCs w:val="24"/>
              </w:rPr>
            </w:pPr>
            <w:r w:rsidRPr="00120815">
              <w:rPr>
                <w:rFonts w:cstheme="minorHAnsi"/>
                <w:i/>
                <w:sz w:val="24"/>
                <w:szCs w:val="24"/>
              </w:rPr>
              <w:t>Рост, % (2 пол. 2022 г./2 пол. 2021 г.)</w:t>
            </w:r>
          </w:p>
        </w:tc>
      </w:tr>
      <w:tr w:rsidR="008D2371" w:rsidRPr="00120815" w:rsidTr="00772D7D">
        <w:trPr>
          <w:trHeight w:val="170"/>
        </w:trPr>
        <w:tc>
          <w:tcPr>
            <w:cnfStyle w:val="001000000000" w:firstRow="0" w:lastRow="0" w:firstColumn="1" w:lastColumn="0" w:oddVBand="0" w:evenVBand="0" w:oddHBand="0" w:evenHBand="0" w:firstRowFirstColumn="0" w:firstRowLastColumn="0" w:lastRowFirstColumn="0" w:lastRowLastColumn="0"/>
            <w:tcW w:w="2392" w:type="dxa"/>
            <w:hideMark/>
          </w:tcPr>
          <w:p w:rsidR="008D2371" w:rsidRPr="00120815" w:rsidRDefault="008D2371" w:rsidP="008D2371">
            <w:pPr>
              <w:spacing w:line="360" w:lineRule="auto"/>
              <w:contextualSpacing/>
              <w:jc w:val="center"/>
              <w:rPr>
                <w:rFonts w:cstheme="minorHAnsi"/>
                <w:i/>
                <w:sz w:val="24"/>
                <w:szCs w:val="24"/>
              </w:rPr>
            </w:pPr>
            <w:r w:rsidRPr="00120815">
              <w:rPr>
                <w:rFonts w:cstheme="minorHAnsi"/>
                <w:i/>
                <w:sz w:val="24"/>
                <w:szCs w:val="24"/>
              </w:rPr>
              <w:t>105,7</w:t>
            </w:r>
          </w:p>
        </w:tc>
        <w:tc>
          <w:tcPr>
            <w:tcW w:w="2393" w:type="dxa"/>
            <w:hideMark/>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i/>
                <w:sz w:val="24"/>
                <w:szCs w:val="24"/>
              </w:rPr>
            </w:pPr>
            <w:r w:rsidRPr="00120815">
              <w:rPr>
                <w:rFonts w:cstheme="minorHAnsi"/>
                <w:b/>
                <w:i/>
                <w:sz w:val="24"/>
                <w:szCs w:val="24"/>
              </w:rPr>
              <w:t>103,9</w:t>
            </w:r>
          </w:p>
        </w:tc>
        <w:tc>
          <w:tcPr>
            <w:tcW w:w="2393" w:type="dxa"/>
            <w:hideMark/>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i/>
                <w:sz w:val="24"/>
                <w:szCs w:val="24"/>
              </w:rPr>
            </w:pPr>
            <w:r w:rsidRPr="00120815">
              <w:rPr>
                <w:rFonts w:cstheme="minorHAnsi"/>
                <w:b/>
                <w:i/>
                <w:sz w:val="24"/>
                <w:szCs w:val="24"/>
              </w:rPr>
              <w:t>103,2</w:t>
            </w:r>
          </w:p>
        </w:tc>
        <w:tc>
          <w:tcPr>
            <w:tcW w:w="2393" w:type="dxa"/>
            <w:hideMark/>
          </w:tcPr>
          <w:p w:rsidR="008D2371" w:rsidRPr="00120815" w:rsidRDefault="008D2371" w:rsidP="008D2371">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i/>
                <w:sz w:val="24"/>
                <w:szCs w:val="24"/>
              </w:rPr>
            </w:pPr>
            <w:r w:rsidRPr="00120815">
              <w:rPr>
                <w:rFonts w:cstheme="minorHAnsi"/>
                <w:b/>
                <w:i/>
                <w:sz w:val="24"/>
                <w:szCs w:val="24"/>
              </w:rPr>
              <w:t>103,1</w:t>
            </w:r>
          </w:p>
        </w:tc>
      </w:tr>
    </w:tbl>
    <w:p w:rsidR="00782043" w:rsidRDefault="00782043" w:rsidP="009419C1">
      <w:pPr>
        <w:jc w:val="both"/>
        <w:rPr>
          <w:rFonts w:cstheme="minorHAnsi"/>
          <w:bCs/>
        </w:rPr>
      </w:pPr>
      <w:r w:rsidRPr="00782043">
        <w:rPr>
          <w:rFonts w:cstheme="minorHAnsi"/>
          <w:bCs/>
        </w:rPr>
        <w:lastRenderedPageBreak/>
        <w:t>Правительством Ивановской области с учетом обращений в ФАС России третий год подряд проводится политика сдерживания роста единых (котловых) тарифов на услуги по передаче электрической энергии (мощности) на уровне напряжения СН2 и НН.</w:t>
      </w:r>
      <w:r>
        <w:rPr>
          <w:rFonts w:cstheme="minorHAnsi"/>
          <w:bCs/>
        </w:rPr>
        <w:t xml:space="preserve"> </w:t>
      </w:r>
    </w:p>
    <w:p w:rsidR="00782043" w:rsidRPr="00782043" w:rsidRDefault="00782043" w:rsidP="009419C1">
      <w:pPr>
        <w:jc w:val="both"/>
        <w:rPr>
          <w:rFonts w:cstheme="minorHAnsi"/>
          <w:bCs/>
          <w:i/>
        </w:rPr>
      </w:pPr>
      <w:r w:rsidRPr="00782043">
        <w:rPr>
          <w:rFonts w:cstheme="minorHAnsi"/>
          <w:bCs/>
        </w:rPr>
        <w:t>Действующие в настоящее время на территории Ивановской области тарифы на услуги по передаче электрической энергии, оказываемые прочим потребителям, на уровнях напряжения ВН и СН1 являются одними из самых низких в ЦФО, а на СН2 и НН – одними из самых высоких в ЦФО.</w:t>
      </w:r>
    </w:p>
    <w:p w:rsidR="00782043" w:rsidRPr="00782043" w:rsidRDefault="00782043" w:rsidP="009419C1">
      <w:pPr>
        <w:jc w:val="both"/>
        <w:rPr>
          <w:rFonts w:cstheme="minorHAnsi"/>
          <w:bCs/>
        </w:rPr>
      </w:pPr>
      <w:r w:rsidRPr="00782043">
        <w:rPr>
          <w:rFonts w:cstheme="minorHAnsi"/>
          <w:bCs/>
        </w:rPr>
        <w:t xml:space="preserve">Установленные на 2022 год единые (котловые) тарифы на услуги по передаче электрической энергии для прочих потребителей Ивановской области, рассчитанные с учетом перекрестного субсидирования, не превышают предельные максимальные тарифы на услуги по передаче электрической энергии по Ивановской области, утвержденные приказом ФАС России </w:t>
      </w:r>
      <w:r w:rsidR="007A507B">
        <w:rPr>
          <w:rFonts w:cstheme="minorHAnsi"/>
          <w:bCs/>
        </w:rPr>
        <w:t>от 16.12.2021 № </w:t>
      </w:r>
      <w:r w:rsidRPr="00782043">
        <w:rPr>
          <w:rFonts w:cstheme="minorHAnsi"/>
          <w:bCs/>
        </w:rPr>
        <w:t>1429/21.</w:t>
      </w:r>
    </w:p>
    <w:p w:rsidR="00782043" w:rsidRPr="00782043" w:rsidRDefault="00782043" w:rsidP="009419C1">
      <w:pPr>
        <w:jc w:val="both"/>
        <w:rPr>
          <w:rFonts w:cstheme="minorHAnsi"/>
          <w:bCs/>
          <w:i/>
        </w:rPr>
      </w:pPr>
      <w:r w:rsidRPr="00782043">
        <w:rPr>
          <w:rFonts w:cstheme="minorHAnsi"/>
          <w:bCs/>
        </w:rPr>
        <w:t xml:space="preserve">Ставки за содержание электрических сетей в составе </w:t>
      </w:r>
      <w:proofErr w:type="spellStart"/>
      <w:r w:rsidRPr="00782043">
        <w:rPr>
          <w:rFonts w:cstheme="minorHAnsi"/>
          <w:bCs/>
        </w:rPr>
        <w:t>двухставочных</w:t>
      </w:r>
      <w:proofErr w:type="spellEnd"/>
      <w:r w:rsidRPr="00782043">
        <w:rPr>
          <w:rFonts w:cstheme="minorHAnsi"/>
          <w:bCs/>
        </w:rPr>
        <w:t xml:space="preserve"> единых (котловых) тарифов на 1 полугодие 2022 года установлены на уровне аналогичных ставок, действовавших во 2 полугодии 2021 года.</w:t>
      </w:r>
    </w:p>
    <w:p w:rsidR="00782043" w:rsidRPr="00782043" w:rsidRDefault="00782043" w:rsidP="009419C1">
      <w:pPr>
        <w:jc w:val="both"/>
        <w:rPr>
          <w:rFonts w:cstheme="minorHAnsi"/>
          <w:bCs/>
        </w:rPr>
      </w:pPr>
      <w:r w:rsidRPr="00782043">
        <w:rPr>
          <w:rFonts w:cstheme="minorHAnsi"/>
          <w:bCs/>
        </w:rPr>
        <w:t xml:space="preserve">Рост ставки за содержание электрических сетей в составе </w:t>
      </w:r>
      <w:proofErr w:type="spellStart"/>
      <w:r w:rsidRPr="00782043">
        <w:rPr>
          <w:rFonts w:cstheme="minorHAnsi"/>
          <w:bCs/>
        </w:rPr>
        <w:t>двухставочных</w:t>
      </w:r>
      <w:proofErr w:type="spellEnd"/>
      <w:r w:rsidRPr="00782043">
        <w:rPr>
          <w:rFonts w:cstheme="minorHAnsi"/>
          <w:bCs/>
        </w:rPr>
        <w:t xml:space="preserve"> единых (котловых) тарифов на 2 полугодие 2022 года к уровню 1 полугодия 2022 года по диапазонам напряжения составит:</w:t>
      </w:r>
    </w:p>
    <w:tbl>
      <w:tblPr>
        <w:tblStyle w:val="-321"/>
        <w:tblW w:w="5000" w:type="pct"/>
        <w:tblLayout w:type="fixed"/>
        <w:tblLook w:val="04A0" w:firstRow="1" w:lastRow="0" w:firstColumn="1" w:lastColumn="0" w:noHBand="0" w:noVBand="1"/>
      </w:tblPr>
      <w:tblGrid>
        <w:gridCol w:w="2364"/>
        <w:gridCol w:w="2259"/>
        <w:gridCol w:w="2258"/>
        <w:gridCol w:w="2690"/>
      </w:tblGrid>
      <w:tr w:rsidR="00772D7D" w:rsidRPr="0083154D" w:rsidTr="007820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4" w:type="dxa"/>
            <w:hideMark/>
          </w:tcPr>
          <w:p w:rsidR="00772D7D" w:rsidRPr="00480246" w:rsidRDefault="00772D7D" w:rsidP="00782043">
            <w:pPr>
              <w:autoSpaceDE w:val="0"/>
              <w:autoSpaceDN w:val="0"/>
              <w:adjustRightInd w:val="0"/>
              <w:spacing w:line="360" w:lineRule="auto"/>
              <w:contextualSpacing/>
              <w:jc w:val="center"/>
              <w:rPr>
                <w:rFonts w:cstheme="minorHAnsi"/>
                <w:i/>
                <w:color w:val="auto"/>
                <w:sz w:val="22"/>
                <w:szCs w:val="22"/>
              </w:rPr>
            </w:pPr>
            <w:r w:rsidRPr="00480246">
              <w:rPr>
                <w:rFonts w:cstheme="minorHAnsi"/>
                <w:i/>
                <w:color w:val="auto"/>
                <w:sz w:val="22"/>
                <w:szCs w:val="22"/>
              </w:rPr>
              <w:t>ВН</w:t>
            </w:r>
          </w:p>
        </w:tc>
        <w:tc>
          <w:tcPr>
            <w:tcW w:w="2259" w:type="dxa"/>
            <w:hideMark/>
          </w:tcPr>
          <w:p w:rsidR="00772D7D" w:rsidRPr="00480246" w:rsidRDefault="00772D7D" w:rsidP="00782043">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2"/>
                <w:szCs w:val="22"/>
              </w:rPr>
            </w:pPr>
            <w:r w:rsidRPr="00480246">
              <w:rPr>
                <w:rFonts w:cstheme="minorHAnsi"/>
                <w:i/>
                <w:color w:val="auto"/>
                <w:sz w:val="22"/>
                <w:szCs w:val="22"/>
              </w:rPr>
              <w:t>СН1</w:t>
            </w:r>
          </w:p>
        </w:tc>
        <w:tc>
          <w:tcPr>
            <w:tcW w:w="2258" w:type="dxa"/>
            <w:hideMark/>
          </w:tcPr>
          <w:p w:rsidR="00772D7D" w:rsidRPr="00480246" w:rsidRDefault="00772D7D" w:rsidP="00782043">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2"/>
                <w:szCs w:val="22"/>
              </w:rPr>
            </w:pPr>
            <w:r w:rsidRPr="00480246">
              <w:rPr>
                <w:rFonts w:cstheme="minorHAnsi"/>
                <w:i/>
                <w:color w:val="auto"/>
                <w:sz w:val="22"/>
                <w:szCs w:val="22"/>
              </w:rPr>
              <w:t>СН2</w:t>
            </w:r>
          </w:p>
        </w:tc>
        <w:tc>
          <w:tcPr>
            <w:tcW w:w="2690" w:type="dxa"/>
            <w:hideMark/>
          </w:tcPr>
          <w:p w:rsidR="00772D7D" w:rsidRPr="00480246" w:rsidRDefault="00772D7D" w:rsidP="00782043">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2"/>
                <w:szCs w:val="22"/>
              </w:rPr>
            </w:pPr>
            <w:r w:rsidRPr="00480246">
              <w:rPr>
                <w:rFonts w:cstheme="minorHAnsi"/>
                <w:i/>
                <w:color w:val="auto"/>
                <w:sz w:val="22"/>
                <w:szCs w:val="22"/>
              </w:rPr>
              <w:t>НН</w:t>
            </w:r>
          </w:p>
        </w:tc>
      </w:tr>
      <w:tr w:rsidR="00772D7D" w:rsidRPr="0083154D" w:rsidTr="00782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hideMark/>
          </w:tcPr>
          <w:p w:rsidR="00772D7D" w:rsidRPr="00480246" w:rsidRDefault="00772D7D" w:rsidP="00782043">
            <w:pPr>
              <w:spacing w:line="360" w:lineRule="auto"/>
              <w:contextualSpacing/>
              <w:jc w:val="center"/>
              <w:rPr>
                <w:rFonts w:cstheme="minorHAnsi"/>
                <w:b w:val="0"/>
                <w:i/>
                <w:sz w:val="22"/>
                <w:szCs w:val="22"/>
              </w:rPr>
            </w:pPr>
            <w:r w:rsidRPr="00480246">
              <w:rPr>
                <w:rFonts w:cstheme="minorHAnsi"/>
                <w:b w:val="0"/>
                <w:i/>
                <w:sz w:val="22"/>
                <w:szCs w:val="22"/>
              </w:rPr>
              <w:t>105,7 %</w:t>
            </w:r>
          </w:p>
        </w:tc>
        <w:tc>
          <w:tcPr>
            <w:tcW w:w="2259" w:type="dxa"/>
            <w:hideMark/>
          </w:tcPr>
          <w:p w:rsidR="00772D7D" w:rsidRPr="00480246" w:rsidRDefault="00772D7D" w:rsidP="00782043">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480246">
              <w:rPr>
                <w:rFonts w:cstheme="minorHAnsi"/>
                <w:i/>
                <w:sz w:val="22"/>
                <w:szCs w:val="22"/>
              </w:rPr>
              <w:t>103,9 %</w:t>
            </w:r>
          </w:p>
        </w:tc>
        <w:tc>
          <w:tcPr>
            <w:tcW w:w="2258" w:type="dxa"/>
            <w:hideMark/>
          </w:tcPr>
          <w:p w:rsidR="00772D7D" w:rsidRPr="00480246" w:rsidRDefault="00772D7D" w:rsidP="00782043">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480246">
              <w:rPr>
                <w:rFonts w:cstheme="minorHAnsi"/>
                <w:i/>
                <w:sz w:val="22"/>
                <w:szCs w:val="22"/>
              </w:rPr>
              <w:t>103,2 %</w:t>
            </w:r>
          </w:p>
        </w:tc>
        <w:tc>
          <w:tcPr>
            <w:tcW w:w="2690" w:type="dxa"/>
            <w:hideMark/>
          </w:tcPr>
          <w:p w:rsidR="00772D7D" w:rsidRPr="00480246" w:rsidRDefault="00772D7D" w:rsidP="00782043">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sidRPr="00480246">
              <w:rPr>
                <w:rFonts w:cstheme="minorHAnsi"/>
                <w:i/>
                <w:sz w:val="22"/>
                <w:szCs w:val="22"/>
              </w:rPr>
              <w:t>103,1 %</w:t>
            </w:r>
          </w:p>
        </w:tc>
      </w:tr>
    </w:tbl>
    <w:p w:rsidR="00782043" w:rsidRPr="00782043" w:rsidRDefault="00782043" w:rsidP="007A507B">
      <w:pPr>
        <w:jc w:val="both"/>
        <w:rPr>
          <w:rFonts w:cstheme="minorHAnsi"/>
          <w:bCs/>
          <w:i/>
        </w:rPr>
      </w:pPr>
      <w:r w:rsidRPr="00782043">
        <w:rPr>
          <w:rFonts w:cstheme="minorHAnsi"/>
          <w:bCs/>
        </w:rPr>
        <w:t xml:space="preserve">Ставки на оплату технологического расхода (потерь) в электрических сетях в составе </w:t>
      </w:r>
      <w:proofErr w:type="spellStart"/>
      <w:r w:rsidRPr="00782043">
        <w:rPr>
          <w:rFonts w:cstheme="minorHAnsi"/>
          <w:bCs/>
        </w:rPr>
        <w:t>двухставочных</w:t>
      </w:r>
      <w:proofErr w:type="spellEnd"/>
      <w:r w:rsidRPr="00782043">
        <w:rPr>
          <w:rFonts w:cstheme="minorHAnsi"/>
          <w:bCs/>
        </w:rPr>
        <w:t xml:space="preserve"> единых (котловых) тарифов на 1 полугодие 2022 года установлены на уровне аналогичных ставок, действовавших во 2 полугодии 2021 года.</w:t>
      </w:r>
    </w:p>
    <w:p w:rsidR="00782043" w:rsidRPr="00782043" w:rsidRDefault="00782043" w:rsidP="007A507B">
      <w:pPr>
        <w:jc w:val="both"/>
        <w:rPr>
          <w:rFonts w:cstheme="minorHAnsi"/>
          <w:bCs/>
          <w:i/>
        </w:rPr>
      </w:pPr>
      <w:r w:rsidRPr="00782043">
        <w:rPr>
          <w:rFonts w:cstheme="minorHAnsi"/>
          <w:bCs/>
        </w:rPr>
        <w:t xml:space="preserve">Рост ставок на оплату технологического расхода (потерь) в электрических сетях в составе </w:t>
      </w:r>
      <w:proofErr w:type="spellStart"/>
      <w:r w:rsidRPr="00782043">
        <w:rPr>
          <w:rFonts w:cstheme="minorHAnsi"/>
          <w:bCs/>
        </w:rPr>
        <w:t>двухставочных</w:t>
      </w:r>
      <w:proofErr w:type="spellEnd"/>
      <w:r w:rsidRPr="00782043">
        <w:rPr>
          <w:rFonts w:cstheme="minorHAnsi"/>
          <w:bCs/>
        </w:rPr>
        <w:t xml:space="preserve"> единых (котловых) тарифов на 2 полугодие 2022 года к уровню 1 полугодия 2022 года по диапазонам напряжения составит: </w:t>
      </w:r>
    </w:p>
    <w:tbl>
      <w:tblPr>
        <w:tblStyle w:val="-321"/>
        <w:tblW w:w="5000" w:type="pct"/>
        <w:tblLayout w:type="fixed"/>
        <w:tblLook w:val="04A0" w:firstRow="1" w:lastRow="0" w:firstColumn="1" w:lastColumn="0" w:noHBand="0" w:noVBand="1"/>
      </w:tblPr>
      <w:tblGrid>
        <w:gridCol w:w="2392"/>
        <w:gridCol w:w="2393"/>
        <w:gridCol w:w="2393"/>
        <w:gridCol w:w="2393"/>
      </w:tblGrid>
      <w:tr w:rsidR="00772D7D" w:rsidRPr="00E15BBB" w:rsidTr="007820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2" w:type="dxa"/>
            <w:hideMark/>
          </w:tcPr>
          <w:p w:rsidR="00772D7D" w:rsidRPr="00E15BBB" w:rsidRDefault="00772D7D" w:rsidP="00782043">
            <w:pPr>
              <w:autoSpaceDE w:val="0"/>
              <w:autoSpaceDN w:val="0"/>
              <w:adjustRightInd w:val="0"/>
              <w:spacing w:line="360" w:lineRule="auto"/>
              <w:contextualSpacing/>
              <w:jc w:val="center"/>
              <w:rPr>
                <w:rFonts w:cstheme="minorHAnsi"/>
                <w:i/>
                <w:color w:val="auto"/>
                <w:sz w:val="24"/>
                <w:szCs w:val="24"/>
              </w:rPr>
            </w:pPr>
            <w:r w:rsidRPr="00E15BBB">
              <w:rPr>
                <w:rFonts w:cstheme="minorHAnsi"/>
                <w:i/>
                <w:color w:val="auto"/>
                <w:sz w:val="24"/>
                <w:szCs w:val="24"/>
              </w:rPr>
              <w:t>ВН</w:t>
            </w:r>
          </w:p>
        </w:tc>
        <w:tc>
          <w:tcPr>
            <w:tcW w:w="2393" w:type="dxa"/>
            <w:hideMark/>
          </w:tcPr>
          <w:p w:rsidR="00772D7D" w:rsidRPr="00E15BBB" w:rsidRDefault="00772D7D" w:rsidP="00782043">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4"/>
                <w:szCs w:val="24"/>
              </w:rPr>
            </w:pPr>
            <w:r w:rsidRPr="00E15BBB">
              <w:rPr>
                <w:rFonts w:cstheme="minorHAnsi"/>
                <w:i/>
                <w:color w:val="auto"/>
                <w:sz w:val="24"/>
                <w:szCs w:val="24"/>
              </w:rPr>
              <w:t>СН1</w:t>
            </w:r>
          </w:p>
        </w:tc>
        <w:tc>
          <w:tcPr>
            <w:tcW w:w="2393" w:type="dxa"/>
            <w:hideMark/>
          </w:tcPr>
          <w:p w:rsidR="00772D7D" w:rsidRPr="00E15BBB" w:rsidRDefault="00772D7D" w:rsidP="00782043">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4"/>
                <w:szCs w:val="24"/>
              </w:rPr>
            </w:pPr>
            <w:r w:rsidRPr="00E15BBB">
              <w:rPr>
                <w:rFonts w:cstheme="minorHAnsi"/>
                <w:i/>
                <w:color w:val="auto"/>
                <w:sz w:val="24"/>
                <w:szCs w:val="24"/>
              </w:rPr>
              <w:t>СН2</w:t>
            </w:r>
          </w:p>
        </w:tc>
        <w:tc>
          <w:tcPr>
            <w:tcW w:w="2393" w:type="dxa"/>
            <w:hideMark/>
          </w:tcPr>
          <w:p w:rsidR="00772D7D" w:rsidRPr="00E15BBB" w:rsidRDefault="00772D7D" w:rsidP="00782043">
            <w:pPr>
              <w:autoSpaceDE w:val="0"/>
              <w:autoSpaceDN w:val="0"/>
              <w:adjustRightInd w:val="0"/>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i/>
                <w:color w:val="auto"/>
                <w:sz w:val="24"/>
                <w:szCs w:val="24"/>
              </w:rPr>
            </w:pPr>
            <w:r w:rsidRPr="00E15BBB">
              <w:rPr>
                <w:rFonts w:cstheme="minorHAnsi"/>
                <w:i/>
                <w:color w:val="auto"/>
                <w:sz w:val="24"/>
                <w:szCs w:val="24"/>
              </w:rPr>
              <w:t>НН</w:t>
            </w:r>
          </w:p>
        </w:tc>
      </w:tr>
      <w:tr w:rsidR="00772D7D" w:rsidRPr="00E15BBB" w:rsidTr="00782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hideMark/>
          </w:tcPr>
          <w:p w:rsidR="00772D7D" w:rsidRPr="00E15BBB" w:rsidRDefault="00772D7D" w:rsidP="00782043">
            <w:pPr>
              <w:spacing w:line="360" w:lineRule="auto"/>
              <w:contextualSpacing/>
              <w:jc w:val="center"/>
              <w:rPr>
                <w:rFonts w:cstheme="minorHAnsi"/>
                <w:b w:val="0"/>
                <w:i/>
                <w:sz w:val="24"/>
                <w:szCs w:val="24"/>
              </w:rPr>
            </w:pPr>
            <w:r w:rsidRPr="00E15BBB">
              <w:rPr>
                <w:rFonts w:cstheme="minorHAnsi"/>
                <w:b w:val="0"/>
                <w:i/>
                <w:sz w:val="24"/>
                <w:szCs w:val="24"/>
              </w:rPr>
              <w:t>104,7 %</w:t>
            </w:r>
          </w:p>
        </w:tc>
        <w:tc>
          <w:tcPr>
            <w:tcW w:w="2393" w:type="dxa"/>
            <w:hideMark/>
          </w:tcPr>
          <w:p w:rsidR="00772D7D" w:rsidRPr="00E15BBB" w:rsidRDefault="00772D7D" w:rsidP="00782043">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15BBB">
              <w:rPr>
                <w:rFonts w:cstheme="minorHAnsi"/>
                <w:i/>
                <w:sz w:val="24"/>
                <w:szCs w:val="24"/>
              </w:rPr>
              <w:t>104,7 %</w:t>
            </w:r>
          </w:p>
        </w:tc>
        <w:tc>
          <w:tcPr>
            <w:tcW w:w="2393" w:type="dxa"/>
            <w:hideMark/>
          </w:tcPr>
          <w:p w:rsidR="00772D7D" w:rsidRPr="00E15BBB" w:rsidRDefault="00772D7D" w:rsidP="00782043">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15BBB">
              <w:rPr>
                <w:rFonts w:cstheme="minorHAnsi"/>
                <w:i/>
                <w:sz w:val="24"/>
                <w:szCs w:val="24"/>
              </w:rPr>
              <w:t>104,7 %</w:t>
            </w:r>
          </w:p>
        </w:tc>
        <w:tc>
          <w:tcPr>
            <w:tcW w:w="2393" w:type="dxa"/>
            <w:hideMark/>
          </w:tcPr>
          <w:p w:rsidR="00772D7D" w:rsidRPr="00E15BBB" w:rsidRDefault="00772D7D" w:rsidP="00782043">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E15BBB">
              <w:rPr>
                <w:rFonts w:cstheme="minorHAnsi"/>
                <w:i/>
                <w:sz w:val="24"/>
                <w:szCs w:val="24"/>
              </w:rPr>
              <w:t>104,7 %</w:t>
            </w:r>
          </w:p>
        </w:tc>
      </w:tr>
    </w:tbl>
    <w:p w:rsidR="00782043" w:rsidRPr="00782043" w:rsidRDefault="00782043" w:rsidP="007A507B">
      <w:pPr>
        <w:jc w:val="both"/>
        <w:rPr>
          <w:rFonts w:cstheme="minorHAnsi"/>
          <w:bCs/>
        </w:rPr>
      </w:pPr>
      <w:bookmarkStart w:id="39" w:name="_Hlk97762792"/>
      <w:r w:rsidRPr="00782043">
        <w:rPr>
          <w:rFonts w:cstheme="minorHAnsi"/>
          <w:bCs/>
        </w:rPr>
        <w:t>Сбытовые надбавки гарантирующих поставщиков на 2022 год рассчитаны с использованием метода сравнения аналогов.</w:t>
      </w:r>
    </w:p>
    <w:p w:rsidR="00782043" w:rsidRPr="00782043" w:rsidRDefault="00782043" w:rsidP="007A507B">
      <w:pPr>
        <w:jc w:val="both"/>
        <w:rPr>
          <w:rFonts w:cstheme="minorHAnsi"/>
          <w:bCs/>
        </w:rPr>
      </w:pPr>
      <w:r w:rsidRPr="00782043">
        <w:rPr>
          <w:rFonts w:cstheme="minorHAnsi"/>
          <w:bCs/>
        </w:rPr>
        <w:t>Сбытовые надбавки для тарифной группы «прочие потребители» на 1 полугодие 2022 года для гарантирующего поставщика ООО «</w:t>
      </w:r>
      <w:proofErr w:type="spellStart"/>
      <w:r w:rsidRPr="00782043">
        <w:rPr>
          <w:rFonts w:cstheme="minorHAnsi"/>
          <w:bCs/>
        </w:rPr>
        <w:t>Ивановоэнергосбыт</w:t>
      </w:r>
      <w:proofErr w:type="spellEnd"/>
      <w:r w:rsidRPr="00782043">
        <w:rPr>
          <w:rFonts w:cstheme="minorHAnsi"/>
          <w:bCs/>
        </w:rPr>
        <w:t>» установлены на уровне аналогичных сбытовых надбавок, действовавших во 2 полугодии 2021 года, для гарантирующего поставщика Ивановский филиал АО «</w:t>
      </w:r>
      <w:proofErr w:type="spellStart"/>
      <w:r w:rsidRPr="00782043">
        <w:rPr>
          <w:rFonts w:cstheme="minorHAnsi"/>
          <w:bCs/>
        </w:rPr>
        <w:t>ЭнергосбыТ</w:t>
      </w:r>
      <w:proofErr w:type="spellEnd"/>
      <w:r w:rsidRPr="00782043">
        <w:rPr>
          <w:rFonts w:cstheme="minorHAnsi"/>
          <w:bCs/>
        </w:rPr>
        <w:t xml:space="preserve"> Плюс» - со снижением к величине сбытовых надбавок, действовавших во 2 полугодии 2021 года (для потребителей менее 670 кВт – на 51,8%, от 670 кВт до 10 МВт – на 20,4%, более 10 МВт – на 32,6%).</w:t>
      </w:r>
    </w:p>
    <w:p w:rsidR="00782043" w:rsidRPr="00782043" w:rsidRDefault="00782043" w:rsidP="007A507B">
      <w:pPr>
        <w:jc w:val="both"/>
        <w:rPr>
          <w:rStyle w:val="afa"/>
        </w:rPr>
      </w:pPr>
      <w:r w:rsidRPr="00782043">
        <w:rPr>
          <w:rFonts w:cstheme="minorHAnsi"/>
          <w:bCs/>
        </w:rPr>
        <w:t>Рост сбытовых надбавок для тарифной группы «прочие потребители» на 2 полугодие 2022 года к уровню сбытовых надбавок 1 полу</w:t>
      </w:r>
      <w:r w:rsidR="007A507B">
        <w:rPr>
          <w:rFonts w:cstheme="minorHAnsi"/>
          <w:bCs/>
        </w:rPr>
        <w:t xml:space="preserve">годия 2022 года составит: </w:t>
      </w:r>
      <w:r w:rsidRPr="00782043">
        <w:rPr>
          <w:rFonts w:cstheme="minorHAnsi"/>
          <w:bCs/>
        </w:rPr>
        <w:t xml:space="preserve"> </w:t>
      </w:r>
    </w:p>
    <w:tbl>
      <w:tblPr>
        <w:tblStyle w:val="-421"/>
        <w:tblW w:w="5000" w:type="pct"/>
        <w:tblLayout w:type="fixed"/>
        <w:tblLook w:val="04A0" w:firstRow="1" w:lastRow="0" w:firstColumn="1" w:lastColumn="0" w:noHBand="0" w:noVBand="1"/>
      </w:tblPr>
      <w:tblGrid>
        <w:gridCol w:w="3509"/>
        <w:gridCol w:w="1856"/>
        <w:gridCol w:w="2152"/>
        <w:gridCol w:w="2054"/>
      </w:tblGrid>
      <w:tr w:rsidR="00F97371" w:rsidRPr="006D0596" w:rsidTr="00782043">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509" w:type="dxa"/>
            <w:vMerge w:val="restart"/>
            <w:vAlign w:val="center"/>
          </w:tcPr>
          <w:bookmarkEnd w:id="39"/>
          <w:p w:rsidR="00F97371" w:rsidRPr="00480246" w:rsidRDefault="00F97371" w:rsidP="00F97371">
            <w:pPr>
              <w:autoSpaceDE w:val="0"/>
              <w:autoSpaceDN w:val="0"/>
              <w:adjustRightInd w:val="0"/>
              <w:spacing w:line="276" w:lineRule="auto"/>
              <w:contextualSpacing/>
              <w:jc w:val="center"/>
              <w:rPr>
                <w:rFonts w:eastAsia="MS Gothic" w:cstheme="minorHAnsi"/>
                <w:b w:val="0"/>
                <w:i/>
                <w:color w:val="auto"/>
                <w:sz w:val="22"/>
                <w:szCs w:val="22"/>
              </w:rPr>
            </w:pPr>
            <w:r w:rsidRPr="00480246">
              <w:rPr>
                <w:rFonts w:eastAsia="MS Gothic" w:cstheme="minorHAnsi"/>
                <w:b w:val="0"/>
                <w:color w:val="auto"/>
                <w:sz w:val="22"/>
                <w:szCs w:val="22"/>
              </w:rPr>
              <w:lastRenderedPageBreak/>
              <w:t>Наименование гарантирующего поставщика электрической энергии</w:t>
            </w:r>
          </w:p>
        </w:tc>
        <w:tc>
          <w:tcPr>
            <w:tcW w:w="6062" w:type="dxa"/>
            <w:gridSpan w:val="3"/>
          </w:tcPr>
          <w:p w:rsidR="00F97371" w:rsidRPr="00480246" w:rsidRDefault="00F97371" w:rsidP="00F9737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MS Gothic" w:cstheme="minorHAnsi"/>
                <w:b w:val="0"/>
                <w:i/>
                <w:color w:val="auto"/>
                <w:sz w:val="22"/>
                <w:szCs w:val="22"/>
              </w:rPr>
            </w:pPr>
            <w:r w:rsidRPr="00480246">
              <w:rPr>
                <w:rFonts w:eastAsia="MS Gothic" w:cstheme="minorHAnsi"/>
                <w:b w:val="0"/>
                <w:i/>
                <w:color w:val="auto"/>
                <w:sz w:val="22"/>
                <w:szCs w:val="22"/>
              </w:rPr>
              <w:t>Диапазон максимальной мощности принадлежащих потребителю энергопринимающих устройств</w:t>
            </w:r>
          </w:p>
        </w:tc>
      </w:tr>
      <w:tr w:rsidR="00A34D8A" w:rsidRPr="006D0596" w:rsidTr="00782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vMerge/>
          </w:tcPr>
          <w:p w:rsidR="00F97371" w:rsidRPr="00480246" w:rsidRDefault="00F97371" w:rsidP="00782043">
            <w:pPr>
              <w:spacing w:line="360" w:lineRule="auto"/>
              <w:contextualSpacing/>
              <w:jc w:val="center"/>
              <w:rPr>
                <w:rFonts w:eastAsia="MS Gothic" w:cstheme="minorHAnsi"/>
                <w:i/>
                <w:sz w:val="22"/>
                <w:szCs w:val="22"/>
              </w:rPr>
            </w:pPr>
          </w:p>
        </w:tc>
        <w:tc>
          <w:tcPr>
            <w:tcW w:w="1856" w:type="dxa"/>
            <w:vAlign w:val="center"/>
          </w:tcPr>
          <w:p w:rsidR="00F97371" w:rsidRPr="00480246" w:rsidRDefault="00F97371" w:rsidP="00A34D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MS Gothic" w:cstheme="minorHAnsi"/>
                <w:i/>
                <w:sz w:val="22"/>
                <w:szCs w:val="22"/>
              </w:rPr>
            </w:pPr>
            <w:r w:rsidRPr="00480246">
              <w:rPr>
                <w:rFonts w:eastAsia="MS Gothic" w:cstheme="minorHAnsi"/>
                <w:i/>
                <w:sz w:val="22"/>
                <w:szCs w:val="22"/>
              </w:rPr>
              <w:t>менее 670 кВт</w:t>
            </w:r>
          </w:p>
        </w:tc>
        <w:tc>
          <w:tcPr>
            <w:tcW w:w="2152" w:type="dxa"/>
            <w:vAlign w:val="center"/>
          </w:tcPr>
          <w:p w:rsidR="00F97371" w:rsidRPr="00480246" w:rsidRDefault="00F97371" w:rsidP="00A34D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MS Gothic" w:cstheme="minorHAnsi"/>
                <w:i/>
                <w:sz w:val="22"/>
                <w:szCs w:val="22"/>
              </w:rPr>
            </w:pPr>
            <w:r w:rsidRPr="00480246">
              <w:rPr>
                <w:rFonts w:eastAsia="MS Gothic" w:cstheme="minorHAnsi"/>
                <w:i/>
                <w:sz w:val="22"/>
                <w:szCs w:val="22"/>
              </w:rPr>
              <w:t xml:space="preserve">от 670 кВт </w:t>
            </w:r>
          </w:p>
          <w:p w:rsidR="00F97371" w:rsidRPr="00480246" w:rsidRDefault="00F97371" w:rsidP="00A34D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MS Gothic" w:cstheme="minorHAnsi"/>
                <w:i/>
                <w:sz w:val="22"/>
                <w:szCs w:val="22"/>
              </w:rPr>
            </w:pPr>
            <w:r w:rsidRPr="00480246">
              <w:rPr>
                <w:rFonts w:eastAsia="MS Gothic" w:cstheme="minorHAnsi"/>
                <w:i/>
                <w:sz w:val="22"/>
                <w:szCs w:val="22"/>
              </w:rPr>
              <w:t>до 10 МВт</w:t>
            </w:r>
          </w:p>
        </w:tc>
        <w:tc>
          <w:tcPr>
            <w:tcW w:w="2054" w:type="dxa"/>
            <w:vAlign w:val="center"/>
          </w:tcPr>
          <w:p w:rsidR="00F97371" w:rsidRPr="00480246" w:rsidRDefault="00F97371" w:rsidP="00A34D8A">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MS Gothic" w:cstheme="minorHAnsi"/>
                <w:i/>
                <w:sz w:val="22"/>
                <w:szCs w:val="22"/>
              </w:rPr>
            </w:pPr>
            <w:r w:rsidRPr="00480246">
              <w:rPr>
                <w:rFonts w:eastAsia="MS Gothic" w:cstheme="minorHAnsi"/>
                <w:i/>
                <w:sz w:val="22"/>
                <w:szCs w:val="22"/>
              </w:rPr>
              <w:t>более 10 МВт</w:t>
            </w:r>
          </w:p>
        </w:tc>
      </w:tr>
      <w:tr w:rsidR="00F97371" w:rsidRPr="006D0596" w:rsidTr="00782043">
        <w:tc>
          <w:tcPr>
            <w:cnfStyle w:val="001000000000" w:firstRow="0" w:lastRow="0" w:firstColumn="1" w:lastColumn="0" w:oddVBand="0" w:evenVBand="0" w:oddHBand="0" w:evenHBand="0" w:firstRowFirstColumn="0" w:firstRowLastColumn="0" w:lastRowFirstColumn="0" w:lastRowLastColumn="0"/>
            <w:tcW w:w="3509" w:type="dxa"/>
          </w:tcPr>
          <w:p w:rsidR="00F97371" w:rsidRPr="00480246" w:rsidRDefault="00F97371" w:rsidP="00782043">
            <w:pPr>
              <w:spacing w:line="360" w:lineRule="auto"/>
              <w:contextualSpacing/>
              <w:jc w:val="center"/>
              <w:rPr>
                <w:rFonts w:eastAsia="MS Gothic" w:cstheme="minorHAnsi"/>
                <w:i/>
                <w:sz w:val="22"/>
                <w:szCs w:val="22"/>
              </w:rPr>
            </w:pPr>
            <w:r w:rsidRPr="00480246">
              <w:rPr>
                <w:rFonts w:eastAsia="MS Gothic" w:cstheme="minorHAnsi"/>
                <w:sz w:val="22"/>
                <w:szCs w:val="22"/>
              </w:rPr>
              <w:t>АО «</w:t>
            </w:r>
            <w:proofErr w:type="spellStart"/>
            <w:r w:rsidRPr="00480246">
              <w:rPr>
                <w:rFonts w:eastAsia="MS Gothic" w:cstheme="minorHAnsi"/>
                <w:sz w:val="22"/>
                <w:szCs w:val="22"/>
              </w:rPr>
              <w:t>ЭнергосбыТ</w:t>
            </w:r>
            <w:proofErr w:type="spellEnd"/>
            <w:r w:rsidRPr="00480246">
              <w:rPr>
                <w:rFonts w:eastAsia="MS Gothic" w:cstheme="minorHAnsi"/>
                <w:sz w:val="22"/>
                <w:szCs w:val="22"/>
              </w:rPr>
              <w:t xml:space="preserve"> Плюс»</w:t>
            </w:r>
          </w:p>
        </w:tc>
        <w:tc>
          <w:tcPr>
            <w:tcW w:w="1856" w:type="dxa"/>
          </w:tcPr>
          <w:p w:rsidR="00F97371" w:rsidRPr="00480246" w:rsidRDefault="00F97371" w:rsidP="00782043">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80246">
              <w:rPr>
                <w:rFonts w:cstheme="minorHAnsi"/>
                <w:sz w:val="22"/>
                <w:szCs w:val="22"/>
              </w:rPr>
              <w:t>100,0%</w:t>
            </w:r>
          </w:p>
        </w:tc>
        <w:tc>
          <w:tcPr>
            <w:tcW w:w="2152" w:type="dxa"/>
          </w:tcPr>
          <w:p w:rsidR="00F97371" w:rsidRPr="00480246" w:rsidRDefault="00F97371" w:rsidP="00782043">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80246">
              <w:rPr>
                <w:rFonts w:cstheme="minorHAnsi"/>
                <w:sz w:val="22"/>
                <w:szCs w:val="22"/>
              </w:rPr>
              <w:t>100,0%</w:t>
            </w:r>
          </w:p>
        </w:tc>
        <w:tc>
          <w:tcPr>
            <w:tcW w:w="2054" w:type="dxa"/>
          </w:tcPr>
          <w:p w:rsidR="00F97371" w:rsidRPr="00480246" w:rsidRDefault="00F97371" w:rsidP="00782043">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80246">
              <w:rPr>
                <w:rFonts w:cstheme="minorHAnsi"/>
                <w:sz w:val="22"/>
                <w:szCs w:val="22"/>
              </w:rPr>
              <w:t>100,0%</w:t>
            </w:r>
          </w:p>
        </w:tc>
      </w:tr>
      <w:tr w:rsidR="00A34D8A" w:rsidRPr="006D0596" w:rsidTr="00782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rsidR="00F97371" w:rsidRPr="00480246" w:rsidRDefault="00F97371" w:rsidP="00782043">
            <w:pPr>
              <w:spacing w:line="360" w:lineRule="auto"/>
              <w:contextualSpacing/>
              <w:jc w:val="center"/>
              <w:rPr>
                <w:rFonts w:eastAsia="MS Gothic" w:cstheme="minorHAnsi"/>
                <w:i/>
                <w:sz w:val="22"/>
                <w:szCs w:val="22"/>
              </w:rPr>
            </w:pPr>
            <w:r w:rsidRPr="00480246">
              <w:rPr>
                <w:rFonts w:eastAsia="MS Gothic" w:cstheme="minorHAnsi"/>
                <w:sz w:val="22"/>
                <w:szCs w:val="22"/>
              </w:rPr>
              <w:t>ООО «</w:t>
            </w:r>
            <w:proofErr w:type="spellStart"/>
            <w:r w:rsidRPr="00480246">
              <w:rPr>
                <w:rFonts w:eastAsia="MS Gothic" w:cstheme="minorHAnsi"/>
                <w:sz w:val="22"/>
                <w:szCs w:val="22"/>
              </w:rPr>
              <w:t>Ивановоэнергосбыт</w:t>
            </w:r>
            <w:proofErr w:type="spellEnd"/>
            <w:r w:rsidRPr="00480246">
              <w:rPr>
                <w:rFonts w:eastAsia="MS Gothic" w:cstheme="minorHAnsi"/>
                <w:sz w:val="22"/>
                <w:szCs w:val="22"/>
              </w:rPr>
              <w:t>»</w:t>
            </w:r>
          </w:p>
        </w:tc>
        <w:tc>
          <w:tcPr>
            <w:tcW w:w="1856" w:type="dxa"/>
          </w:tcPr>
          <w:p w:rsidR="00F97371" w:rsidRPr="00480246" w:rsidRDefault="00F97371" w:rsidP="00782043">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80246">
              <w:rPr>
                <w:rFonts w:cstheme="minorHAnsi"/>
                <w:sz w:val="22"/>
                <w:szCs w:val="22"/>
              </w:rPr>
              <w:t>100,0%</w:t>
            </w:r>
          </w:p>
        </w:tc>
        <w:tc>
          <w:tcPr>
            <w:tcW w:w="2152" w:type="dxa"/>
          </w:tcPr>
          <w:p w:rsidR="00F97371" w:rsidRPr="00480246" w:rsidRDefault="00F97371" w:rsidP="00782043">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80246">
              <w:rPr>
                <w:rFonts w:cstheme="minorHAnsi"/>
                <w:sz w:val="22"/>
                <w:szCs w:val="22"/>
              </w:rPr>
              <w:t>109,7%</w:t>
            </w:r>
          </w:p>
        </w:tc>
        <w:tc>
          <w:tcPr>
            <w:tcW w:w="2054" w:type="dxa"/>
          </w:tcPr>
          <w:p w:rsidR="00F97371" w:rsidRPr="00480246" w:rsidRDefault="00F97371" w:rsidP="00782043">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80246">
              <w:rPr>
                <w:rFonts w:cstheme="minorHAnsi"/>
                <w:sz w:val="22"/>
                <w:szCs w:val="22"/>
              </w:rPr>
              <w:t>100,0%</w:t>
            </w:r>
          </w:p>
        </w:tc>
      </w:tr>
    </w:tbl>
    <w:p w:rsidR="007E21FD" w:rsidRPr="00082275" w:rsidRDefault="00A34D8A">
      <w:pPr>
        <w:pStyle w:val="23"/>
      </w:pPr>
      <w:bookmarkStart w:id="40" w:name="_Toc97309427"/>
      <w:bookmarkStart w:id="41" w:name="_Toc97386233"/>
      <w:r w:rsidRPr="00082275">
        <w:t>газоснабжение</w:t>
      </w:r>
      <w:bookmarkEnd w:id="40"/>
      <w:bookmarkEnd w:id="41"/>
    </w:p>
    <w:p w:rsidR="00CF790A" w:rsidRPr="00CF790A" w:rsidRDefault="00CF790A" w:rsidP="00CF790A">
      <w:r w:rsidRPr="00CF790A">
        <w:rPr>
          <w:b/>
        </w:rPr>
        <w:t>Цены на природный газ для населения</w:t>
      </w:r>
      <w:r w:rsidRPr="00CF790A">
        <w:t xml:space="preserve"> (с НДС) в первом полугодии 2022 года сохраняться на уровне 2 полугодия 2021 года и составят: </w:t>
      </w:r>
    </w:p>
    <w:p w:rsidR="00CF790A" w:rsidRPr="00CF790A" w:rsidRDefault="00CF790A" w:rsidP="00AE5CB8">
      <w:pPr>
        <w:tabs>
          <w:tab w:val="left" w:pos="426"/>
        </w:tabs>
      </w:pPr>
      <w:r w:rsidRPr="00CF790A">
        <w:t>•</w:t>
      </w:r>
      <w:r w:rsidRPr="00CF790A">
        <w:tab/>
        <w:t>на приготовление пищи и (или) нагрев воды – 8,66 руб. за 1 куб. м;</w:t>
      </w:r>
    </w:p>
    <w:p w:rsidR="00CF790A" w:rsidRPr="00CF790A" w:rsidRDefault="00CF790A" w:rsidP="00AE5CB8">
      <w:pPr>
        <w:tabs>
          <w:tab w:val="left" w:pos="426"/>
        </w:tabs>
      </w:pPr>
      <w:r w:rsidRPr="00CF790A">
        <w:t>•</w:t>
      </w:r>
      <w:r w:rsidRPr="00CF790A">
        <w:tab/>
        <w:t>на нужды отопления жилых помещений от бытовых газовых отопительных приборов – 5,41 руб. за 1 куб. м;</w:t>
      </w:r>
    </w:p>
    <w:p w:rsidR="00CF790A" w:rsidRPr="00CF790A" w:rsidRDefault="00CF790A" w:rsidP="00AE5CB8">
      <w:pPr>
        <w:tabs>
          <w:tab w:val="left" w:pos="426"/>
        </w:tabs>
      </w:pPr>
      <w:r w:rsidRPr="00CF790A">
        <w:t>•</w:t>
      </w:r>
      <w:r w:rsidRPr="00CF790A">
        <w:tab/>
        <w:t>на нужды отопления жилых помещений, на приготовление пищи и (или) нагрев воды при наличии индивидуального или общего (квартирного) прибора учета газа, фиксирующего весь объем потребляемого газа, - 5,77 руб. за 1 куб. м;</w:t>
      </w:r>
    </w:p>
    <w:p w:rsidR="00CF790A" w:rsidRPr="00CF790A" w:rsidRDefault="00CF790A" w:rsidP="00AE5CB8">
      <w:pPr>
        <w:tabs>
          <w:tab w:val="left" w:pos="426"/>
        </w:tabs>
      </w:pPr>
      <w:r w:rsidRPr="00CF790A">
        <w:t>•</w:t>
      </w:r>
      <w:r w:rsidRPr="00CF790A">
        <w:tab/>
        <w:t>на нужды отопления, нагрев воды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- 5,77 руб. за 1 куб. м;</w:t>
      </w:r>
    </w:p>
    <w:p w:rsidR="00CF790A" w:rsidRPr="00CF790A" w:rsidRDefault="00CF790A" w:rsidP="00AE5CB8">
      <w:pPr>
        <w:tabs>
          <w:tab w:val="left" w:pos="426"/>
        </w:tabs>
      </w:pPr>
      <w:r w:rsidRPr="00CF790A">
        <w:t>•</w:t>
      </w:r>
      <w:r w:rsidRPr="00CF790A">
        <w:tab/>
        <w:t>на прочие цели – 8,35 руб. за 1 куб. м.</w:t>
      </w:r>
    </w:p>
    <w:p w:rsidR="00CF790A" w:rsidRPr="00CF790A" w:rsidRDefault="00EB7D27" w:rsidP="00CF790A">
      <w:r>
        <w:rPr>
          <w:noProof/>
        </w:rPr>
        <w:drawing>
          <wp:inline distT="0" distB="0" distL="0" distR="0" wp14:anchorId="129390E4" wp14:editId="1C393266">
            <wp:extent cx="5940425" cy="3141980"/>
            <wp:effectExtent l="0" t="0" r="3175" b="1270"/>
            <wp:docPr id="28" name="Диаграмма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3898CB-9A7E-4AE3-92CB-EA5CB54E0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4D8A" w:rsidRDefault="00CF790A" w:rsidP="00CF790A">
      <w:r w:rsidRPr="00CF790A">
        <w:t xml:space="preserve">После установления Федеральной антимонопольной службой составляющих розничной цены на газ (оптовой цены, тарифа на транспортировку, платы за снабженческо-сбытовые услуги) </w:t>
      </w:r>
      <w:r w:rsidRPr="00CF790A">
        <w:lastRenderedPageBreak/>
        <w:t>Департаментом будут установлены розничные цены на газ, реализуемый населению Ивановской области с 1 июля 202</w:t>
      </w:r>
      <w:r>
        <w:t>2</w:t>
      </w:r>
      <w:r w:rsidRPr="00CF790A">
        <w:t xml:space="preserve"> года</w:t>
      </w:r>
    </w:p>
    <w:p w:rsidR="007E21FD" w:rsidRPr="00082275" w:rsidRDefault="00A82D67">
      <w:pPr>
        <w:pStyle w:val="23"/>
      </w:pPr>
      <w:bookmarkStart w:id="42" w:name="_Toc97309428"/>
      <w:bookmarkStart w:id="43" w:name="_Toc97386234"/>
      <w:r w:rsidRPr="00082275">
        <w:t>теплоснабжение</w:t>
      </w:r>
      <w:bookmarkEnd w:id="42"/>
      <w:bookmarkEnd w:id="43"/>
    </w:p>
    <w:p w:rsidR="00A82D67" w:rsidRDefault="00A82D67" w:rsidP="00A82D67">
      <w:r w:rsidRPr="00EC5B94">
        <w:rPr>
          <w:b/>
        </w:rPr>
        <w:t>Средний тариф на тепловую энергию для всех категорий потребителей</w:t>
      </w:r>
      <w:r w:rsidRPr="00A82D67">
        <w:t xml:space="preserve"> на территории Ивановской области составляет:</w:t>
      </w:r>
    </w:p>
    <w:p w:rsidR="00A82D67" w:rsidRDefault="00A82D67" w:rsidP="00A82D67">
      <w:r w:rsidRPr="00A82D67">
        <w:t xml:space="preserve">- с 1 января 2022 г. – 2281,85 руб./Гкал (с НДС) со снижением на 1,3% ко второму полугодию 2021 года, </w:t>
      </w:r>
    </w:p>
    <w:p w:rsidR="00A82D67" w:rsidRDefault="00A82D67" w:rsidP="00A82D67">
      <w:r w:rsidRPr="00A82D67">
        <w:t>- с 1 июля 2022 г. – 2358,57 руб./Гкал (с НДС) с ростом на 3,4% к первому полугодию 2022 года.</w:t>
      </w:r>
    </w:p>
    <w:p w:rsidR="00A82D67" w:rsidRDefault="00A82D67" w:rsidP="00A82D67">
      <w:r w:rsidRPr="00A82D67">
        <w:t xml:space="preserve">В том числе </w:t>
      </w:r>
      <w:r w:rsidRPr="00EC5B94">
        <w:rPr>
          <w:b/>
        </w:rPr>
        <w:t>в режиме комбинированной выработки</w:t>
      </w:r>
      <w:r w:rsidRPr="00A82D67">
        <w:t>:</w:t>
      </w:r>
    </w:p>
    <w:p w:rsidR="00A82D67" w:rsidRDefault="00A82D67" w:rsidP="00A82D67">
      <w:r w:rsidRPr="00A82D67">
        <w:t>- с 1 января 2022 г. – 1156,74 руб./Гкал (с НДС) с ростом на 3,3% ко второму полугодию 2021 года</w:t>
      </w:r>
    </w:p>
    <w:p w:rsidR="007E21FD" w:rsidRDefault="00A82D67" w:rsidP="00A82D67">
      <w:r w:rsidRPr="00A82D67">
        <w:t>- с 1 июля 2022 г. – 1254,66 руб./Гкал (с НДС) с ростом на 8,5% к первому полугодию 2022 года.</w:t>
      </w:r>
    </w:p>
    <w:p w:rsidR="00EC5B94" w:rsidRDefault="00692BDF" w:rsidP="00A82D67">
      <w:r>
        <w:rPr>
          <w:noProof/>
        </w:rPr>
        <w:drawing>
          <wp:inline distT="0" distB="0" distL="0" distR="0" wp14:anchorId="14E04F05" wp14:editId="7C443F9D">
            <wp:extent cx="6019800" cy="3138805"/>
            <wp:effectExtent l="0" t="0" r="0" b="4445"/>
            <wp:docPr id="26" name="Диаграмма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030E6C-B937-4369-A07E-44687286C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5B94" w:rsidRDefault="00EC5B94" w:rsidP="00A82D67"/>
    <w:p w:rsidR="00EC5B94" w:rsidRPr="00EC5B94" w:rsidRDefault="00EC5B94" w:rsidP="00EC5B94">
      <w:r w:rsidRPr="00EC5B94">
        <w:rPr>
          <w:b/>
        </w:rPr>
        <w:t>Средний тариф на тепловую энергию для населения</w:t>
      </w:r>
      <w:r w:rsidRPr="00EC5B94">
        <w:t xml:space="preserve"> на территории Ивановской области составляет:</w:t>
      </w:r>
    </w:p>
    <w:p w:rsidR="00EC5B94" w:rsidRPr="00EC5B94" w:rsidRDefault="00EC5B94" w:rsidP="00EC5B94">
      <w:r w:rsidRPr="00EC5B94">
        <w:t xml:space="preserve">- с 1 января 2022 г. – 2245,05 руб./Гкал (с НДС), со снижением на 0,1% ко второму полугодию 2021 года, </w:t>
      </w:r>
    </w:p>
    <w:p w:rsidR="00EC5B94" w:rsidRPr="00EC5B94" w:rsidRDefault="00EC5B94" w:rsidP="00EC5B94">
      <w:r w:rsidRPr="00EC5B94">
        <w:t>- с 1 июля 2022 г. – 2292,14 руб./Гкал (с НДС) с ростом на 2,1% к первому полугодию 2022 года.</w:t>
      </w:r>
    </w:p>
    <w:p w:rsidR="00191FAC" w:rsidRDefault="00191FAC" w:rsidP="00A82D67"/>
    <w:p w:rsidR="00EC5B94" w:rsidRPr="00082275" w:rsidRDefault="00EC5B94" w:rsidP="00082275">
      <w:pPr>
        <w:pStyle w:val="23"/>
      </w:pPr>
      <w:bookmarkStart w:id="44" w:name="_Toc97386235"/>
      <w:bookmarkStart w:id="45" w:name="_Hlk97309344"/>
      <w:r w:rsidRPr="00082275">
        <w:lastRenderedPageBreak/>
        <w:t>Водоснабжение и водоотведение</w:t>
      </w:r>
      <w:bookmarkEnd w:id="44"/>
      <w:r w:rsidRPr="00082275">
        <w:t xml:space="preserve"> </w:t>
      </w:r>
    </w:p>
    <w:bookmarkEnd w:id="45"/>
    <w:p w:rsidR="00AE5CB8" w:rsidRDefault="00AE5CB8" w:rsidP="00AE5CB8">
      <w:r w:rsidRPr="00AE5CB8">
        <w:t>Тарифы для всех категорий потребителей в среднем по Ивановской области сложились в следующем размере.</w:t>
      </w:r>
    </w:p>
    <w:p w:rsidR="00AE5CB8" w:rsidRPr="00AE5CB8" w:rsidRDefault="00AE5CB8" w:rsidP="00AE5CB8">
      <w:pPr>
        <w:rPr>
          <w:b/>
        </w:rPr>
      </w:pPr>
      <w:r w:rsidRPr="00AE5CB8">
        <w:rPr>
          <w:b/>
        </w:rPr>
        <w:t>Питьевая вода:</w:t>
      </w:r>
    </w:p>
    <w:p w:rsidR="00AE5CB8" w:rsidRDefault="00AE5CB8" w:rsidP="00AE5CB8">
      <w:r w:rsidRPr="00AE5CB8">
        <w:t>- с 1 января 2022 г. – 26,</w:t>
      </w:r>
      <w:r w:rsidR="00C52B7B" w:rsidRPr="00C52B7B">
        <w:t>73</w:t>
      </w:r>
      <w:r w:rsidRPr="00AE5CB8">
        <w:t xml:space="preserve"> руб./куб.</w:t>
      </w:r>
      <w:r>
        <w:t xml:space="preserve"> </w:t>
      </w:r>
      <w:r w:rsidRPr="00AE5CB8">
        <w:t xml:space="preserve">м (с НДС) </w:t>
      </w:r>
      <w:r w:rsidR="00C52B7B" w:rsidRPr="00C52B7B">
        <w:t xml:space="preserve">с ростом на 1,0 % к </w:t>
      </w:r>
      <w:r w:rsidRPr="00AE5CB8">
        <w:t xml:space="preserve">ко второму полугодию 2021 года, </w:t>
      </w:r>
    </w:p>
    <w:p w:rsidR="007E21FD" w:rsidRDefault="00AE5CB8" w:rsidP="00AE5CB8">
      <w:r w:rsidRPr="00AE5CB8">
        <w:t>- с 1 июля 2022 г. – 27,</w:t>
      </w:r>
      <w:r w:rsidR="00C52B7B" w:rsidRPr="00C52B7B">
        <w:t>77</w:t>
      </w:r>
      <w:r w:rsidRPr="00AE5CB8">
        <w:t xml:space="preserve"> руб./куб.</w:t>
      </w:r>
      <w:r>
        <w:t xml:space="preserve"> </w:t>
      </w:r>
      <w:r w:rsidRPr="00AE5CB8">
        <w:t xml:space="preserve">м (с НДС) с ростом на </w:t>
      </w:r>
      <w:r w:rsidR="00C52B7B" w:rsidRPr="00C52B7B">
        <w:t>3</w:t>
      </w:r>
      <w:r w:rsidRPr="00AE5CB8">
        <w:t>,</w:t>
      </w:r>
      <w:r w:rsidR="00C52B7B" w:rsidRPr="00C52B7B">
        <w:t>9</w:t>
      </w:r>
      <w:r w:rsidRPr="00AE5CB8">
        <w:t xml:space="preserve"> % к первому полугодию 2022 года.</w:t>
      </w:r>
    </w:p>
    <w:p w:rsidR="00AE5CB8" w:rsidRDefault="00AE5CB8" w:rsidP="00AE5CB8"/>
    <w:p w:rsidR="00AE5CB8" w:rsidRDefault="00AE5CB8" w:rsidP="00AE5CB8">
      <w:r w:rsidRPr="00367F13">
        <w:rPr>
          <w:rFonts w:ascii="Arial" w:eastAsia="Times New Roman" w:hAnsi="Arial"/>
          <w:noProof/>
          <w:color w:val="0070C0"/>
          <w:spacing w:val="20"/>
          <w:sz w:val="36"/>
        </w:rPr>
        <w:drawing>
          <wp:inline distT="0" distB="0" distL="0" distR="0" wp14:anchorId="2C1CE436" wp14:editId="6B6BA3E3">
            <wp:extent cx="5981700" cy="3384550"/>
            <wp:effectExtent l="0" t="0" r="0" b="6350"/>
            <wp:docPr id="5" name="Диаграмма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5B74" w:rsidRPr="00895B74" w:rsidRDefault="00895B74" w:rsidP="00895B74">
      <w:pPr>
        <w:rPr>
          <w:b/>
        </w:rPr>
      </w:pPr>
      <w:r w:rsidRPr="00895B74">
        <w:rPr>
          <w:b/>
        </w:rPr>
        <w:t>Горячая вода:</w:t>
      </w:r>
    </w:p>
    <w:p w:rsidR="00895B74" w:rsidRPr="00895B74" w:rsidRDefault="00895B74" w:rsidP="00895B74">
      <w:r w:rsidRPr="00895B74">
        <w:rPr>
          <w:b/>
        </w:rPr>
        <w:t>Средний тариф на горячую воду</w:t>
      </w:r>
      <w:r w:rsidRPr="00895B74">
        <w:t xml:space="preserve"> для всех категорий потребителей на территории Ивановской области составляет:</w:t>
      </w:r>
    </w:p>
    <w:p w:rsidR="00895B74" w:rsidRPr="00895B74" w:rsidRDefault="00895B74" w:rsidP="00895B74">
      <w:r w:rsidRPr="00895B74">
        <w:t>- с 1 января 2022 г. – 170,42 руб./куб.</w:t>
      </w:r>
      <w:r w:rsidR="00533245">
        <w:t xml:space="preserve"> </w:t>
      </w:r>
      <w:r w:rsidRPr="00895B74">
        <w:t>м (с НДС), со снижением на 1,3% ко второму полугодию 2021 года,</w:t>
      </w:r>
    </w:p>
    <w:p w:rsidR="00AE5CB8" w:rsidRDefault="00895B74" w:rsidP="00895B74">
      <w:r w:rsidRPr="00895B74">
        <w:t>- с 1 июля 2022 г. – 174,93 руб./куб.</w:t>
      </w:r>
      <w:r w:rsidR="00533245">
        <w:t xml:space="preserve"> </w:t>
      </w:r>
      <w:r w:rsidRPr="00895B74">
        <w:t>м (с НДС) с ростом на 2,6% к первому полугодию</w:t>
      </w:r>
      <w:r>
        <w:t xml:space="preserve"> 2022 года.</w:t>
      </w:r>
    </w:p>
    <w:p w:rsidR="00895B74" w:rsidRDefault="006122DC" w:rsidP="00895B74">
      <w:r>
        <w:rPr>
          <w:noProof/>
        </w:rPr>
        <w:lastRenderedPageBreak/>
        <w:drawing>
          <wp:inline distT="0" distB="0" distL="0" distR="0" wp14:anchorId="75D89CD7" wp14:editId="1205CBCF">
            <wp:extent cx="5848350" cy="3181350"/>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310ED6-09AF-470A-972F-39C302BE9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C547B0" w:rsidRDefault="00C547B0" w:rsidP="00AE5CB8">
      <w:pPr>
        <w:rPr>
          <w:b/>
        </w:rPr>
      </w:pPr>
    </w:p>
    <w:p w:rsidR="00AE5CB8" w:rsidRPr="00AE5CB8" w:rsidRDefault="00AE5CB8" w:rsidP="00AE5CB8">
      <w:pPr>
        <w:rPr>
          <w:b/>
        </w:rPr>
      </w:pPr>
      <w:r w:rsidRPr="00AE5CB8">
        <w:rPr>
          <w:b/>
        </w:rPr>
        <w:lastRenderedPageBreak/>
        <w:t>Водоотведение:</w:t>
      </w:r>
    </w:p>
    <w:p w:rsidR="00AE5CB8" w:rsidRPr="00AE5CB8" w:rsidRDefault="00AE5CB8" w:rsidP="00AE5CB8">
      <w:r w:rsidRPr="00AE5CB8">
        <w:t>- с 1 января 2022 г. – 22,</w:t>
      </w:r>
      <w:r w:rsidR="00C52B7B" w:rsidRPr="00C52B7B">
        <w:t>40</w:t>
      </w:r>
      <w:r w:rsidRPr="00AE5CB8">
        <w:t xml:space="preserve"> руб./</w:t>
      </w:r>
      <w:proofErr w:type="spellStart"/>
      <w:r w:rsidRPr="00AE5CB8">
        <w:t>куб</w:t>
      </w:r>
      <w:proofErr w:type="gramStart"/>
      <w:r w:rsidRPr="00AE5CB8">
        <w:t>.м</w:t>
      </w:r>
      <w:proofErr w:type="spellEnd"/>
      <w:proofErr w:type="gramEnd"/>
      <w:r w:rsidRPr="00AE5CB8">
        <w:t xml:space="preserve"> (с НДС) с ростом на </w:t>
      </w:r>
      <w:r w:rsidR="00C52B7B" w:rsidRPr="00C52B7B">
        <w:t>1</w:t>
      </w:r>
      <w:r w:rsidR="00C52B7B">
        <w:t>,</w:t>
      </w:r>
      <w:r w:rsidR="00C52B7B" w:rsidRPr="00C52B7B">
        <w:t>7</w:t>
      </w:r>
      <w:r w:rsidRPr="00AE5CB8">
        <w:t>% ко второму полугодию 2021 года,</w:t>
      </w:r>
    </w:p>
    <w:p w:rsidR="00AE5CB8" w:rsidRDefault="00AE5CB8" w:rsidP="00AE5CB8">
      <w:r w:rsidRPr="00AE5CB8">
        <w:t>- с 1 июля 2022 г. – 2</w:t>
      </w:r>
      <w:r w:rsidR="00C52B7B" w:rsidRPr="00C52B7B">
        <w:t>3</w:t>
      </w:r>
      <w:r w:rsidRPr="00AE5CB8">
        <w:t>,</w:t>
      </w:r>
      <w:r w:rsidR="00C52B7B" w:rsidRPr="00C52B7B">
        <w:t>26</w:t>
      </w:r>
      <w:r w:rsidRPr="00AE5CB8">
        <w:t xml:space="preserve"> руб./</w:t>
      </w:r>
      <w:proofErr w:type="spellStart"/>
      <w:r w:rsidRPr="00AE5CB8">
        <w:t>куб</w:t>
      </w:r>
      <w:proofErr w:type="gramStart"/>
      <w:r w:rsidRPr="00AE5CB8">
        <w:t>.м</w:t>
      </w:r>
      <w:proofErr w:type="spellEnd"/>
      <w:proofErr w:type="gramEnd"/>
      <w:r w:rsidRPr="00AE5CB8">
        <w:t xml:space="preserve"> (с НДС) с ростом на </w:t>
      </w:r>
      <w:r w:rsidR="00C52B7B">
        <w:t>3</w:t>
      </w:r>
      <w:r w:rsidRPr="00AE5CB8">
        <w:t>,</w:t>
      </w:r>
      <w:r w:rsidR="00C52B7B">
        <w:t>8</w:t>
      </w:r>
      <w:r w:rsidRPr="00AE5CB8">
        <w:t>% к первому полугодию 2022 года.</w:t>
      </w:r>
    </w:p>
    <w:p w:rsidR="00C547B0" w:rsidRDefault="00C547B0" w:rsidP="00AE5CB8"/>
    <w:p w:rsidR="00C547B0" w:rsidRDefault="00C547B0" w:rsidP="00AE5CB8"/>
    <w:p w:rsidR="00AE5CB8" w:rsidRDefault="00AE5CB8" w:rsidP="00AE5CB8">
      <w:r w:rsidRPr="00D86D00">
        <w:rPr>
          <w:rFonts w:ascii="Arial" w:eastAsia="Times New Roman" w:hAnsi="Arial"/>
          <w:noProof/>
          <w:color w:val="FF0000"/>
          <w:sz w:val="18"/>
        </w:rPr>
        <w:drawing>
          <wp:inline distT="0" distB="0" distL="0" distR="0" wp14:anchorId="54CA43E4" wp14:editId="6E9B52F9">
            <wp:extent cx="5695950" cy="35528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aa"/>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32"/>
      </w:tblGrid>
      <w:tr w:rsidR="00C725AC" w:rsidRPr="00C725AC" w:rsidTr="000F7FB7">
        <w:trPr>
          <w:cantSplit/>
          <w:trHeight w:val="3414"/>
        </w:trPr>
        <w:tc>
          <w:tcPr>
            <w:tcW w:w="10632" w:type="dxa"/>
          </w:tcPr>
          <w:p w:rsidR="00C725AC" w:rsidRPr="00C725AC" w:rsidRDefault="00C725AC" w:rsidP="00C725AC">
            <w:pPr>
              <w:spacing w:after="160" w:line="288" w:lineRule="auto"/>
            </w:pPr>
            <w:r w:rsidRPr="00C725AC">
              <w:rPr>
                <w:b/>
              </w:rPr>
              <w:t>Тарифы для населения</w:t>
            </w:r>
            <w:r w:rsidRPr="00C725AC">
              <w:t xml:space="preserve"> в среднем по Ивановской области составляют:</w:t>
            </w:r>
          </w:p>
          <w:p w:rsidR="00C725AC" w:rsidRPr="00C725AC" w:rsidRDefault="00C725AC" w:rsidP="00C725AC">
            <w:pPr>
              <w:spacing w:after="160" w:line="288" w:lineRule="auto"/>
              <w:rPr>
                <w:b/>
              </w:rPr>
            </w:pPr>
            <w:r w:rsidRPr="00C725AC">
              <w:rPr>
                <w:b/>
              </w:rPr>
              <w:t xml:space="preserve">питьевая вода: </w:t>
            </w:r>
          </w:p>
          <w:p w:rsidR="00C725AC" w:rsidRPr="00C725AC" w:rsidRDefault="00C725AC" w:rsidP="00C725AC">
            <w:pPr>
              <w:spacing w:after="160" w:line="288" w:lineRule="auto"/>
            </w:pPr>
            <w:r w:rsidRPr="00C725AC">
              <w:t>- с 1 января 2022 г. – 26,1</w:t>
            </w:r>
            <w:r w:rsidR="00C52B7B">
              <w:t>9</w:t>
            </w:r>
            <w:r w:rsidRPr="00C725AC">
              <w:t xml:space="preserve"> руб./</w:t>
            </w:r>
            <w:proofErr w:type="spellStart"/>
            <w:r w:rsidRPr="00C725AC">
              <w:t>куб</w:t>
            </w:r>
            <w:proofErr w:type="gramStart"/>
            <w:r w:rsidRPr="00C725AC">
              <w:t>.м</w:t>
            </w:r>
            <w:proofErr w:type="spellEnd"/>
            <w:proofErr w:type="gramEnd"/>
            <w:r w:rsidRPr="00C725AC">
              <w:t xml:space="preserve"> (с НДС), с ростом на </w:t>
            </w:r>
            <w:r w:rsidR="00C52B7B">
              <w:t>0,8</w:t>
            </w:r>
            <w:r w:rsidRPr="00C725AC">
              <w:t>% ко второму полугодию 2021 года,</w:t>
            </w:r>
          </w:p>
          <w:p w:rsidR="00C725AC" w:rsidRPr="00C725AC" w:rsidRDefault="00C725AC" w:rsidP="00C725AC">
            <w:pPr>
              <w:spacing w:after="160" w:line="288" w:lineRule="auto"/>
            </w:pPr>
            <w:r w:rsidRPr="00C725AC">
              <w:t>- с 1 июля 2022 г. – 2</w:t>
            </w:r>
            <w:r w:rsidR="00C52B7B">
              <w:t>6</w:t>
            </w:r>
            <w:r w:rsidRPr="00C725AC">
              <w:t>,</w:t>
            </w:r>
            <w:r w:rsidR="00C52B7B">
              <w:t>40</w:t>
            </w:r>
            <w:r w:rsidRPr="00C725AC">
              <w:t xml:space="preserve"> руб./</w:t>
            </w:r>
            <w:proofErr w:type="spellStart"/>
            <w:r w:rsidRPr="00C725AC">
              <w:t>куб</w:t>
            </w:r>
            <w:proofErr w:type="gramStart"/>
            <w:r w:rsidRPr="00C725AC">
              <w:t>.м</w:t>
            </w:r>
            <w:proofErr w:type="spellEnd"/>
            <w:proofErr w:type="gramEnd"/>
            <w:r w:rsidRPr="00C725AC">
              <w:t xml:space="preserve"> (с НДС) с ростом на </w:t>
            </w:r>
            <w:r w:rsidR="00C52B7B">
              <w:t>3,9</w:t>
            </w:r>
            <w:r w:rsidRPr="00C725AC">
              <w:t>% к первому полугодию 2022 года;</w:t>
            </w:r>
          </w:p>
          <w:p w:rsidR="00C725AC" w:rsidRPr="00C725AC" w:rsidRDefault="00C725AC" w:rsidP="00C725AC">
            <w:pPr>
              <w:spacing w:after="160" w:line="288" w:lineRule="auto"/>
              <w:rPr>
                <w:b/>
              </w:rPr>
            </w:pPr>
            <w:r w:rsidRPr="00C725AC">
              <w:rPr>
                <w:b/>
              </w:rPr>
              <w:t>горячая вода:</w:t>
            </w:r>
          </w:p>
          <w:p w:rsidR="00C725AC" w:rsidRPr="00C725AC" w:rsidRDefault="00C725AC" w:rsidP="00C725AC">
            <w:pPr>
              <w:spacing w:after="160" w:line="288" w:lineRule="auto"/>
            </w:pPr>
            <w:r w:rsidRPr="00C725AC">
              <w:t xml:space="preserve"> - с 1 января 202</w:t>
            </w:r>
            <w:r>
              <w:t>2</w:t>
            </w:r>
            <w:r w:rsidRPr="00C725AC">
              <w:t xml:space="preserve"> г. –</w:t>
            </w:r>
            <w:r w:rsidR="00895B74">
              <w:t xml:space="preserve"> </w:t>
            </w:r>
            <w:r w:rsidR="00895B74" w:rsidRPr="00895B74">
              <w:t xml:space="preserve">168,78 </w:t>
            </w:r>
            <w:r w:rsidRPr="00C725AC">
              <w:t>руб./</w:t>
            </w:r>
            <w:proofErr w:type="spellStart"/>
            <w:r w:rsidRPr="00C725AC">
              <w:t>куб</w:t>
            </w:r>
            <w:proofErr w:type="gramStart"/>
            <w:r w:rsidRPr="00C725AC">
              <w:t>.м</w:t>
            </w:r>
            <w:proofErr w:type="spellEnd"/>
            <w:proofErr w:type="gramEnd"/>
            <w:r w:rsidRPr="00C725AC">
              <w:t xml:space="preserve"> (с НДС), со снижением на </w:t>
            </w:r>
            <w:r w:rsidR="00895B74">
              <w:t>1,9</w:t>
            </w:r>
            <w:r w:rsidRPr="00C725AC">
              <w:t>% ко второму полугодию 202</w:t>
            </w:r>
            <w:r>
              <w:t>1</w:t>
            </w:r>
            <w:r w:rsidRPr="00C725AC">
              <w:t xml:space="preserve"> года,</w:t>
            </w:r>
          </w:p>
          <w:p w:rsidR="00C725AC" w:rsidRPr="00C725AC" w:rsidRDefault="00C725AC" w:rsidP="00C725AC">
            <w:pPr>
              <w:spacing w:after="160" w:line="288" w:lineRule="auto"/>
            </w:pPr>
            <w:r w:rsidRPr="00C725AC">
              <w:t>- с 1 июля 202</w:t>
            </w:r>
            <w:r>
              <w:t>2</w:t>
            </w:r>
            <w:r w:rsidRPr="00C725AC">
              <w:t xml:space="preserve"> г. –</w:t>
            </w:r>
            <w:r w:rsidR="00895B74">
              <w:t xml:space="preserve"> </w:t>
            </w:r>
            <w:r w:rsidR="00895B74" w:rsidRPr="00895B74">
              <w:t xml:space="preserve">172,58 </w:t>
            </w:r>
            <w:r w:rsidRPr="00C725AC">
              <w:t>руб./</w:t>
            </w:r>
            <w:proofErr w:type="spellStart"/>
            <w:r w:rsidRPr="00C725AC">
              <w:t>куб</w:t>
            </w:r>
            <w:proofErr w:type="gramStart"/>
            <w:r w:rsidRPr="00C725AC">
              <w:t>.м</w:t>
            </w:r>
            <w:proofErr w:type="spellEnd"/>
            <w:proofErr w:type="gramEnd"/>
            <w:r w:rsidRPr="00C725AC">
              <w:t xml:space="preserve"> (с НДС) с ростом на </w:t>
            </w:r>
            <w:r w:rsidR="00895B74">
              <w:t>2,3</w:t>
            </w:r>
            <w:r w:rsidRPr="00C725AC">
              <w:t>% к первому полугодию 202</w:t>
            </w:r>
            <w:r>
              <w:t>2</w:t>
            </w:r>
            <w:r w:rsidRPr="00C725AC">
              <w:t xml:space="preserve"> года;</w:t>
            </w:r>
          </w:p>
          <w:p w:rsidR="00C725AC" w:rsidRPr="00C725AC" w:rsidRDefault="00C725AC" w:rsidP="00C725AC">
            <w:pPr>
              <w:spacing w:after="160" w:line="288" w:lineRule="auto"/>
              <w:rPr>
                <w:b/>
              </w:rPr>
            </w:pPr>
            <w:r w:rsidRPr="00C725AC">
              <w:rPr>
                <w:b/>
              </w:rPr>
              <w:t>водоотведение:</w:t>
            </w:r>
          </w:p>
          <w:p w:rsidR="00C725AC" w:rsidRPr="00C725AC" w:rsidRDefault="00C725AC" w:rsidP="00C725AC">
            <w:pPr>
              <w:spacing w:after="160" w:line="288" w:lineRule="auto"/>
            </w:pPr>
            <w:r w:rsidRPr="00C725AC">
              <w:t>- с 1 января 2022 г. – 21,</w:t>
            </w:r>
            <w:r w:rsidR="00C52B7B">
              <w:t>47</w:t>
            </w:r>
            <w:r w:rsidRPr="00C725AC">
              <w:t xml:space="preserve"> руб./</w:t>
            </w:r>
            <w:proofErr w:type="spellStart"/>
            <w:r w:rsidRPr="00C725AC">
              <w:t>куб</w:t>
            </w:r>
            <w:proofErr w:type="gramStart"/>
            <w:r w:rsidRPr="00C725AC">
              <w:t>.м</w:t>
            </w:r>
            <w:proofErr w:type="spellEnd"/>
            <w:proofErr w:type="gramEnd"/>
            <w:r w:rsidRPr="00C725AC">
              <w:t xml:space="preserve">  (с  НДС), с ростом на </w:t>
            </w:r>
            <w:r w:rsidR="00C52B7B">
              <w:t>0,8</w:t>
            </w:r>
            <w:r w:rsidRPr="00C725AC">
              <w:t>% ко второму полугодию 2021 года,</w:t>
            </w:r>
          </w:p>
          <w:p w:rsidR="00C725AC" w:rsidRPr="00C725AC" w:rsidRDefault="00C725AC" w:rsidP="00C725AC">
            <w:pPr>
              <w:spacing w:after="160" w:line="288" w:lineRule="auto"/>
              <w:rPr>
                <w:b/>
              </w:rPr>
            </w:pPr>
            <w:r w:rsidRPr="00C725AC">
              <w:t>- с 1 июля 2022 г. – 22,</w:t>
            </w:r>
            <w:r w:rsidR="00C52B7B">
              <w:t>31</w:t>
            </w:r>
            <w:r w:rsidRPr="00C725AC">
              <w:t xml:space="preserve"> руб./</w:t>
            </w:r>
            <w:proofErr w:type="spellStart"/>
            <w:r w:rsidRPr="00C725AC">
              <w:t>куб</w:t>
            </w:r>
            <w:proofErr w:type="gramStart"/>
            <w:r w:rsidRPr="00C725AC">
              <w:t>.м</w:t>
            </w:r>
            <w:proofErr w:type="spellEnd"/>
            <w:proofErr w:type="gramEnd"/>
            <w:r w:rsidRPr="00C725AC">
              <w:t xml:space="preserve"> (с НДС) с ростом на </w:t>
            </w:r>
            <w:r w:rsidR="00C52B7B">
              <w:t>3,9</w:t>
            </w:r>
            <w:r w:rsidRPr="00C725AC">
              <w:t>% к первому полугодию 2022 года.</w:t>
            </w:r>
          </w:p>
        </w:tc>
      </w:tr>
    </w:tbl>
    <w:p w:rsidR="00AE5CB8" w:rsidRDefault="00AE5CB8" w:rsidP="00AE5CB8"/>
    <w:p w:rsidR="00C725AC" w:rsidRPr="00082275" w:rsidRDefault="00626714" w:rsidP="00082275">
      <w:pPr>
        <w:pStyle w:val="23"/>
      </w:pPr>
      <w:bookmarkStart w:id="46" w:name="_Toc97386236"/>
      <w:r w:rsidRPr="00082275">
        <w:lastRenderedPageBreak/>
        <w:t>Обращение с твердыми коммунальными отходами (ТКО)</w:t>
      </w:r>
      <w:bookmarkEnd w:id="46"/>
      <w:r w:rsidRPr="00082275">
        <w:t xml:space="preserve"> </w:t>
      </w:r>
    </w:p>
    <w:p w:rsidR="00C725AC" w:rsidRPr="00C725AC" w:rsidRDefault="00C725AC" w:rsidP="00C725AC">
      <w:bookmarkStart w:id="47" w:name="_Toc325634778"/>
      <w:bookmarkStart w:id="48" w:name="_Toc329165214"/>
      <w:bookmarkStart w:id="49" w:name="_Toc97309429"/>
      <w:r w:rsidRPr="00C725AC">
        <w:rPr>
          <w:b/>
        </w:rPr>
        <w:t>Тарифы на захоронение ТКО</w:t>
      </w:r>
      <w:r w:rsidRPr="00C725AC">
        <w:t xml:space="preserve"> в среднем по Ивановской области составляют: </w:t>
      </w:r>
    </w:p>
    <w:p w:rsidR="00C725AC" w:rsidRPr="00C725AC" w:rsidRDefault="00C725AC" w:rsidP="00C725AC">
      <w:r w:rsidRPr="00C725AC">
        <w:t>- с 1 января 2022 г. – 73,38 руб./</w:t>
      </w:r>
      <w:proofErr w:type="spellStart"/>
      <w:r w:rsidRPr="00C725AC">
        <w:t>куб</w:t>
      </w:r>
      <w:proofErr w:type="gramStart"/>
      <w:r w:rsidRPr="00C725AC">
        <w:t>.м</w:t>
      </w:r>
      <w:proofErr w:type="spellEnd"/>
      <w:proofErr w:type="gramEnd"/>
      <w:r w:rsidRPr="00C725AC">
        <w:t xml:space="preserve"> (с НДС) со снижением на 9,4% ко второму полугодию 2021 года, </w:t>
      </w:r>
    </w:p>
    <w:p w:rsidR="00C725AC" w:rsidRPr="00C725AC" w:rsidRDefault="00C725AC" w:rsidP="00C725AC">
      <w:r w:rsidRPr="00C725AC">
        <w:t>- с 1 июля 2022 г. – 74,44 руб./</w:t>
      </w:r>
      <w:proofErr w:type="spellStart"/>
      <w:r w:rsidRPr="00C725AC">
        <w:t>куб</w:t>
      </w:r>
      <w:proofErr w:type="gramStart"/>
      <w:r w:rsidRPr="00C725AC">
        <w:t>.м</w:t>
      </w:r>
      <w:proofErr w:type="spellEnd"/>
      <w:proofErr w:type="gramEnd"/>
      <w:r w:rsidRPr="00C725AC">
        <w:t xml:space="preserve"> (с НДС) с ростом на 1,4% к первому полугодию 2022 года.</w:t>
      </w:r>
    </w:p>
    <w:p w:rsidR="00C725AC" w:rsidRPr="00C725AC" w:rsidRDefault="00C725AC" w:rsidP="00C725AC">
      <w:r w:rsidRPr="00C725AC">
        <w:rPr>
          <w:b/>
        </w:rPr>
        <w:t>Тарифы на обработку ТКО</w:t>
      </w:r>
      <w:r w:rsidRPr="00C725AC">
        <w:t xml:space="preserve"> в среднем по Ивановской области составляют:</w:t>
      </w:r>
    </w:p>
    <w:p w:rsidR="00C725AC" w:rsidRPr="00C725AC" w:rsidRDefault="00C725AC" w:rsidP="00C725AC">
      <w:r w:rsidRPr="00C725AC">
        <w:t>- с 1 января 2022 г. – 51,59 руб./</w:t>
      </w:r>
      <w:proofErr w:type="spellStart"/>
      <w:r w:rsidRPr="00C725AC">
        <w:t>куб</w:t>
      </w:r>
      <w:proofErr w:type="gramStart"/>
      <w:r w:rsidRPr="00C725AC">
        <w:t>.м</w:t>
      </w:r>
      <w:proofErr w:type="spellEnd"/>
      <w:proofErr w:type="gramEnd"/>
      <w:r w:rsidRPr="00C725AC">
        <w:t xml:space="preserve"> (с НДС), без роста ко второму полугодию 2021 года,</w:t>
      </w:r>
    </w:p>
    <w:p w:rsidR="00C725AC" w:rsidRPr="00C725AC" w:rsidRDefault="00C725AC" w:rsidP="00C725AC">
      <w:r w:rsidRPr="00C725AC">
        <w:t>- с 1 июля 2022 г. – 74,82 руб./</w:t>
      </w:r>
      <w:proofErr w:type="spellStart"/>
      <w:r w:rsidRPr="00C725AC">
        <w:t>куб</w:t>
      </w:r>
      <w:proofErr w:type="gramStart"/>
      <w:r w:rsidRPr="00C725AC">
        <w:t>.м</w:t>
      </w:r>
      <w:proofErr w:type="spellEnd"/>
      <w:proofErr w:type="gramEnd"/>
      <w:r w:rsidRPr="00C725AC">
        <w:t xml:space="preserve"> (с НДС) с ростом 45,0% к первому полугодию 2022 года.</w:t>
      </w:r>
    </w:p>
    <w:p w:rsidR="00C725AC" w:rsidRPr="00C725AC" w:rsidRDefault="00C725AC" w:rsidP="00C725AC">
      <w:r w:rsidRPr="00C725AC">
        <w:rPr>
          <w:b/>
        </w:rPr>
        <w:t>Единый тариф регионального оператора по обращению с твердыми коммунальными отходами</w:t>
      </w:r>
      <w:r w:rsidRPr="00C725AC">
        <w:t>:</w:t>
      </w:r>
    </w:p>
    <w:p w:rsidR="00C725AC" w:rsidRDefault="00C725AC" w:rsidP="007A507B">
      <w:pPr>
        <w:jc w:val="both"/>
      </w:pPr>
      <w:r w:rsidRPr="00C725AC">
        <w:t>Тариф на услугу регионального оператора по обращению с твердыми коммунальными отходами с 1 января 2022 года останется неизменным – и составит 549,85 руб./</w:t>
      </w:r>
      <w:proofErr w:type="spellStart"/>
      <w:r w:rsidRPr="00C725AC">
        <w:t>куб</w:t>
      </w:r>
      <w:proofErr w:type="gramStart"/>
      <w:r w:rsidRPr="00C725AC">
        <w:t>.м</w:t>
      </w:r>
      <w:proofErr w:type="spellEnd"/>
      <w:proofErr w:type="gramEnd"/>
      <w:r w:rsidRPr="00C725AC">
        <w:t>, а с 1 июля  составит – 568,54 руб./</w:t>
      </w:r>
      <w:proofErr w:type="spellStart"/>
      <w:r w:rsidRPr="00C725AC">
        <w:t>куб.м</w:t>
      </w:r>
      <w:proofErr w:type="spellEnd"/>
      <w:r w:rsidRPr="00C725AC">
        <w:t xml:space="preserve"> (НДС не облагается).</w:t>
      </w:r>
    </w:p>
    <w:p w:rsidR="00EB7D27" w:rsidRDefault="00EB7D27" w:rsidP="007A507B">
      <w:pPr>
        <w:jc w:val="both"/>
      </w:pPr>
      <w:r w:rsidRPr="00EB7D27">
        <w:t>С 1 июля 2022 года тариф регионального оператора по обращению с ТКО увеличится в пределах прогнозируемой инфляции - на 3,4%.</w:t>
      </w:r>
    </w:p>
    <w:p w:rsidR="00EB7D27" w:rsidRPr="00C725AC" w:rsidRDefault="00EB7D27" w:rsidP="007A507B">
      <w:pPr>
        <w:jc w:val="both"/>
      </w:pPr>
      <w:r w:rsidRPr="00EB7D27">
        <w:t>Размер платы за данную коммунальную услугу с 1 человека в месяц с 1 января останется неизменным, а с 1 июля составит– 102,34 руб.</w:t>
      </w:r>
    </w:p>
    <w:p w:rsidR="00A534BF" w:rsidRDefault="00A534BF" w:rsidP="00C725AC"/>
    <w:p w:rsidR="00DE7A30" w:rsidRDefault="00DE7A30" w:rsidP="00C725AC"/>
    <w:p w:rsidR="00DE7A30" w:rsidRDefault="00DE7A30" w:rsidP="00C725AC">
      <w:bookmarkStart w:id="50" w:name="_GoBack"/>
      <w:bookmarkEnd w:id="50"/>
    </w:p>
    <w:p w:rsidR="00A534BF" w:rsidRDefault="00A534BF" w:rsidP="00C725AC">
      <w:r>
        <w:rPr>
          <w:noProof/>
        </w:rPr>
        <w:lastRenderedPageBreak/>
        <w:drawing>
          <wp:inline distT="0" distB="0" distL="0" distR="0" wp14:anchorId="1E081D77" wp14:editId="385F15FA">
            <wp:extent cx="5940425" cy="3733730"/>
            <wp:effectExtent l="0" t="0" r="3175" b="635"/>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844CA8-A146-4E0B-9530-BD4EC3345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0C54" w:rsidRDefault="00400C54" w:rsidP="00C725AC"/>
    <w:p w:rsidR="00C547B0" w:rsidRDefault="00C547B0" w:rsidP="00C725AC"/>
    <w:p w:rsidR="00C547B0" w:rsidRDefault="00C547B0" w:rsidP="00C725AC"/>
    <w:p w:rsidR="00A534BF" w:rsidRDefault="002A08B0" w:rsidP="00C725AC">
      <w:r>
        <w:rPr>
          <w:noProof/>
        </w:rPr>
        <w:lastRenderedPageBreak/>
        <w:drawing>
          <wp:inline distT="0" distB="0" distL="0" distR="0" wp14:anchorId="45DDB380" wp14:editId="4DFFA467">
            <wp:extent cx="5962650" cy="3518535"/>
            <wp:effectExtent l="0" t="0" r="0" b="5715"/>
            <wp:docPr id="8" name="Диаграмма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39DBE0-6B29-4097-9ACF-373C11767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08B0" w:rsidRDefault="002A08B0" w:rsidP="00C725AC"/>
    <w:p w:rsidR="002A08B0" w:rsidRDefault="002A08B0" w:rsidP="00C725AC">
      <w:r>
        <w:rPr>
          <w:noProof/>
        </w:rPr>
        <w:lastRenderedPageBreak/>
        <w:drawing>
          <wp:inline distT="0" distB="0" distL="0" distR="0" wp14:anchorId="29B4A3AD" wp14:editId="11F7ECC2">
            <wp:extent cx="5976518" cy="4337914"/>
            <wp:effectExtent l="0" t="0" r="5715" b="5715"/>
            <wp:docPr id="9" name="Диаграмма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3359D8-C65C-42C3-8C77-B60D3CBB6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A08B0" w:rsidRDefault="002A08B0" w:rsidP="00C725AC"/>
    <w:p w:rsidR="002A08B0" w:rsidRDefault="002A08B0" w:rsidP="00C725AC"/>
    <w:p w:rsidR="003953F4" w:rsidRDefault="003953F4" w:rsidP="003953F4">
      <w:pPr>
        <w:pStyle w:val="11"/>
        <w:rPr>
          <w:rFonts w:asciiTheme="majorHAnsi" w:eastAsiaTheme="majorEastAsia" w:hAnsiTheme="majorHAnsi" w:cstheme="majorBidi"/>
          <w:b/>
          <w:caps/>
          <w:color w:val="810000" w:themeColor="accent1" w:themeShade="BF"/>
          <w:sz w:val="24"/>
          <w14:ligatures w14:val="standardContextual"/>
        </w:rPr>
      </w:pPr>
      <w:bookmarkStart w:id="51" w:name="_Toc97386237"/>
      <w:bookmarkEnd w:id="47"/>
      <w:bookmarkEnd w:id="48"/>
      <w:bookmarkEnd w:id="49"/>
      <w:r>
        <w:lastRenderedPageBreak/>
        <w:t>Плата за технологическое присоединение</w:t>
      </w:r>
      <w:bookmarkEnd w:id="51"/>
    </w:p>
    <w:p w:rsidR="00E55D31" w:rsidRPr="00082275" w:rsidRDefault="00E55D31" w:rsidP="00082275">
      <w:pPr>
        <w:pStyle w:val="23"/>
      </w:pPr>
      <w:bookmarkStart w:id="52" w:name="_Toc97386238"/>
      <w:r w:rsidRPr="00082275">
        <w:t>Технологическое присоединение к электрическим сетям</w:t>
      </w:r>
      <w:bookmarkEnd w:id="52"/>
    </w:p>
    <w:p w:rsidR="0064444F" w:rsidRPr="0064444F" w:rsidRDefault="0064444F" w:rsidP="00580DE4">
      <w:pPr>
        <w:jc w:val="both"/>
        <w:rPr>
          <w:lang w:bidi="ru-RU"/>
        </w:rPr>
      </w:pPr>
      <w:bookmarkStart w:id="53" w:name="_Hlk97761904"/>
      <w:r w:rsidRPr="0064444F">
        <w:rPr>
          <w:lang w:bidi="ru-RU"/>
        </w:rPr>
        <w:t>Стандартизированные тарифные ставки и ставки за единицу максимальной мощности для применения при расчете платы за технологическое присоединение к электрическим сетям установлены едиными для всех территориальных сетевых организаций Ивановской области. При расчете платы за технологическое присоединение к электрическим сетям стоимость конкретного вида, типа и объема строительства объектов электросетевого хозяйства для заявителя будет одинакова, вне зависимости от того, к электрическим сетям какой сетевой организации будет осуществляться технологическое присоединение.</w:t>
      </w:r>
    </w:p>
    <w:p w:rsidR="0064444F" w:rsidRPr="0064444F" w:rsidRDefault="0064444F" w:rsidP="00580DE4">
      <w:pPr>
        <w:jc w:val="both"/>
        <w:rPr>
          <w:lang w:bidi="ru-RU"/>
        </w:rPr>
      </w:pPr>
      <w:r w:rsidRPr="0064444F">
        <w:rPr>
          <w:lang w:bidi="ru-RU"/>
        </w:rPr>
        <w:t>В состав платы за технологическое присоединение энергопринимающих устройств максимальной мощностью до 150 кВт до 1 июля 2022 года не включаются расходы, связанные со строительством объектов электросетевого хозяйства.</w:t>
      </w:r>
    </w:p>
    <w:p w:rsidR="0064444F" w:rsidRPr="0064444F" w:rsidRDefault="0064444F" w:rsidP="00580DE4">
      <w:pPr>
        <w:jc w:val="both"/>
        <w:rPr>
          <w:lang w:bidi="ru-RU"/>
        </w:rPr>
      </w:pPr>
      <w:r w:rsidRPr="0064444F">
        <w:rPr>
          <w:lang w:bidi="ru-RU"/>
        </w:rPr>
        <w:t>Стандартизированные тарифные ставки, равно как и ставки за единицу максимальной мощности, на покрытие расходов, связанных</w:t>
      </w:r>
      <w:r>
        <w:rPr>
          <w:lang w:bidi="ru-RU"/>
        </w:rPr>
        <w:t xml:space="preserve"> </w:t>
      </w:r>
      <w:r w:rsidRPr="0064444F">
        <w:rPr>
          <w:lang w:bidi="ru-RU"/>
        </w:rPr>
        <w:t>со строительством объектов электросетевого хозяйства для территорий, относящихся и не относящихся к территориям городских населенных пунктов, установлены Департаментом на 2022 год в среднем с приростом к 2021 году на 11,5 %. При этом на строительство объектов «последней мили» ставки выросли на 2,1%, а на установку приборов учета электрической энергии - на 184% (в связи с обязательствами по установке с 2022 года только интеллектуальных систем учета).</w:t>
      </w:r>
    </w:p>
    <w:p w:rsidR="0064444F" w:rsidRDefault="0064444F" w:rsidP="00580DE4">
      <w:pPr>
        <w:jc w:val="both"/>
        <w:rPr>
          <w:lang w:bidi="ru-RU"/>
        </w:rPr>
      </w:pPr>
      <w:r w:rsidRPr="0064444F">
        <w:rPr>
          <w:lang w:bidi="ru-RU"/>
        </w:rPr>
        <w:t>Средний срок технологического присоединения энергопринимающих устройств мощностью до 150 кВт к электрическим сетям Ивановской области за 2019 год составил 76 дня, за 2020 год - 73 дня, за 2021 год – 63 дня, что ниже ключевого показателя эффективности (90 дней), предусмотренного Планом мероприятий «Трансформация делового климата», утвержденным распоряжением Правительства Российской Федерации от 17.01.2019 № 20-р, по направлению «Подключение (технологическое присоединение) к сетям инженерно-технического обеспечения».</w:t>
      </w:r>
    </w:p>
    <w:bookmarkEnd w:id="53"/>
    <w:p w:rsidR="0064444F" w:rsidRDefault="0064444F" w:rsidP="0064444F">
      <w:pPr>
        <w:rPr>
          <w:lang w:bidi="ru-RU"/>
        </w:rPr>
      </w:pPr>
      <w:r>
        <w:rPr>
          <w:noProof/>
        </w:rPr>
        <w:drawing>
          <wp:inline distT="0" distB="0" distL="0" distR="0" wp14:anchorId="6E58C475" wp14:editId="5E75A746">
            <wp:extent cx="5940425" cy="2516505"/>
            <wp:effectExtent l="0" t="0" r="317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444F" w:rsidRPr="00082275" w:rsidRDefault="00AC05F5" w:rsidP="00082275">
      <w:pPr>
        <w:pStyle w:val="23"/>
      </w:pPr>
      <w:bookmarkStart w:id="54" w:name="_Toc97386239"/>
      <w:r w:rsidRPr="00082275">
        <w:lastRenderedPageBreak/>
        <w:t>Подключение к газораспределительным сетям</w:t>
      </w:r>
      <w:bookmarkEnd w:id="54"/>
    </w:p>
    <w:p w:rsidR="0064444F" w:rsidRDefault="0064444F" w:rsidP="00580DE4">
      <w:pPr>
        <w:jc w:val="both"/>
        <w:rPr>
          <w:lang w:bidi="ru-RU"/>
        </w:rPr>
      </w:pPr>
      <w:bookmarkStart w:id="55" w:name="_Hlk97762043"/>
      <w:r w:rsidRPr="006142B1">
        <w:rPr>
          <w:lang w:bidi="ru-RU"/>
        </w:rPr>
        <w:t>Установлены стандартизированные тарифные ставки на подключение к газораспределительным сетям</w:t>
      </w:r>
      <w:r w:rsidR="0013373D">
        <w:rPr>
          <w:lang w:bidi="ru-RU"/>
        </w:rPr>
        <w:t xml:space="preserve"> на 2022 год</w:t>
      </w:r>
      <w:r w:rsidRPr="006142B1">
        <w:rPr>
          <w:lang w:bidi="ru-RU"/>
        </w:rPr>
        <w:t xml:space="preserve">. При </w:t>
      </w:r>
      <w:r w:rsidR="00117BC6">
        <w:rPr>
          <w:lang w:bidi="ru-RU"/>
        </w:rPr>
        <w:t>расчете</w:t>
      </w:r>
      <w:r w:rsidRPr="006142B1">
        <w:rPr>
          <w:lang w:bidi="ru-RU"/>
        </w:rPr>
        <w:t xml:space="preserve"> ставок использовались фактические показатели газораспределительн</w:t>
      </w:r>
      <w:r w:rsidR="00117BC6">
        <w:rPr>
          <w:lang w:bidi="ru-RU"/>
        </w:rPr>
        <w:t>ой</w:t>
      </w:r>
      <w:r w:rsidRPr="006142B1">
        <w:rPr>
          <w:lang w:bidi="ru-RU"/>
        </w:rPr>
        <w:t xml:space="preserve"> организаци</w:t>
      </w:r>
      <w:r w:rsidR="00117BC6">
        <w:rPr>
          <w:lang w:bidi="ru-RU"/>
        </w:rPr>
        <w:t>и</w:t>
      </w:r>
      <w:r w:rsidRPr="006142B1">
        <w:rPr>
          <w:lang w:bidi="ru-RU"/>
        </w:rPr>
        <w:t xml:space="preserve"> за 201</w:t>
      </w:r>
      <w:r w:rsidR="0070127C" w:rsidRPr="006142B1">
        <w:rPr>
          <w:lang w:bidi="ru-RU"/>
        </w:rPr>
        <w:t>8</w:t>
      </w:r>
      <w:r w:rsidRPr="006142B1">
        <w:rPr>
          <w:lang w:bidi="ru-RU"/>
        </w:rPr>
        <w:t>-20</w:t>
      </w:r>
      <w:r w:rsidR="0070127C" w:rsidRPr="006142B1">
        <w:rPr>
          <w:lang w:bidi="ru-RU"/>
        </w:rPr>
        <w:t>20</w:t>
      </w:r>
      <w:r w:rsidRPr="006142B1">
        <w:rPr>
          <w:lang w:bidi="ru-RU"/>
        </w:rPr>
        <w:t xml:space="preserve"> г</w:t>
      </w:r>
      <w:r w:rsidR="00117BC6">
        <w:rPr>
          <w:lang w:bidi="ru-RU"/>
        </w:rPr>
        <w:t>оды</w:t>
      </w:r>
      <w:r w:rsidRPr="006142B1">
        <w:rPr>
          <w:lang w:bidi="ru-RU"/>
        </w:rPr>
        <w:t xml:space="preserve">. При этом, фактические расходы на строительство газопроводов ограничены укрупненными нормативами цены </w:t>
      </w:r>
      <w:r w:rsidR="0013373D">
        <w:rPr>
          <w:lang w:bidi="ru-RU"/>
        </w:rPr>
        <w:t xml:space="preserve">строительства </w:t>
      </w:r>
      <w:r w:rsidRPr="006142B1">
        <w:rPr>
          <w:lang w:bidi="ru-RU"/>
        </w:rPr>
        <w:t xml:space="preserve">(НЦС). Ставки на строительство газопроводов увеличились в среднем не более чем </w:t>
      </w:r>
      <w:r w:rsidRPr="005F1324">
        <w:rPr>
          <w:lang w:bidi="ru-RU"/>
        </w:rPr>
        <w:t xml:space="preserve">на </w:t>
      </w:r>
      <w:r w:rsidR="005F1324" w:rsidRPr="005F1324">
        <w:rPr>
          <w:lang w:bidi="ru-RU"/>
        </w:rPr>
        <w:t>3</w:t>
      </w:r>
      <w:r w:rsidRPr="005F1324">
        <w:rPr>
          <w:lang w:bidi="ru-RU"/>
        </w:rPr>
        <w:t>,</w:t>
      </w:r>
      <w:r w:rsidR="005F1324" w:rsidRPr="005F1324">
        <w:rPr>
          <w:lang w:bidi="ru-RU"/>
        </w:rPr>
        <w:t>7</w:t>
      </w:r>
      <w:r w:rsidRPr="005F1324">
        <w:rPr>
          <w:lang w:bidi="ru-RU"/>
        </w:rPr>
        <w:t>%.</w:t>
      </w:r>
      <w:r w:rsidRPr="006142B1">
        <w:rPr>
          <w:lang w:bidi="ru-RU"/>
        </w:rPr>
        <w:t xml:space="preserve"> Ставки на покрытие расходов, связанных с мониторингом выполнения технических условий и </w:t>
      </w:r>
      <w:r w:rsidR="00AC05F5" w:rsidRPr="006142B1">
        <w:rPr>
          <w:lang w:bidi="ru-RU"/>
        </w:rPr>
        <w:t>фактическим присоединением,</w:t>
      </w:r>
      <w:r w:rsidRPr="006142B1">
        <w:rPr>
          <w:lang w:bidi="ru-RU"/>
        </w:rPr>
        <w:t xml:space="preserve"> </w:t>
      </w:r>
      <w:r w:rsidR="00E3048A">
        <w:rPr>
          <w:lang w:bidi="ru-RU"/>
        </w:rPr>
        <w:t>установлены дифференцированно в зависимости от материала, диаметра и давления в газопроводе на основании фактических расходов газораспределительной организации</w:t>
      </w:r>
      <w:r w:rsidRPr="006142B1">
        <w:rPr>
          <w:lang w:bidi="ru-RU"/>
        </w:rPr>
        <w:t xml:space="preserve">. </w:t>
      </w:r>
    </w:p>
    <w:p w:rsidR="00E13683" w:rsidRPr="006142B1" w:rsidRDefault="00E13683" w:rsidP="00580DE4">
      <w:pPr>
        <w:jc w:val="both"/>
        <w:rPr>
          <w:lang w:bidi="ru-RU"/>
        </w:rPr>
      </w:pPr>
      <w:r>
        <w:rPr>
          <w:lang w:bidi="ru-RU"/>
        </w:rPr>
        <w:t>В соответствии с рекомендациями ФАС России исключена избыточная дифференциация стандартизированных тарифных ставок</w:t>
      </w:r>
      <w:r w:rsidR="00117BC6">
        <w:rPr>
          <w:lang w:bidi="ru-RU"/>
        </w:rPr>
        <w:t xml:space="preserve"> </w:t>
      </w:r>
      <w:r w:rsidRPr="00E13683">
        <w:rPr>
          <w:lang w:bidi="ru-RU"/>
        </w:rPr>
        <w:t xml:space="preserve">для определения платы за подключение к газораспределительным сетям внутри границ земельного участка </w:t>
      </w:r>
      <w:r w:rsidR="0013373D">
        <w:rPr>
          <w:lang w:bidi="ru-RU"/>
        </w:rPr>
        <w:t>з</w:t>
      </w:r>
      <w:r w:rsidRPr="00E13683">
        <w:rPr>
          <w:lang w:bidi="ru-RU"/>
        </w:rPr>
        <w:t>аявителя</w:t>
      </w:r>
      <w:r>
        <w:rPr>
          <w:lang w:bidi="ru-RU"/>
        </w:rPr>
        <w:t>. Дополнительно введена стандартизированная тарифная ставка</w:t>
      </w:r>
      <w:r w:rsidR="0013373D" w:rsidRPr="0013373D">
        <w:t xml:space="preserve"> </w:t>
      </w:r>
      <w:r w:rsidR="0013373D" w:rsidRPr="0013373D">
        <w:rPr>
          <w:lang w:bidi="ru-RU"/>
        </w:rPr>
        <w:t>на установку газоиспользующего оборудования (С</w:t>
      </w:r>
      <w:r w:rsidR="0013373D" w:rsidRPr="0013373D">
        <w:rPr>
          <w:vertAlign w:val="subscript"/>
          <w:lang w:bidi="ru-RU"/>
        </w:rPr>
        <w:t>ГИО</w:t>
      </w:r>
      <w:r w:rsidR="0013373D" w:rsidRPr="0013373D">
        <w:rPr>
          <w:lang w:bidi="ru-RU"/>
        </w:rPr>
        <w:t>)</w:t>
      </w:r>
      <w:r w:rsidR="00117BC6">
        <w:rPr>
          <w:lang w:bidi="ru-RU"/>
        </w:rPr>
        <w:t xml:space="preserve"> для определения</w:t>
      </w:r>
      <w:r w:rsidR="0013373D" w:rsidRPr="0013373D">
        <w:rPr>
          <w:lang w:bidi="ru-RU"/>
        </w:rPr>
        <w:t xml:space="preserve"> стоимост</w:t>
      </w:r>
      <w:r w:rsidR="00117BC6">
        <w:rPr>
          <w:lang w:bidi="ru-RU"/>
        </w:rPr>
        <w:t>и</w:t>
      </w:r>
      <w:r w:rsidR="0013373D" w:rsidRPr="0013373D">
        <w:rPr>
          <w:lang w:bidi="ru-RU"/>
        </w:rPr>
        <w:t xml:space="preserve"> услуг газораспределительной организации по установке газоиспользующего оборудования (плит, котлов, водонагревателей). </w:t>
      </w:r>
      <w:r w:rsidR="0013373D">
        <w:rPr>
          <w:lang w:bidi="ru-RU"/>
        </w:rPr>
        <w:t>С</w:t>
      </w:r>
      <w:r w:rsidR="0013373D" w:rsidRPr="0013373D">
        <w:rPr>
          <w:lang w:bidi="ru-RU"/>
        </w:rPr>
        <w:t>тандартизированн</w:t>
      </w:r>
      <w:r w:rsidR="0013373D">
        <w:rPr>
          <w:lang w:bidi="ru-RU"/>
        </w:rPr>
        <w:t>ые</w:t>
      </w:r>
      <w:r w:rsidR="0013373D" w:rsidRPr="0013373D">
        <w:rPr>
          <w:lang w:bidi="ru-RU"/>
        </w:rPr>
        <w:t xml:space="preserve"> тарифн</w:t>
      </w:r>
      <w:r w:rsidR="0013373D">
        <w:rPr>
          <w:lang w:bidi="ru-RU"/>
        </w:rPr>
        <w:t>ые</w:t>
      </w:r>
      <w:r w:rsidR="0013373D" w:rsidRPr="0013373D">
        <w:rPr>
          <w:lang w:bidi="ru-RU"/>
        </w:rPr>
        <w:t xml:space="preserve"> ставк</w:t>
      </w:r>
      <w:r w:rsidR="0013373D">
        <w:rPr>
          <w:lang w:bidi="ru-RU"/>
        </w:rPr>
        <w:t>и</w:t>
      </w:r>
      <w:r w:rsidR="0013373D" w:rsidRPr="0013373D">
        <w:rPr>
          <w:lang w:bidi="ru-RU"/>
        </w:rPr>
        <w:t xml:space="preserve"> для расчета платы за технологическое присоединение к газораспределительным сетям в границах земельного участка </w:t>
      </w:r>
      <w:r w:rsidR="00117BC6">
        <w:rPr>
          <w:lang w:bidi="ru-RU"/>
        </w:rPr>
        <w:t>з</w:t>
      </w:r>
      <w:r w:rsidR="0013373D" w:rsidRPr="0013373D">
        <w:rPr>
          <w:lang w:bidi="ru-RU"/>
        </w:rPr>
        <w:t>аявителя, применя</w:t>
      </w:r>
      <w:r w:rsidR="0013373D">
        <w:rPr>
          <w:lang w:bidi="ru-RU"/>
        </w:rPr>
        <w:t>ю</w:t>
      </w:r>
      <w:r w:rsidR="0013373D" w:rsidRPr="0013373D">
        <w:rPr>
          <w:lang w:bidi="ru-RU"/>
        </w:rPr>
        <w:t>тся в том числе в рамках проводимых мероприятий по «</w:t>
      </w:r>
      <w:proofErr w:type="spellStart"/>
      <w:r w:rsidR="0013373D" w:rsidRPr="0013373D">
        <w:rPr>
          <w:lang w:bidi="ru-RU"/>
        </w:rPr>
        <w:t>догазификации</w:t>
      </w:r>
      <w:proofErr w:type="spellEnd"/>
      <w:r w:rsidR="0013373D" w:rsidRPr="0013373D">
        <w:rPr>
          <w:lang w:bidi="ru-RU"/>
        </w:rPr>
        <w:t>» населенных пунктов Ивановской области.</w:t>
      </w:r>
    </w:p>
    <w:bookmarkEnd w:id="55"/>
    <w:p w:rsidR="00E55D31" w:rsidRDefault="0064444F" w:rsidP="00580DE4">
      <w:pPr>
        <w:jc w:val="both"/>
        <w:rPr>
          <w:lang w:bidi="ru-RU"/>
        </w:rPr>
      </w:pPr>
      <w:r w:rsidRPr="003D2A72">
        <w:rPr>
          <w:lang w:bidi="ru-RU"/>
        </w:rPr>
        <w:t>Установлена льготная плата за технологическое присоединение для групп заявителей с максимальным расходом газа, не превышающим 5 куб. метров в час и 15 куб. метров в час. Ее размер с учетом НДС увеличен на индекс потребительских цен и составляет</w:t>
      </w:r>
      <w:r w:rsidR="003D2A72" w:rsidRPr="003D2A72">
        <w:rPr>
          <w:lang w:bidi="ru-RU"/>
        </w:rPr>
        <w:t xml:space="preserve"> 28</w:t>
      </w:r>
      <w:r w:rsidR="00580DE4">
        <w:rPr>
          <w:lang w:bidi="ru-RU"/>
        </w:rPr>
        <w:t xml:space="preserve"> </w:t>
      </w:r>
      <w:r w:rsidR="003D2A72" w:rsidRPr="003D2A72">
        <w:rPr>
          <w:lang w:bidi="ru-RU"/>
        </w:rPr>
        <w:t xml:space="preserve">969,24 </w:t>
      </w:r>
      <w:r w:rsidRPr="003D2A72">
        <w:rPr>
          <w:lang w:bidi="ru-RU"/>
        </w:rPr>
        <w:t>и</w:t>
      </w:r>
      <w:r w:rsidR="00E3048A" w:rsidRPr="003D2A72">
        <w:rPr>
          <w:lang w:bidi="ru-RU"/>
        </w:rPr>
        <w:t xml:space="preserve"> 72</w:t>
      </w:r>
      <w:r w:rsidR="00580DE4">
        <w:rPr>
          <w:lang w:bidi="ru-RU"/>
        </w:rPr>
        <w:t xml:space="preserve"> </w:t>
      </w:r>
      <w:r w:rsidR="00E3048A" w:rsidRPr="003D2A72">
        <w:rPr>
          <w:lang w:bidi="ru-RU"/>
        </w:rPr>
        <w:t xml:space="preserve">423,10 </w:t>
      </w:r>
      <w:r w:rsidRPr="003D2A72">
        <w:rPr>
          <w:lang w:bidi="ru-RU"/>
        </w:rPr>
        <w:t>руб., соответственно.</w:t>
      </w:r>
    </w:p>
    <w:p w:rsidR="002B02B1" w:rsidRPr="00082275" w:rsidRDefault="002B02B1" w:rsidP="00082275">
      <w:pPr>
        <w:pStyle w:val="23"/>
      </w:pPr>
      <w:bookmarkStart w:id="56" w:name="_Toc97386240"/>
      <w:r w:rsidRPr="00082275">
        <w:t>Подключение к централизованным системам теплоснабжения</w:t>
      </w:r>
      <w:bookmarkEnd w:id="56"/>
    </w:p>
    <w:p w:rsidR="002B02B1" w:rsidRDefault="002B02B1" w:rsidP="00580DE4">
      <w:pPr>
        <w:jc w:val="both"/>
        <w:rPr>
          <w:lang w:bidi="ru-RU"/>
        </w:rPr>
      </w:pPr>
      <w:r w:rsidRPr="002B02B1">
        <w:rPr>
          <w:lang w:bidi="ru-RU"/>
        </w:rPr>
        <w:t>В 2021 году в сфере теплоснабжения утверждена одна плата за подключение объектов заявителей при наличии технической возможности подключения к системе теплоснабжения ПАО «Т Плюс», учитывающая только расходы на проведение мероприятий по подключению объектов заявителей</w:t>
      </w:r>
      <w:r w:rsidR="00117BC6">
        <w:rPr>
          <w:lang w:bidi="ru-RU"/>
        </w:rPr>
        <w:t>,</w:t>
      </w:r>
      <w:r w:rsidRPr="002B02B1">
        <w:rPr>
          <w:lang w:bidi="ru-RU"/>
        </w:rPr>
        <w:t xml:space="preserve"> без </w:t>
      </w:r>
      <w:r w:rsidR="00117BC6">
        <w:rPr>
          <w:lang w:bidi="ru-RU"/>
        </w:rPr>
        <w:t xml:space="preserve">учета </w:t>
      </w:r>
      <w:r w:rsidRPr="002B02B1">
        <w:rPr>
          <w:lang w:bidi="ru-RU"/>
        </w:rPr>
        <w:t>расходов на создание и реконструкцию объектов теплоснабжения.</w:t>
      </w:r>
    </w:p>
    <w:p w:rsidR="002B02B1" w:rsidRPr="00082275" w:rsidRDefault="002B02B1" w:rsidP="00082275">
      <w:pPr>
        <w:pStyle w:val="23"/>
      </w:pPr>
      <w:bookmarkStart w:id="57" w:name="_Toc97386241"/>
      <w:r w:rsidRPr="00082275">
        <w:t>ПОДКЛЮЧЕНИЕ К ЦЕНТРАЛИЗОВАННЫМ СИСТЕМАМ ВОДОСНАБЖЕНИЯ И ВОДООТВЕДЕНИЯ</w:t>
      </w:r>
      <w:bookmarkEnd w:id="57"/>
    </w:p>
    <w:p w:rsidR="00B3439D" w:rsidRDefault="00AC05F5" w:rsidP="00580DE4">
      <w:pPr>
        <w:jc w:val="both"/>
      </w:pPr>
      <w:bookmarkStart w:id="58" w:name="_Hlk97762174"/>
      <w:r w:rsidRPr="00EE45DE">
        <w:t xml:space="preserve">В городских округах </w:t>
      </w:r>
      <w:r w:rsidR="00EE45DE" w:rsidRPr="00EE45DE">
        <w:t xml:space="preserve">Иваново, Кинешма, Шуя, городе Тейково </w:t>
      </w:r>
      <w:r w:rsidRPr="00EE45DE">
        <w:t xml:space="preserve">установлены тарифы на подключение к централизованным системам водоснабжения, водоотведения. </w:t>
      </w:r>
      <w:r w:rsidR="00117BC6">
        <w:t>Т</w:t>
      </w:r>
      <w:r w:rsidRPr="00EE45DE">
        <w:t>арифы дифференцированы по диаметрам сетей и включают в себя ставки за подключаемую нагрузку и ставки за протяженность сети.</w:t>
      </w:r>
      <w:r w:rsidR="00EE45DE" w:rsidRPr="00EE45DE">
        <w:t xml:space="preserve"> </w:t>
      </w:r>
    </w:p>
    <w:p w:rsidR="00AC05F5" w:rsidRPr="00AC05F5" w:rsidRDefault="00AC05F5" w:rsidP="00580DE4">
      <w:pPr>
        <w:jc w:val="both"/>
      </w:pPr>
      <w:r w:rsidRPr="00EE45DE">
        <w:t>Из тарифов на технологическое присоединение к централизованным системам водоснабжения и водоотведения исключены расходы, связанные с развитием существующей инфраструктуры. Анализ фактически исполненных договоров на подключение позвол</w:t>
      </w:r>
      <w:r w:rsidR="00EE45DE">
        <w:t>яет</w:t>
      </w:r>
      <w:r w:rsidRPr="00EE45DE">
        <w:t xml:space="preserve"> исключ</w:t>
      </w:r>
      <w:r w:rsidR="00EE45DE">
        <w:t>а</w:t>
      </w:r>
      <w:r w:rsidRPr="00EE45DE">
        <w:t xml:space="preserve">ть из расчета ставок за протяженность сетей водоснабжения и водоотведения виды работ, которые по факту не проводятся, а также сократить объемы работ по </w:t>
      </w:r>
      <w:r w:rsidR="00EE45DE">
        <w:t xml:space="preserve">бестраншейной </w:t>
      </w:r>
      <w:r w:rsidRPr="00EE45DE">
        <w:t xml:space="preserve">прокладке трубопроводов и восстановлению дорожного покрытия. В среднем ставки </w:t>
      </w:r>
      <w:r w:rsidR="00073FA1">
        <w:t>на</w:t>
      </w:r>
      <w:r w:rsidRPr="00EE45DE">
        <w:t xml:space="preserve"> </w:t>
      </w:r>
      <w:r w:rsidR="00073FA1">
        <w:t>строительство</w:t>
      </w:r>
      <w:r w:rsidRPr="00EE45DE">
        <w:t xml:space="preserve"> водопроводн</w:t>
      </w:r>
      <w:r w:rsidR="00073FA1">
        <w:t>ых</w:t>
      </w:r>
      <w:r w:rsidRPr="00EE45DE">
        <w:t xml:space="preserve"> и канализационн</w:t>
      </w:r>
      <w:r w:rsidR="00073FA1">
        <w:t>ых</w:t>
      </w:r>
      <w:r w:rsidRPr="00EE45DE">
        <w:t xml:space="preserve"> сет</w:t>
      </w:r>
      <w:r w:rsidR="00073FA1">
        <w:t>ей</w:t>
      </w:r>
      <w:r w:rsidRPr="00EE45DE">
        <w:t xml:space="preserve"> в 202</w:t>
      </w:r>
      <w:r w:rsidR="00EE45DE">
        <w:t>2</w:t>
      </w:r>
      <w:r w:rsidRPr="00EE45DE">
        <w:t xml:space="preserve"> году </w:t>
      </w:r>
      <w:r w:rsidR="00EE45DE">
        <w:t>увеличились</w:t>
      </w:r>
      <w:r w:rsidRPr="00EE45DE">
        <w:t xml:space="preserve"> по отношению к действовавшим в 202</w:t>
      </w:r>
      <w:r w:rsidR="00EE45DE">
        <w:t>1</w:t>
      </w:r>
      <w:r w:rsidRPr="00EE45DE">
        <w:t xml:space="preserve"> году </w:t>
      </w:r>
      <w:r w:rsidR="00EE45DE">
        <w:t>на 1</w:t>
      </w:r>
      <w:r w:rsidR="00073FA1">
        <w:t>0</w:t>
      </w:r>
      <w:bookmarkStart w:id="59" w:name="_Toc325634779"/>
      <w:bookmarkStart w:id="60" w:name="_Toc329165215"/>
      <w:bookmarkStart w:id="61" w:name="_Toc97309430"/>
      <w:r w:rsidR="00073FA1" w:rsidRPr="00EE45DE">
        <w:t>%.</w:t>
      </w:r>
      <w:r w:rsidR="00073FA1" w:rsidRPr="00CA3DAE">
        <w:rPr>
          <w:noProof/>
          <w:color w:val="FFFFFF" w:themeColor="background1"/>
          <w:lang w:bidi="ru-RU"/>
        </w:rPr>
        <w:t xml:space="preserve"> Р</w:t>
      </w:r>
    </w:p>
    <w:p w:rsidR="00EC7104" w:rsidRDefault="00EC7104" w:rsidP="00AC05F5">
      <w:pPr>
        <w:pStyle w:val="11"/>
        <w:spacing w:before="40" w:after="160"/>
        <w:ind w:left="-357" w:right="-357"/>
      </w:pPr>
      <w:bookmarkStart w:id="62" w:name="_Toc97386242"/>
      <w:bookmarkEnd w:id="58"/>
      <w:r>
        <w:lastRenderedPageBreak/>
        <w:t>Вопросы, требующие внимания</w:t>
      </w:r>
      <w:bookmarkEnd w:id="62"/>
    </w:p>
    <w:p w:rsidR="001E63BC" w:rsidRPr="00082275" w:rsidRDefault="001E63BC" w:rsidP="00082275">
      <w:pPr>
        <w:pStyle w:val="23"/>
      </w:pPr>
      <w:bookmarkStart w:id="63" w:name="_Toc97386243"/>
      <w:r w:rsidRPr="00082275">
        <w:t>Согласование долгосрочных праметров регулирования тарифов для заключения концессионных соглашений в сфере теплоснабжения, водоснабжения и водоотведения</w:t>
      </w:r>
      <w:bookmarkEnd w:id="63"/>
    </w:p>
    <w:p w:rsidR="001E63BC" w:rsidRPr="001E63BC" w:rsidRDefault="001E63BC" w:rsidP="00580DE4">
      <w:pPr>
        <w:jc w:val="both"/>
      </w:pPr>
      <w:r w:rsidRPr="001E63BC">
        <w:t>В соответствии с Федеральным законом от 21.07.2005 № 115-ФЗ «О концессионных соглашениях» Департамент согласов</w:t>
      </w:r>
      <w:r w:rsidR="007C37C3">
        <w:t>ывает</w:t>
      </w:r>
      <w:r w:rsidRPr="001E63BC">
        <w:t xml:space="preserve"> значени</w:t>
      </w:r>
      <w:r w:rsidR="007C37C3">
        <w:t>я</w:t>
      </w:r>
      <w:r w:rsidRPr="001E63BC">
        <w:t xml:space="preserve"> долгосрочных параметров регулирования деятельности концессионера в сфере теплоснабжения, водоснабжения и водоотведения.</w:t>
      </w:r>
    </w:p>
    <w:p w:rsidR="001E63BC" w:rsidRPr="001E63BC" w:rsidRDefault="001E63BC" w:rsidP="00580DE4">
      <w:pPr>
        <w:jc w:val="both"/>
      </w:pPr>
      <w:r w:rsidRPr="001E63BC">
        <w:t xml:space="preserve">За 2021 год в Департамент было подано 18 заявлений органов местного самоуправления муниципальных образований Ивановской области о представлении необходимой информации для подготовки конкурсной документации и согласовании долгосрочных параметров регулирования. Из общего количества заявлений 14 были поданы в отношении объектов теплоснабжения и 4 – в отношении объектов водоснабжения и водоотведения. Все поступившие обращения были рассмотрены в установленные сроки. </w:t>
      </w:r>
    </w:p>
    <w:p w:rsidR="001E63BC" w:rsidRPr="001E63BC" w:rsidRDefault="001E63BC" w:rsidP="00580DE4">
      <w:pPr>
        <w:jc w:val="both"/>
      </w:pPr>
      <w:r w:rsidRPr="001E63BC">
        <w:t>В 3 случаях Департаментом согласованы значения долгосрочных параметров регулирования тарифов и метод регулирования тарифов, содержащиеся в проекте концессионного соглашения, на 15 заявлений направлен отказ в согласовании с указанием необходимого метода регулирования тарифов и предельных значений долгосрочных параметров регулирования тарифов.</w:t>
      </w:r>
    </w:p>
    <w:p w:rsidR="001E63BC" w:rsidRPr="00082275" w:rsidRDefault="001E63BC" w:rsidP="00082275">
      <w:pPr>
        <w:pStyle w:val="23"/>
      </w:pPr>
      <w:bookmarkStart w:id="64" w:name="_Toc97386244"/>
      <w:r w:rsidRPr="00082275">
        <w:t>ценовые зоны теплоснабжения</w:t>
      </w:r>
      <w:bookmarkEnd w:id="64"/>
    </w:p>
    <w:p w:rsidR="001E63BC" w:rsidRPr="001E63BC" w:rsidRDefault="001E63BC" w:rsidP="00580DE4">
      <w:pPr>
        <w:jc w:val="both"/>
        <w:rPr>
          <w:lang w:bidi="ru-RU"/>
        </w:rPr>
      </w:pPr>
      <w:bookmarkStart w:id="65" w:name="_Hlk97764692"/>
      <w:r w:rsidRPr="001E63BC">
        <w:t xml:space="preserve">Распоряжением Правительства Российской Федерации от 02.11.2021 № 3127-р муниципальное образование город Иваново отнесено к ценовой зоне теплоснабжения. </w:t>
      </w:r>
      <w:r w:rsidRPr="001E63BC">
        <w:rPr>
          <w:lang w:bidi="ru-RU"/>
        </w:rPr>
        <w:t>Новая модель предполагает отказ от прямого регулирования тарифов в сфере теплоснабжения и внедрение принципа ценообразования на основе утверждаемой предельной цены замещающего источника («альтернативной котельной»). Такая модель создает условия конкурентного ценообразования на тепловую энергию там, где имеются соответствующие объективные предпосылки для формирования ценовых (конкурентных) зон.</w:t>
      </w:r>
    </w:p>
    <w:p w:rsidR="001E63BC" w:rsidRPr="001E63BC" w:rsidRDefault="001E63BC" w:rsidP="00580DE4">
      <w:pPr>
        <w:jc w:val="both"/>
      </w:pPr>
      <w:r w:rsidRPr="001E63BC">
        <w:rPr>
          <w:lang w:bidi="ru-RU"/>
        </w:rPr>
        <w:t>В 2022 году в городе Иваново идет</w:t>
      </w:r>
      <w:r w:rsidRPr="001E63BC">
        <w:t xml:space="preserve"> переходный период,</w:t>
      </w:r>
      <w:r w:rsidRPr="001E63BC">
        <w:rPr>
          <w:lang w:bidi="ru-RU"/>
        </w:rPr>
        <w:t xml:space="preserve"> до окончания которого сохраняется государственное регулирование тарифов. «Классические» тарифы в сфере теплоснабжения на 2022 год установлены Департаментом для всех теплоснабжающих, теплосетевых организаций г. Иваново и перестанут применяться после завершения переходного периода.</w:t>
      </w:r>
    </w:p>
    <w:p w:rsidR="001E63BC" w:rsidRPr="00082275" w:rsidRDefault="00BE5CC9" w:rsidP="00082275">
      <w:pPr>
        <w:pStyle w:val="23"/>
      </w:pPr>
      <w:bookmarkStart w:id="66" w:name="_Toc97386245"/>
      <w:bookmarkEnd w:id="65"/>
      <w:r w:rsidRPr="00082275">
        <w:t>нормативы топливно-энергетических ресурсов</w:t>
      </w:r>
      <w:bookmarkEnd w:id="66"/>
    </w:p>
    <w:p w:rsidR="00BE5CC9" w:rsidRPr="00BE5CC9" w:rsidRDefault="00BE5CC9" w:rsidP="00580DE4">
      <w:pPr>
        <w:jc w:val="both"/>
      </w:pPr>
      <w:r w:rsidRPr="00BE5CC9">
        <w:t>В 2021 год</w:t>
      </w:r>
      <w:r>
        <w:t>у Департаментом</w:t>
      </w:r>
      <w:r w:rsidRPr="00BE5CC9">
        <w:t xml:space="preserve"> утверждено и согласовано порядка 500 нормативов</w:t>
      </w:r>
      <w:r>
        <w:t xml:space="preserve"> топливно-энергетических ресурсов</w:t>
      </w:r>
      <w:r w:rsidRPr="00BE5CC9">
        <w:t>.</w:t>
      </w:r>
      <w:r>
        <w:t xml:space="preserve"> Применение для расчета нормативов</w:t>
      </w:r>
      <w:r w:rsidRPr="00BE5CC9">
        <w:t xml:space="preserve"> удельных расходов топлива на источниках тепловой энергии, технологических потерь при передаче тепловой энергии, теплоносителя, нормативов запасов топлива сертифицированн</w:t>
      </w:r>
      <w:r>
        <w:t>ого</w:t>
      </w:r>
      <w:r w:rsidRPr="00BE5CC9">
        <w:t xml:space="preserve"> программн</w:t>
      </w:r>
      <w:r>
        <w:t>ого</w:t>
      </w:r>
      <w:r w:rsidRPr="00BE5CC9">
        <w:t xml:space="preserve"> комплекс</w:t>
      </w:r>
      <w:r>
        <w:t>а</w:t>
      </w:r>
      <w:r w:rsidRPr="00BE5CC9">
        <w:t xml:space="preserve"> </w:t>
      </w:r>
      <w:proofErr w:type="spellStart"/>
      <w:r w:rsidRPr="00BE5CC9">
        <w:t>РаТэН</w:t>
      </w:r>
      <w:proofErr w:type="spellEnd"/>
      <w:r w:rsidRPr="00BE5CC9">
        <w:t>. позвол</w:t>
      </w:r>
      <w:r>
        <w:t>яет</w:t>
      </w:r>
      <w:r w:rsidRPr="00BE5CC9">
        <w:t xml:space="preserve"> проводить поверку направляемых теплоснабжающими организациями расчетов-обоснований нормативов на </w:t>
      </w:r>
      <w:r>
        <w:t>высоком</w:t>
      </w:r>
      <w:r w:rsidRPr="00BE5CC9">
        <w:t xml:space="preserve"> качественном уровне.</w:t>
      </w:r>
    </w:p>
    <w:p w:rsidR="001E63BC" w:rsidRPr="001E63BC" w:rsidRDefault="001E63BC" w:rsidP="001E63BC"/>
    <w:p w:rsidR="00895B74" w:rsidRDefault="00895B74">
      <w:pPr>
        <w:pStyle w:val="11"/>
      </w:pPr>
      <w:bookmarkStart w:id="67" w:name="_Toc97386246"/>
      <w:r>
        <w:lastRenderedPageBreak/>
        <w:t>Обеспечение эффективного и устойчивого функционирования организаций энергетического комплекса</w:t>
      </w:r>
      <w:bookmarkEnd w:id="67"/>
    </w:p>
    <w:p w:rsidR="00BD48A8" w:rsidRPr="00BD48A8" w:rsidRDefault="00BD48A8" w:rsidP="00580DE4">
      <w:pPr>
        <w:jc w:val="both"/>
      </w:pPr>
      <w:r w:rsidRPr="00BD48A8">
        <w:t xml:space="preserve">В части обеспечения эффективного и устойчивого функционирования организаций энергетического комплекса Ивановской области Департаментом в апреле 2021 года разработана схема и программа перспективного развития электроэнергетики Ивановской области. </w:t>
      </w:r>
    </w:p>
    <w:p w:rsidR="00BD48A8" w:rsidRPr="00BD48A8" w:rsidRDefault="00BD48A8" w:rsidP="00580DE4">
      <w:pPr>
        <w:jc w:val="both"/>
      </w:pPr>
      <w:r w:rsidRPr="00BD48A8">
        <w:t xml:space="preserve">Продолжена работа по категорированию объектов топливно-энергетического комплекса региона по степени опасности и последствий возможных актов незаконного вмешательства и чрезвычайных ситуаций. Из 77 объектов ТЭК, подлежащих категорированию в отчетном году прошли категорирование 63 объекта. </w:t>
      </w:r>
    </w:p>
    <w:p w:rsidR="00BD48A8" w:rsidRPr="00BD48A8" w:rsidRDefault="00BD48A8" w:rsidP="00580DE4">
      <w:pPr>
        <w:jc w:val="both"/>
      </w:pPr>
      <w:r w:rsidRPr="00BD48A8">
        <w:t xml:space="preserve">В целях обеспечения безопасности электроснабжения при Правительстве Ивановской области в течение 2021 года активно работал региональный штаб. Проведено 10 заседаний, рассмотрено 45 вопросов, связанных с функционированием и развитием электроэнергетики. Выполнение решений регионального штаба привело к устойчивому функционированию электроэнергетики Ивановской области. </w:t>
      </w:r>
    </w:p>
    <w:p w:rsidR="00BD48A8" w:rsidRDefault="008F2732" w:rsidP="00580DE4">
      <w:pPr>
        <w:jc w:val="both"/>
      </w:pPr>
      <w:r>
        <w:rPr>
          <w:noProof/>
        </w:rPr>
        <w:drawing>
          <wp:anchor distT="0" distB="0" distL="114300" distR="114300" simplePos="0" relativeHeight="251654144" behindDoc="1" locked="0" layoutInCell="1" allowOverlap="1" wp14:anchorId="11457DC4" wp14:editId="31F693F5">
            <wp:simplePos x="0" y="0"/>
            <wp:positionH relativeFrom="column">
              <wp:posOffset>2975889</wp:posOffset>
            </wp:positionH>
            <wp:positionV relativeFrom="paragraph">
              <wp:posOffset>1788770</wp:posOffset>
            </wp:positionV>
            <wp:extent cx="2933700" cy="2199005"/>
            <wp:effectExtent l="0" t="0" r="0" b="0"/>
            <wp:wrapTight wrapText="bothSides">
              <wp:wrapPolygon edited="0">
                <wp:start x="0" y="0"/>
                <wp:lineTo x="0" y="21332"/>
                <wp:lineTo x="21460" y="21332"/>
                <wp:lineTo x="2146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91">
        <w:rPr>
          <w:noProof/>
        </w:rPr>
        <w:drawing>
          <wp:anchor distT="0" distB="0" distL="114300" distR="114300" simplePos="0" relativeHeight="251655168" behindDoc="1" locked="0" layoutInCell="1" allowOverlap="1" wp14:anchorId="5B96E9FB" wp14:editId="479B2311">
            <wp:simplePos x="0" y="0"/>
            <wp:positionH relativeFrom="column">
              <wp:posOffset>-2870</wp:posOffset>
            </wp:positionH>
            <wp:positionV relativeFrom="paragraph">
              <wp:posOffset>6909</wp:posOffset>
            </wp:positionV>
            <wp:extent cx="2952750" cy="2213610"/>
            <wp:effectExtent l="0" t="0" r="0" b="0"/>
            <wp:wrapTight wrapText="bothSides">
              <wp:wrapPolygon edited="0">
                <wp:start x="0" y="0"/>
                <wp:lineTo x="0" y="21377"/>
                <wp:lineTo x="21461" y="21377"/>
                <wp:lineTo x="2146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8A8" w:rsidRPr="00BD48A8">
        <w:t>В 2021 году в шестой раз на территории Ивановской области проведен региональный этап Всероссийского фестиваля энергосбережения #</w:t>
      </w:r>
      <w:proofErr w:type="spellStart"/>
      <w:r w:rsidR="00BD48A8" w:rsidRPr="00BD48A8">
        <w:t>ВместеЯрче</w:t>
      </w:r>
      <w:proofErr w:type="spellEnd"/>
      <w:r w:rsidR="00BD48A8" w:rsidRPr="00BD48A8">
        <w:t xml:space="preserve">, идеей которого является популяризация среди населения профессий топливно-энергетического комплекса, культуры бережливого отношения к природе и демонстрация современных энергоэффективных технологий. </w:t>
      </w:r>
    </w:p>
    <w:p w:rsidR="00C60F91" w:rsidRPr="00BD48A8" w:rsidRDefault="00C60F91" w:rsidP="00BD48A8"/>
    <w:p w:rsidR="00BD48A8" w:rsidRPr="00BD48A8" w:rsidRDefault="00BD48A8" w:rsidP="00BD48A8"/>
    <w:p w:rsidR="00895B74" w:rsidRDefault="00E40F4B">
      <w:pPr>
        <w:pStyle w:val="11"/>
      </w:pPr>
      <w:bookmarkStart w:id="68" w:name="_Toc97386247"/>
      <w:r>
        <w:lastRenderedPageBreak/>
        <w:t>К</w:t>
      </w:r>
      <w:r w:rsidR="005505A1">
        <w:t>онтрольно-</w:t>
      </w:r>
      <w:r w:rsidR="006F13C0">
        <w:t>надзорн</w:t>
      </w:r>
      <w:r>
        <w:t>ая</w:t>
      </w:r>
      <w:r w:rsidR="005505A1">
        <w:t xml:space="preserve"> деятельность</w:t>
      </w:r>
      <w:bookmarkEnd w:id="68"/>
      <w:r w:rsidR="005505A1">
        <w:t xml:space="preserve"> </w:t>
      </w:r>
    </w:p>
    <w:p w:rsidR="006F13C0" w:rsidRDefault="006F13C0" w:rsidP="00580DE4">
      <w:pPr>
        <w:jc w:val="both"/>
      </w:pPr>
      <w:r>
        <w:t>В 2021 году в рамках контрольно-надзорной деятельности Департаментом возбуждено 2</w:t>
      </w:r>
      <w:r w:rsidR="00E40F4B">
        <w:t>8</w:t>
      </w:r>
      <w:r>
        <w:t xml:space="preserve"> дел об административных правонарушениях в сфере государственного регулирования тарифов и в сфере энергосбережения.</w:t>
      </w:r>
    </w:p>
    <w:p w:rsidR="006F13C0" w:rsidRPr="006F13C0" w:rsidRDefault="006F13C0" w:rsidP="00580DE4">
      <w:pPr>
        <w:jc w:val="both"/>
      </w:pPr>
      <w:r w:rsidRPr="006F13C0">
        <w:t>6 организаций привлечены по ч.1 ст.19.7.1 КоАП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В отношении всех вынесены предупреждения.</w:t>
      </w:r>
    </w:p>
    <w:p w:rsidR="006F13C0" w:rsidRPr="006F13C0" w:rsidRDefault="006F13C0" w:rsidP="00580DE4">
      <w:pPr>
        <w:jc w:val="both"/>
      </w:pPr>
      <w:r>
        <w:t>1</w:t>
      </w:r>
      <w:r w:rsidRPr="006F13C0">
        <w:t>8 организаций по представлению прокуратуры привлечены по ч.10 ст.9.16 КоАП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w:t>
      </w:r>
      <w:r>
        <w:t>.</w:t>
      </w:r>
      <w:r w:rsidRPr="006F13C0">
        <w:t xml:space="preserve"> В отношении всех</w:t>
      </w:r>
      <w:r>
        <w:t xml:space="preserve"> организаций- нарушителей</w:t>
      </w:r>
      <w:r w:rsidRPr="006F13C0">
        <w:t xml:space="preserve"> вынесены предупреждения.</w:t>
      </w:r>
    </w:p>
    <w:p w:rsidR="006F13C0" w:rsidRPr="006F13C0" w:rsidRDefault="006F13C0" w:rsidP="00580DE4">
      <w:pPr>
        <w:jc w:val="both"/>
      </w:pPr>
      <w:r w:rsidRPr="006F13C0">
        <w:t xml:space="preserve">В отношении </w:t>
      </w:r>
      <w:r>
        <w:t>2</w:t>
      </w:r>
      <w:r w:rsidRPr="006F13C0">
        <w:t xml:space="preserve"> организаций </w:t>
      </w:r>
      <w:r>
        <w:t xml:space="preserve"> и 1 физического лица </w:t>
      </w:r>
      <w:r w:rsidRPr="006F13C0">
        <w:t xml:space="preserve">по ч.2 </w:t>
      </w:r>
      <w:r>
        <w:t>с</w:t>
      </w:r>
      <w:r w:rsidRPr="006F13C0">
        <w:t>т.19.7.1 КоАП(Представление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назначены штрафы</w:t>
      </w:r>
      <w:r>
        <w:t>:</w:t>
      </w:r>
      <w:r w:rsidRPr="006F13C0">
        <w:t xml:space="preserve"> в отношении 1 организации</w:t>
      </w:r>
      <w:r>
        <w:t xml:space="preserve"> - </w:t>
      </w:r>
      <w:r w:rsidRPr="006F13C0">
        <w:t>100 000 р</w:t>
      </w:r>
      <w:r>
        <w:t>уб.</w:t>
      </w:r>
      <w:r w:rsidRPr="006F13C0">
        <w:t>(решением Арбитражного суда Ивановской области штраф снижен до 50</w:t>
      </w:r>
      <w:r>
        <w:t> </w:t>
      </w:r>
      <w:r w:rsidRPr="006F13C0">
        <w:t>000</w:t>
      </w:r>
      <w:r>
        <w:t xml:space="preserve"> </w:t>
      </w:r>
      <w:r w:rsidRPr="006F13C0">
        <w:t>р.)</w:t>
      </w:r>
      <w:r>
        <w:t xml:space="preserve">; </w:t>
      </w:r>
      <w:r w:rsidRPr="006F13C0">
        <w:t>в отношении 1 организации</w:t>
      </w:r>
      <w:r>
        <w:t xml:space="preserve"> -</w:t>
      </w:r>
      <w:r w:rsidRPr="006F13C0">
        <w:t xml:space="preserve"> 150</w:t>
      </w:r>
      <w:r>
        <w:t> </w:t>
      </w:r>
      <w:r w:rsidRPr="006F13C0">
        <w:t>000</w:t>
      </w:r>
      <w:r>
        <w:t xml:space="preserve"> руб. </w:t>
      </w:r>
      <w:r w:rsidRPr="006F13C0">
        <w:t>(</w:t>
      </w:r>
      <w:r>
        <w:t>о</w:t>
      </w:r>
      <w:r w:rsidRPr="006F13C0">
        <w:t>спаривается в Арбитражном суде Ивановской области)</w:t>
      </w:r>
      <w:r>
        <w:t xml:space="preserve">; </w:t>
      </w:r>
      <w:r w:rsidRPr="006F13C0">
        <w:t>в отношении 1 физическо</w:t>
      </w:r>
      <w:r>
        <w:t>го</w:t>
      </w:r>
      <w:r w:rsidRPr="006F13C0">
        <w:t xml:space="preserve"> лиц</w:t>
      </w:r>
      <w:r>
        <w:t>а -</w:t>
      </w:r>
      <w:r w:rsidRPr="006F13C0">
        <w:t xml:space="preserve"> 10</w:t>
      </w:r>
      <w:r>
        <w:t> </w:t>
      </w:r>
      <w:r w:rsidRPr="006F13C0">
        <w:t>000</w:t>
      </w:r>
      <w:r>
        <w:t xml:space="preserve"> </w:t>
      </w:r>
      <w:r w:rsidRPr="006F13C0">
        <w:t>р</w:t>
      </w:r>
      <w:r>
        <w:t xml:space="preserve">уб. </w:t>
      </w:r>
      <w:r w:rsidRPr="006F13C0">
        <w:t>(штраф оплачен)</w:t>
      </w:r>
      <w:r>
        <w:t>.</w:t>
      </w:r>
    </w:p>
    <w:p w:rsidR="006F13C0" w:rsidRPr="006F13C0" w:rsidRDefault="006F13C0" w:rsidP="00580DE4">
      <w:pPr>
        <w:jc w:val="both"/>
      </w:pPr>
      <w:r w:rsidRPr="006F13C0">
        <w:t>В отношении одной организации по ч.1 ст.14.6 КоАП(Завышение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w:t>
      </w:r>
      <w:r w:rsidR="00E40F4B">
        <w:t>.</w:t>
      </w:r>
      <w:r w:rsidRPr="006F13C0">
        <w:t>..) вынесено предупреждение.</w:t>
      </w:r>
    </w:p>
    <w:p w:rsidR="006F13C0" w:rsidRPr="006F13C0" w:rsidRDefault="00E40F4B" w:rsidP="00580DE4">
      <w:pPr>
        <w:jc w:val="both"/>
      </w:pPr>
      <w:r>
        <w:t>В</w:t>
      </w:r>
      <w:r w:rsidR="006F13C0" w:rsidRPr="006F13C0">
        <w:t xml:space="preserve"> связи с распространением новой коронавирусной инфекции (COVID-2019) и в соответствии с решениями Правительства Российской Федерации проверки регулируемых организаций </w:t>
      </w:r>
      <w:r>
        <w:t>в</w:t>
      </w:r>
      <w:r w:rsidRPr="006F13C0">
        <w:t xml:space="preserve"> 2021 году </w:t>
      </w:r>
      <w:r w:rsidR="006F13C0" w:rsidRPr="006F13C0">
        <w:t xml:space="preserve">не </w:t>
      </w:r>
      <w:r>
        <w:t>проводились</w:t>
      </w:r>
      <w:r w:rsidR="006F13C0" w:rsidRPr="006F13C0">
        <w:t xml:space="preserve">. </w:t>
      </w:r>
    </w:p>
    <w:p w:rsidR="006F13C0" w:rsidRPr="006F13C0" w:rsidRDefault="006F13C0" w:rsidP="006F13C0"/>
    <w:p w:rsidR="007E21FD" w:rsidRDefault="003509CF">
      <w:pPr>
        <w:pStyle w:val="11"/>
      </w:pPr>
      <w:bookmarkStart w:id="69" w:name="_Toc97386248"/>
      <w:r>
        <w:lastRenderedPageBreak/>
        <w:t>Контактные данные</w:t>
      </w:r>
      <w:bookmarkEnd w:id="59"/>
      <w:bookmarkEnd w:id="60"/>
      <w:bookmarkEnd w:id="61"/>
      <w:bookmarkEnd w:id="69"/>
    </w:p>
    <w:p w:rsidR="003E5118" w:rsidRPr="00AF0FE4" w:rsidRDefault="003E5118" w:rsidP="003E5118">
      <w:pPr>
        <w:pStyle w:val="21"/>
        <w:rPr>
          <w:b w:val="0"/>
          <w:caps/>
          <w:color w:val="810000" w:themeColor="accent1" w:themeShade="BF"/>
          <w:sz w:val="24"/>
          <w14:ligatures w14:val="standardContextual"/>
        </w:rPr>
      </w:pPr>
      <w:bookmarkStart w:id="70" w:name="_Toc97386249"/>
      <w:r w:rsidRPr="00AF0FE4">
        <w:rPr>
          <w:b w:val="0"/>
          <w:caps/>
          <w:color w:val="810000" w:themeColor="accent1" w:themeShade="BF"/>
          <w:sz w:val="24"/>
          <w14:ligatures w14:val="standardContextual"/>
        </w:rPr>
        <w:t>департамент энергетики и тарифов</w:t>
      </w:r>
      <w:bookmarkEnd w:id="70"/>
    </w:p>
    <w:p w:rsidR="003E5118" w:rsidRPr="003E5118" w:rsidRDefault="003E5118" w:rsidP="003E5118"/>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329"/>
      </w:tblGrid>
      <w:tr w:rsidR="005505A1" w:rsidTr="006F13C0">
        <w:trPr>
          <w:trHeight w:val="896"/>
        </w:trPr>
        <w:tc>
          <w:tcPr>
            <w:tcW w:w="1242" w:type="dxa"/>
          </w:tcPr>
          <w:p w:rsidR="005505A1" w:rsidRDefault="005505A1" w:rsidP="00C60F91">
            <w:r>
              <w:rPr>
                <w:noProof/>
              </w:rPr>
              <w:drawing>
                <wp:inline distT="0" distB="0" distL="0" distR="0" wp14:anchorId="70332A3A" wp14:editId="75E7D6DF">
                  <wp:extent cx="504825" cy="504825"/>
                  <wp:effectExtent l="0" t="0" r="9525" b="9525"/>
                  <wp:docPr id="289" name="Рисунок 289" descr="https://im0-tub-ru.yandex.net/i?id=3a7e9c0d49c2ffe3b9d8a84308d38d3d&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3a7e9c0d49c2ffe3b9d8a84308d38d3d&amp;n=33&amp;w=150&amp;h=1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329" w:type="dxa"/>
            <w:shd w:val="clear" w:color="auto" w:fill="auto"/>
            <w:vAlign w:val="center"/>
          </w:tcPr>
          <w:p w:rsidR="005505A1" w:rsidRPr="00CC0E96" w:rsidRDefault="005505A1" w:rsidP="005505A1">
            <w:pPr>
              <w:rPr>
                <w:rFonts w:cstheme="minorHAnsi"/>
                <w:sz w:val="28"/>
                <w:szCs w:val="28"/>
                <w:lang w:bidi="ru-RU"/>
              </w:rPr>
            </w:pPr>
            <w:r w:rsidRPr="00CC0E96">
              <w:rPr>
                <w:rFonts w:cstheme="minorHAnsi"/>
                <w:sz w:val="28"/>
                <w:szCs w:val="28"/>
                <w:lang w:bidi="ru-RU"/>
              </w:rPr>
              <w:t>Адрес:</w:t>
            </w:r>
            <w:r>
              <w:rPr>
                <w:rFonts w:cstheme="minorHAnsi"/>
                <w:sz w:val="28"/>
                <w:szCs w:val="28"/>
                <w:lang w:bidi="ru-RU"/>
              </w:rPr>
              <w:t xml:space="preserve"> </w:t>
            </w:r>
            <w:r w:rsidRPr="00CC0E96">
              <w:rPr>
                <w:rFonts w:cstheme="minorHAnsi"/>
                <w:sz w:val="28"/>
                <w:szCs w:val="28"/>
                <w:lang w:bidi="ru-RU"/>
              </w:rPr>
              <w:t>153022 г. Иваново, ул. Велижская, д. 8</w:t>
            </w:r>
            <w:r w:rsidR="003C4F71">
              <w:rPr>
                <w:rFonts w:cstheme="minorHAnsi"/>
                <w:sz w:val="28"/>
                <w:szCs w:val="28"/>
                <w:lang w:bidi="ru-RU"/>
              </w:rPr>
              <w:t>, 5 этаж</w:t>
            </w:r>
            <w:r w:rsidRPr="00CC0E96">
              <w:rPr>
                <w:rFonts w:cstheme="minorHAnsi"/>
                <w:sz w:val="28"/>
                <w:szCs w:val="28"/>
                <w:lang w:bidi="ru-RU"/>
              </w:rPr>
              <w:t xml:space="preserve"> </w:t>
            </w:r>
          </w:p>
        </w:tc>
      </w:tr>
      <w:tr w:rsidR="005505A1" w:rsidTr="006F13C0">
        <w:trPr>
          <w:trHeight w:val="832"/>
        </w:trPr>
        <w:tc>
          <w:tcPr>
            <w:tcW w:w="1242" w:type="dxa"/>
          </w:tcPr>
          <w:p w:rsidR="005505A1" w:rsidRDefault="005505A1" w:rsidP="00C60F91">
            <w:r>
              <w:rPr>
                <w:noProof/>
              </w:rPr>
              <w:drawing>
                <wp:inline distT="0" distB="0" distL="0" distR="0" wp14:anchorId="63E39D05" wp14:editId="2E0BC486">
                  <wp:extent cx="494497" cy="466622"/>
                  <wp:effectExtent l="0" t="0" r="1270" b="0"/>
                  <wp:docPr id="38" name="Рисунок 38" descr="https://banner2.cleanpng.com/20180504/ptw/kisspng-telephone-call-dialer-computer-icons-clip-art-rmb-symbol-5aec991a1dbc04.208069991525455130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nner2.cleanpng.com/20180504/ptw/kisspng-telephone-call-dialer-computer-icons-clip-art-rmb-symbol-5aec991a1dbc04.20806999152545513012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384" cy="486331"/>
                          </a:xfrm>
                          <a:prstGeom prst="rect">
                            <a:avLst/>
                          </a:prstGeom>
                          <a:noFill/>
                          <a:ln>
                            <a:noFill/>
                          </a:ln>
                        </pic:spPr>
                      </pic:pic>
                    </a:graphicData>
                  </a:graphic>
                </wp:inline>
              </w:drawing>
            </w:r>
          </w:p>
        </w:tc>
        <w:tc>
          <w:tcPr>
            <w:tcW w:w="8329" w:type="dxa"/>
            <w:vAlign w:val="center"/>
          </w:tcPr>
          <w:p w:rsidR="005505A1" w:rsidRPr="00CC0E96" w:rsidRDefault="005505A1" w:rsidP="005505A1">
            <w:pPr>
              <w:rPr>
                <w:rFonts w:cstheme="minorHAnsi"/>
                <w:sz w:val="28"/>
                <w:szCs w:val="28"/>
                <w:lang w:bidi="ru-RU"/>
              </w:rPr>
            </w:pPr>
            <w:r w:rsidRPr="00CC0E96">
              <w:rPr>
                <w:rFonts w:cstheme="minorHAnsi"/>
                <w:sz w:val="28"/>
                <w:szCs w:val="28"/>
                <w:lang w:bidi="ru-RU"/>
              </w:rPr>
              <w:t>Телефон/факс:</w:t>
            </w:r>
            <w:r>
              <w:rPr>
                <w:rFonts w:cstheme="minorHAnsi"/>
                <w:sz w:val="28"/>
                <w:szCs w:val="28"/>
                <w:lang w:bidi="ru-RU"/>
              </w:rPr>
              <w:t xml:space="preserve"> </w:t>
            </w:r>
            <w:r w:rsidRPr="00CC0E96">
              <w:rPr>
                <w:rFonts w:cstheme="minorHAnsi"/>
                <w:sz w:val="28"/>
                <w:szCs w:val="28"/>
                <w:lang w:bidi="ru-RU"/>
              </w:rPr>
              <w:t>(4932) 93-85-93, 93-85-95</w:t>
            </w:r>
          </w:p>
        </w:tc>
      </w:tr>
      <w:tr w:rsidR="005505A1" w:rsidTr="006F13C0">
        <w:tc>
          <w:tcPr>
            <w:tcW w:w="1242" w:type="dxa"/>
          </w:tcPr>
          <w:p w:rsidR="005505A1" w:rsidRDefault="005505A1" w:rsidP="00C60F91">
            <w:r>
              <w:rPr>
                <w:noProof/>
              </w:rPr>
              <w:drawing>
                <wp:inline distT="0" distB="0" distL="0" distR="0" wp14:anchorId="7959545E" wp14:editId="7306964D">
                  <wp:extent cx="494926" cy="504825"/>
                  <wp:effectExtent l="0" t="0" r="635" b="0"/>
                  <wp:docPr id="39" name="Рисунок 39" descr="https://im0-tub-ru.yandex.net/i?id=42a220bd0786fa106c65c57df10f1a4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2a220bd0786fa106c65c57df10f1a4c&amp;n=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429" cy="525738"/>
                          </a:xfrm>
                          <a:prstGeom prst="rect">
                            <a:avLst/>
                          </a:prstGeom>
                          <a:noFill/>
                          <a:ln>
                            <a:noFill/>
                          </a:ln>
                        </pic:spPr>
                      </pic:pic>
                    </a:graphicData>
                  </a:graphic>
                </wp:inline>
              </w:drawing>
            </w:r>
          </w:p>
        </w:tc>
        <w:tc>
          <w:tcPr>
            <w:tcW w:w="8329" w:type="dxa"/>
            <w:shd w:val="clear" w:color="auto" w:fill="auto"/>
            <w:vAlign w:val="center"/>
          </w:tcPr>
          <w:p w:rsidR="005505A1" w:rsidRPr="00CC0E96" w:rsidRDefault="005505A1" w:rsidP="005505A1">
            <w:pPr>
              <w:rPr>
                <w:rFonts w:cstheme="minorHAnsi"/>
                <w:sz w:val="28"/>
                <w:szCs w:val="28"/>
                <w:lang w:bidi="ru-RU"/>
              </w:rPr>
            </w:pPr>
            <w:r w:rsidRPr="00CC0E96">
              <w:rPr>
                <w:rFonts w:cstheme="minorHAnsi"/>
                <w:sz w:val="28"/>
                <w:szCs w:val="28"/>
                <w:lang w:bidi="ru-RU"/>
              </w:rPr>
              <w:t>Электронная почта:</w:t>
            </w:r>
            <w:r>
              <w:rPr>
                <w:rFonts w:cstheme="minorHAnsi"/>
                <w:sz w:val="28"/>
                <w:szCs w:val="28"/>
                <w:lang w:bidi="ru-RU"/>
              </w:rPr>
              <w:t xml:space="preserve"> </w:t>
            </w:r>
            <w:r w:rsidRPr="00CC0E96">
              <w:rPr>
                <w:rFonts w:cstheme="minorHAnsi"/>
                <w:sz w:val="28"/>
                <w:szCs w:val="28"/>
                <w:lang w:bidi="ru-RU"/>
              </w:rPr>
              <w:t>det@ivanovoobl.ru</w:t>
            </w:r>
          </w:p>
        </w:tc>
      </w:tr>
    </w:tbl>
    <w:p w:rsidR="00C60F91" w:rsidRDefault="00C60F91" w:rsidP="00C60F91"/>
    <w:p w:rsidR="003E5118" w:rsidRPr="00AF0FE4" w:rsidRDefault="003E5118" w:rsidP="003E5118">
      <w:pPr>
        <w:pStyle w:val="21"/>
        <w:rPr>
          <w:b w:val="0"/>
          <w:caps/>
          <w:color w:val="810000" w:themeColor="accent1" w:themeShade="BF"/>
          <w:sz w:val="24"/>
          <w14:ligatures w14:val="standardContextual"/>
        </w:rPr>
      </w:pPr>
      <w:bookmarkStart w:id="71" w:name="_Toc97386250"/>
      <w:r w:rsidRPr="00AF0FE4">
        <w:rPr>
          <w:b w:val="0"/>
          <w:caps/>
          <w:color w:val="810000" w:themeColor="accent1" w:themeShade="BF"/>
          <w:sz w:val="24"/>
          <w14:ligatures w14:val="standardContextual"/>
        </w:rPr>
        <w:t>Мы доступны в интернете!</w:t>
      </w:r>
      <w:bookmarkEnd w:id="71"/>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8402"/>
      </w:tblGrid>
      <w:tr w:rsidR="005505A1" w:rsidTr="005505A1">
        <w:tc>
          <w:tcPr>
            <w:tcW w:w="1169" w:type="dxa"/>
            <w:vAlign w:val="center"/>
          </w:tcPr>
          <w:p w:rsidR="005505A1" w:rsidRDefault="005505A1" w:rsidP="003E5118">
            <w:r>
              <w:rPr>
                <w:noProof/>
              </w:rPr>
              <w:drawing>
                <wp:inline distT="0" distB="0" distL="0" distR="0" wp14:anchorId="2855D206" wp14:editId="7F6706B8">
                  <wp:extent cx="576321" cy="583324"/>
                  <wp:effectExtent l="0" t="0" r="0" b="7620"/>
                  <wp:docPr id="294" name="Рисунок 294" descr="https://pixy.org/src/10/thumbs350/1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xy.org/src/10/thumbs350/1004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181" cy="592292"/>
                          </a:xfrm>
                          <a:prstGeom prst="rect">
                            <a:avLst/>
                          </a:prstGeom>
                          <a:noFill/>
                          <a:ln>
                            <a:noFill/>
                          </a:ln>
                        </pic:spPr>
                      </pic:pic>
                    </a:graphicData>
                  </a:graphic>
                </wp:inline>
              </w:drawing>
            </w:r>
          </w:p>
        </w:tc>
        <w:tc>
          <w:tcPr>
            <w:tcW w:w="8402" w:type="dxa"/>
            <w:shd w:val="clear" w:color="auto" w:fill="auto"/>
            <w:vAlign w:val="center"/>
          </w:tcPr>
          <w:p w:rsidR="005505A1" w:rsidRPr="007F02F9" w:rsidRDefault="005505A1" w:rsidP="005505A1">
            <w:pPr>
              <w:rPr>
                <w:rFonts w:cstheme="minorHAnsi"/>
                <w:b/>
                <w:sz w:val="28"/>
                <w:szCs w:val="28"/>
                <w:lang w:bidi="ru-RU"/>
              </w:rPr>
            </w:pPr>
            <w:r w:rsidRPr="005505A1">
              <w:rPr>
                <w:rFonts w:cstheme="minorHAnsi"/>
                <w:b/>
                <w:color w:val="554740" w:themeColor="accent2" w:themeShade="BF"/>
                <w:sz w:val="28"/>
                <w:szCs w:val="28"/>
                <w:lang w:bidi="ru-RU"/>
              </w:rPr>
              <w:t xml:space="preserve">Сайт: </w:t>
            </w:r>
            <w:hyperlink r:id="rId37" w:history="1">
              <w:r w:rsidRPr="005505A1">
                <w:rPr>
                  <w:rStyle w:val="afff8"/>
                  <w:rFonts w:cstheme="minorHAnsi"/>
                  <w:b/>
                  <w:color w:val="554740" w:themeColor="accent2" w:themeShade="BF"/>
                  <w:sz w:val="28"/>
                  <w:szCs w:val="28"/>
                  <w:lang w:bidi="ru-RU"/>
                </w:rPr>
                <w:t>http://det.ivanovoobl.ru</w:t>
              </w:r>
            </w:hyperlink>
            <w:r w:rsidRPr="007F02F9">
              <w:rPr>
                <w:rFonts w:cstheme="minorHAnsi"/>
                <w:b/>
                <w:sz w:val="28"/>
                <w:szCs w:val="28"/>
                <w:lang w:bidi="ru-RU"/>
              </w:rPr>
              <w:t xml:space="preserve"> </w:t>
            </w:r>
          </w:p>
        </w:tc>
      </w:tr>
      <w:tr w:rsidR="005505A1" w:rsidTr="005505A1">
        <w:tc>
          <w:tcPr>
            <w:tcW w:w="1169" w:type="dxa"/>
            <w:vMerge w:val="restart"/>
            <w:vAlign w:val="center"/>
          </w:tcPr>
          <w:p w:rsidR="005505A1" w:rsidRDefault="005505A1" w:rsidP="003E5118">
            <w:r w:rsidRPr="0093717B">
              <w:rPr>
                <w:noProof/>
              </w:rPr>
              <w:drawing>
                <wp:inline distT="0" distB="0" distL="0" distR="0" wp14:anchorId="73FFCCF5" wp14:editId="3766B95B">
                  <wp:extent cx="571500" cy="571500"/>
                  <wp:effectExtent l="0" t="0" r="0" b="0"/>
                  <wp:docPr id="292" name="Рисунок 292" descr="https://im0-tub-ru.yandex.net/i?id=7c7846fb2d73287c16d38d415cc665bb&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7c7846fb2d73287c16d38d415cc665bb&amp;n=33&amp;w=150&amp;h=1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402" w:type="dxa"/>
            <w:shd w:val="clear" w:color="auto" w:fill="auto"/>
            <w:vAlign w:val="center"/>
          </w:tcPr>
          <w:p w:rsidR="005505A1" w:rsidRPr="003C4F71" w:rsidRDefault="005505A1" w:rsidP="003C4F71">
            <w:pPr>
              <w:pStyle w:val="affff9"/>
              <w:rPr>
                <w:rFonts w:asciiTheme="minorHAnsi" w:hAnsiTheme="minorHAnsi" w:cstheme="minorHAnsi"/>
                <w:color w:val="554740" w:themeColor="accent2" w:themeShade="BF"/>
                <w:sz w:val="28"/>
                <w:szCs w:val="28"/>
              </w:rPr>
            </w:pPr>
          </w:p>
        </w:tc>
      </w:tr>
      <w:tr w:rsidR="005505A1" w:rsidTr="005505A1">
        <w:tc>
          <w:tcPr>
            <w:tcW w:w="1169" w:type="dxa"/>
            <w:vMerge/>
            <w:vAlign w:val="center"/>
          </w:tcPr>
          <w:p w:rsidR="005505A1" w:rsidRDefault="005505A1" w:rsidP="003E5118"/>
        </w:tc>
        <w:tc>
          <w:tcPr>
            <w:tcW w:w="8402" w:type="dxa"/>
            <w:shd w:val="clear" w:color="auto" w:fill="auto"/>
            <w:vAlign w:val="center"/>
          </w:tcPr>
          <w:p w:rsidR="005505A1" w:rsidRPr="005505A1" w:rsidRDefault="005505A1" w:rsidP="005505A1">
            <w:pPr>
              <w:pStyle w:val="affff9"/>
              <w:rPr>
                <w:rFonts w:asciiTheme="minorHAnsi" w:hAnsiTheme="minorHAnsi" w:cstheme="minorHAnsi"/>
                <w:color w:val="554740" w:themeColor="accent2" w:themeShade="BF"/>
                <w:sz w:val="28"/>
                <w:szCs w:val="28"/>
              </w:rPr>
            </w:pPr>
            <w:r w:rsidRPr="005505A1">
              <w:rPr>
                <w:rFonts w:asciiTheme="minorHAnsi" w:hAnsiTheme="minorHAnsi" w:cstheme="minorHAnsi"/>
                <w:noProof/>
                <w:color w:val="554740" w:themeColor="accent2" w:themeShade="BF"/>
                <w:sz w:val="28"/>
                <w:szCs w:val="28"/>
              </w:rPr>
              <w:drawing>
                <wp:inline distT="0" distB="0" distL="0" distR="0" wp14:anchorId="4299F33A" wp14:editId="2714C3D3">
                  <wp:extent cx="160020" cy="160020"/>
                  <wp:effectExtent l="0" t="0" r="0" b="0"/>
                  <wp:docPr id="32" name="Рисунок 32" descr="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505A1">
              <w:rPr>
                <w:rFonts w:asciiTheme="minorHAnsi" w:hAnsiTheme="minorHAnsi" w:cstheme="minorHAnsi"/>
                <w:color w:val="554740" w:themeColor="accent2" w:themeShade="BF"/>
                <w:sz w:val="28"/>
                <w:szCs w:val="28"/>
                <w:lang w:val="en-US"/>
              </w:rPr>
              <w:t>   </w:t>
            </w:r>
            <w:proofErr w:type="spellStart"/>
            <w:r w:rsidRPr="005505A1">
              <w:rPr>
                <w:rFonts w:asciiTheme="minorHAnsi" w:hAnsiTheme="minorHAnsi" w:cstheme="minorHAnsi"/>
                <w:color w:val="554740" w:themeColor="accent2" w:themeShade="BF"/>
                <w:sz w:val="28"/>
                <w:szCs w:val="28"/>
              </w:rPr>
              <w:t>Вконтакте</w:t>
            </w:r>
            <w:proofErr w:type="spellEnd"/>
            <w:r w:rsidRPr="005505A1">
              <w:rPr>
                <w:rFonts w:asciiTheme="minorHAnsi" w:hAnsiTheme="minorHAnsi" w:cstheme="minorHAnsi"/>
                <w:color w:val="554740" w:themeColor="accent2" w:themeShade="BF"/>
                <w:sz w:val="28"/>
                <w:szCs w:val="28"/>
                <w:lang w:val="en-US"/>
              </w:rPr>
              <w:t xml:space="preserve">: </w:t>
            </w:r>
            <w:hyperlink r:id="rId40" w:history="1">
              <w:r w:rsidRPr="005505A1">
                <w:rPr>
                  <w:rStyle w:val="afff8"/>
                  <w:rFonts w:asciiTheme="minorHAnsi" w:hAnsiTheme="minorHAnsi" w:cstheme="minorHAnsi"/>
                  <w:color w:val="554740" w:themeColor="accent2" w:themeShade="BF"/>
                  <w:sz w:val="28"/>
                  <w:szCs w:val="28"/>
                  <w:lang w:val="en-US"/>
                </w:rPr>
                <w:t>vk.com/public167392889</w:t>
              </w:r>
            </w:hyperlink>
          </w:p>
        </w:tc>
      </w:tr>
      <w:tr w:rsidR="005505A1" w:rsidTr="005505A1">
        <w:tc>
          <w:tcPr>
            <w:tcW w:w="1169" w:type="dxa"/>
            <w:vMerge/>
            <w:vAlign w:val="center"/>
          </w:tcPr>
          <w:p w:rsidR="005505A1" w:rsidRDefault="005505A1" w:rsidP="003E5118"/>
        </w:tc>
        <w:tc>
          <w:tcPr>
            <w:tcW w:w="8402" w:type="dxa"/>
            <w:shd w:val="clear" w:color="auto" w:fill="auto"/>
            <w:vAlign w:val="center"/>
          </w:tcPr>
          <w:p w:rsidR="005505A1" w:rsidRPr="005505A1" w:rsidRDefault="005505A1" w:rsidP="005505A1">
            <w:pPr>
              <w:pStyle w:val="affff9"/>
              <w:rPr>
                <w:rFonts w:asciiTheme="minorHAnsi" w:hAnsiTheme="minorHAnsi" w:cstheme="minorHAnsi"/>
                <w:color w:val="554740" w:themeColor="accent2" w:themeShade="BF"/>
                <w:sz w:val="28"/>
                <w:szCs w:val="28"/>
              </w:rPr>
            </w:pPr>
            <w:r w:rsidRPr="005505A1">
              <w:rPr>
                <w:rFonts w:asciiTheme="minorHAnsi" w:hAnsiTheme="minorHAnsi" w:cstheme="minorHAnsi"/>
                <w:noProof/>
                <w:color w:val="554740" w:themeColor="accent2" w:themeShade="BF"/>
                <w:sz w:val="28"/>
                <w:szCs w:val="28"/>
              </w:rPr>
              <w:drawing>
                <wp:inline distT="0" distB="0" distL="0" distR="0" wp14:anchorId="1C12F31C" wp14:editId="1E053DF5">
                  <wp:extent cx="160020" cy="160020"/>
                  <wp:effectExtent l="0" t="0" r="0" b="0"/>
                  <wp:docPr id="33" name="Рисунок 33" descr="одно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днокл.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505A1">
              <w:rPr>
                <w:rFonts w:asciiTheme="minorHAnsi" w:hAnsiTheme="minorHAnsi" w:cstheme="minorHAnsi"/>
                <w:color w:val="554740" w:themeColor="accent2" w:themeShade="BF"/>
                <w:sz w:val="28"/>
                <w:szCs w:val="28"/>
              </w:rPr>
              <w:t xml:space="preserve">   Одноклассники: </w:t>
            </w:r>
            <w:hyperlink r:id="rId42" w:history="1">
              <w:r w:rsidRPr="005505A1">
                <w:rPr>
                  <w:rStyle w:val="afff8"/>
                  <w:rFonts w:asciiTheme="minorHAnsi" w:hAnsiTheme="minorHAnsi" w:cstheme="minorHAnsi"/>
                  <w:color w:val="554740" w:themeColor="accent2" w:themeShade="BF"/>
                  <w:sz w:val="28"/>
                  <w:szCs w:val="28"/>
                </w:rPr>
                <w:t>www.ok.ru/group/55699153354768</w:t>
              </w:r>
            </w:hyperlink>
            <w:r w:rsidRPr="005505A1">
              <w:rPr>
                <w:rFonts w:asciiTheme="minorHAnsi" w:hAnsiTheme="minorHAnsi" w:cstheme="minorHAnsi"/>
                <w:color w:val="554740" w:themeColor="accent2" w:themeShade="BF"/>
                <w:sz w:val="28"/>
                <w:szCs w:val="28"/>
              </w:rPr>
              <w:t> </w:t>
            </w:r>
          </w:p>
        </w:tc>
      </w:tr>
    </w:tbl>
    <w:p w:rsidR="00C60F91" w:rsidRPr="00C60F91" w:rsidRDefault="00C60F91" w:rsidP="00C60F91"/>
    <w:p w:rsidR="00C60F91" w:rsidRPr="00C60F91" w:rsidRDefault="00C60F91" w:rsidP="00C60F91"/>
    <w:sectPr w:rsidR="00C60F91" w:rsidRPr="00C60F91" w:rsidSect="00FD71FC">
      <w:headerReference w:type="default" r:id="rId43"/>
      <w:footerReference w:type="default" r:id="rId44"/>
      <w:pgSz w:w="11907" w:h="16839" w:code="9"/>
      <w:pgMar w:top="2268" w:right="1134" w:bottom="1797" w:left="1418" w:header="862"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FC7" w:rsidRDefault="00226FC7">
      <w:pPr>
        <w:spacing w:after="0" w:line="240" w:lineRule="auto"/>
      </w:pPr>
      <w:r>
        <w:separator/>
      </w:r>
    </w:p>
  </w:endnote>
  <w:endnote w:type="continuationSeparator" w:id="0">
    <w:p w:rsidR="00226FC7" w:rsidRDefault="00226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B0" w:rsidRDefault="00C547B0">
    <w:pPr>
      <w:pStyle w:val="a8"/>
    </w:pPr>
    <w:r>
      <w:t xml:space="preserve">Страница </w:t>
    </w:r>
    <w:r>
      <w:fldChar w:fldCharType="begin"/>
    </w:r>
    <w:r>
      <w:instrText xml:space="preserve"> page </w:instrText>
    </w:r>
    <w:r>
      <w:fldChar w:fldCharType="separate"/>
    </w:r>
    <w:r w:rsidR="00DE7A30">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FC7" w:rsidRDefault="00226FC7">
      <w:pPr>
        <w:spacing w:after="0" w:line="240" w:lineRule="auto"/>
      </w:pPr>
      <w:r>
        <w:separator/>
      </w:r>
    </w:p>
  </w:footnote>
  <w:footnote w:type="continuationSeparator" w:id="0">
    <w:p w:rsidR="00226FC7" w:rsidRDefault="00226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B0" w:rsidRDefault="00C547B0">
    <w:pPr>
      <w:pStyle w:val="affffff6"/>
      <w:tabs>
        <w:tab w:val="left" w:pos="5032"/>
      </w:tabs>
    </w:pPr>
    <w:r>
      <w:t>Оглавление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B0" w:rsidRPr="00BC099A" w:rsidRDefault="00C547B0">
    <w:pPr>
      <w:pStyle w:val="affffff6"/>
      <w:rPr>
        <w:szCs w:val="32"/>
      </w:rPr>
    </w:pPr>
    <w:r w:rsidRPr="00BC099A">
      <w:rPr>
        <w:szCs w:val="32"/>
      </w:rPr>
      <w:fldChar w:fldCharType="begin"/>
    </w:r>
    <w:r w:rsidRPr="00BC099A">
      <w:rPr>
        <w:szCs w:val="32"/>
      </w:rPr>
      <w:instrText xml:space="preserve"> If </w:instrText>
    </w:r>
    <w:r w:rsidRPr="00BC099A">
      <w:rPr>
        <w:szCs w:val="32"/>
      </w:rPr>
      <w:fldChar w:fldCharType="begin"/>
    </w:r>
    <w:r w:rsidRPr="00BC099A">
      <w:rPr>
        <w:szCs w:val="32"/>
      </w:rPr>
      <w:instrText xml:space="preserve"> STYLEREF  "заголовок 1" </w:instrText>
    </w:r>
    <w:r w:rsidRPr="00BC099A">
      <w:rPr>
        <w:szCs w:val="32"/>
      </w:rPr>
      <w:fldChar w:fldCharType="separate"/>
    </w:r>
    <w:r w:rsidR="00DE7A30">
      <w:rPr>
        <w:noProof/>
        <w:szCs w:val="32"/>
      </w:rPr>
      <w:instrText>Контактные данные</w:instrText>
    </w:r>
    <w:r w:rsidRPr="00BC099A">
      <w:rPr>
        <w:szCs w:val="32"/>
      </w:rPr>
      <w:fldChar w:fldCharType="end"/>
    </w:r>
    <w:r w:rsidRPr="00BC099A">
      <w:rPr>
        <w:szCs w:val="32"/>
      </w:rPr>
      <w:instrText>&lt;&gt; “Error*” “</w:instrText>
    </w:r>
    <w:r w:rsidRPr="00BC099A">
      <w:rPr>
        <w:szCs w:val="32"/>
      </w:rPr>
      <w:fldChar w:fldCharType="begin"/>
    </w:r>
    <w:r w:rsidRPr="00BC099A">
      <w:rPr>
        <w:szCs w:val="32"/>
      </w:rPr>
      <w:instrText xml:space="preserve"> STYLEREF  "заголовок 1"  \* MERGEFORMAT </w:instrText>
    </w:r>
    <w:r w:rsidRPr="00BC099A">
      <w:rPr>
        <w:szCs w:val="32"/>
      </w:rPr>
      <w:fldChar w:fldCharType="separate"/>
    </w:r>
    <w:r w:rsidR="00DE7A30">
      <w:rPr>
        <w:noProof/>
        <w:szCs w:val="32"/>
      </w:rPr>
      <w:instrText>Контактные данные</w:instrText>
    </w:r>
    <w:r w:rsidRPr="00BC099A">
      <w:rPr>
        <w:szCs w:val="32"/>
      </w:rPr>
      <w:fldChar w:fldCharType="end"/>
    </w:r>
    <w:r w:rsidRPr="00BC099A">
      <w:rPr>
        <w:szCs w:val="32"/>
      </w:rPr>
      <w:fldChar w:fldCharType="separate"/>
    </w:r>
    <w:r w:rsidR="00DE7A30">
      <w:rPr>
        <w:noProof/>
        <w:szCs w:val="32"/>
      </w:rPr>
      <w:t>Контактные данные</w:t>
    </w:r>
    <w:r w:rsidRPr="00BC099A">
      <w:rPr>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a"/>
      <w:lvlText w:val="•"/>
      <w:lvlJc w:val="left"/>
      <w:pPr>
        <w:ind w:left="360" w:hanging="360"/>
      </w:pPr>
      <w:rPr>
        <w:rFonts w:ascii="Cambria" w:hAnsi="Cambria" w:hint="default"/>
        <w:color w:val="AD0101" w:themeColor="accent1"/>
      </w:rPr>
    </w:lvl>
  </w:abstractNum>
  <w:abstractNum w:abstractNumId="10">
    <w:nsid w:val="03B32190"/>
    <w:multiLevelType w:val="multilevel"/>
    <w:tmpl w:val="9CA4ABB8"/>
    <w:numStyleLink w:val="a0"/>
  </w:abstractNum>
  <w:abstractNum w:abstractNumId="11">
    <w:nsid w:val="1B6F205A"/>
    <w:multiLevelType w:val="multilevel"/>
    <w:tmpl w:val="9CA4ABB8"/>
    <w:styleLink w:val="a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F6A45"/>
    <w:multiLevelType w:val="multilevel"/>
    <w:tmpl w:val="80C0D6D2"/>
    <w:lvl w:ilvl="0">
      <w:start w:val="1"/>
      <w:numFmt w:val="decimal"/>
      <w:pStyle w:val="a1"/>
      <w:lvlText w:val="%1."/>
      <w:lvlJc w:val="left"/>
      <w:pPr>
        <w:ind w:left="360" w:hanging="360"/>
      </w:pPr>
      <w:rPr>
        <w:rFonts w:hint="default"/>
      </w:rPr>
    </w:lvl>
    <w:lvl w:ilvl="1">
      <w:start w:val="1"/>
      <w:numFmt w:val="decimal"/>
      <w:pStyle w:val="20"/>
      <w:suff w:val="space"/>
      <w:lvlText w:val="%1.%2"/>
      <w:lvlJc w:val="left"/>
      <w:pPr>
        <w:ind w:left="936" w:hanging="576"/>
      </w:pPr>
      <w:rPr>
        <w:rFonts w:hint="default"/>
      </w:rPr>
    </w:lvl>
    <w:lvl w:ilvl="2">
      <w:start w:val="1"/>
      <w:numFmt w:val="lowerLetter"/>
      <w:pStyle w:val="30"/>
      <w:lvlText w:val="%3."/>
      <w:lvlJc w:val="left"/>
      <w:pPr>
        <w:ind w:left="720" w:hanging="360"/>
      </w:pPr>
      <w:rPr>
        <w:rFonts w:hint="default"/>
      </w:rPr>
    </w:lvl>
    <w:lvl w:ilvl="3">
      <w:start w:val="1"/>
      <w:numFmt w:val="lowerRoman"/>
      <w:pStyle w:val="40"/>
      <w:lvlText w:val="%4."/>
      <w:lvlJc w:val="left"/>
      <w:pPr>
        <w:ind w:left="1080" w:hanging="360"/>
      </w:pPr>
      <w:rPr>
        <w:rFonts w:hint="default"/>
      </w:rPr>
    </w:lvl>
    <w:lvl w:ilvl="4">
      <w:start w:val="1"/>
      <w:numFmt w:val="lowerLetter"/>
      <w:pStyle w:val="5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0FE3F69"/>
    <w:multiLevelType w:val="hybridMultilevel"/>
    <w:tmpl w:val="AFA871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5"/>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2A"/>
    <w:rsid w:val="0001160E"/>
    <w:rsid w:val="00011AA0"/>
    <w:rsid w:val="000172E7"/>
    <w:rsid w:val="00032F9B"/>
    <w:rsid w:val="00067474"/>
    <w:rsid w:val="00073FA1"/>
    <w:rsid w:val="00082275"/>
    <w:rsid w:val="000E428E"/>
    <w:rsid w:val="000F4CD2"/>
    <w:rsid w:val="000F65DA"/>
    <w:rsid w:val="000F7FB7"/>
    <w:rsid w:val="001032C3"/>
    <w:rsid w:val="0010713E"/>
    <w:rsid w:val="001170F3"/>
    <w:rsid w:val="00117BC6"/>
    <w:rsid w:val="00124BE5"/>
    <w:rsid w:val="00127982"/>
    <w:rsid w:val="0013373D"/>
    <w:rsid w:val="00191FAC"/>
    <w:rsid w:val="001B1E7B"/>
    <w:rsid w:val="001C0AA8"/>
    <w:rsid w:val="001E63BC"/>
    <w:rsid w:val="0021618D"/>
    <w:rsid w:val="00226050"/>
    <w:rsid w:val="00226FC7"/>
    <w:rsid w:val="00257F59"/>
    <w:rsid w:val="002639A3"/>
    <w:rsid w:val="002911C7"/>
    <w:rsid w:val="002A08B0"/>
    <w:rsid w:val="002A1788"/>
    <w:rsid w:val="002A7EB5"/>
    <w:rsid w:val="002B02B1"/>
    <w:rsid w:val="003104E7"/>
    <w:rsid w:val="00313326"/>
    <w:rsid w:val="00320684"/>
    <w:rsid w:val="00346F7B"/>
    <w:rsid w:val="003509CF"/>
    <w:rsid w:val="00363CBB"/>
    <w:rsid w:val="003953F4"/>
    <w:rsid w:val="003C4F71"/>
    <w:rsid w:val="003D1334"/>
    <w:rsid w:val="003D2A72"/>
    <w:rsid w:val="003D68E4"/>
    <w:rsid w:val="003E5118"/>
    <w:rsid w:val="003E55A8"/>
    <w:rsid w:val="003F7CA0"/>
    <w:rsid w:val="00400C54"/>
    <w:rsid w:val="004120AC"/>
    <w:rsid w:val="00480246"/>
    <w:rsid w:val="004B3C31"/>
    <w:rsid w:val="004F4B10"/>
    <w:rsid w:val="0052683A"/>
    <w:rsid w:val="00527D03"/>
    <w:rsid w:val="00532359"/>
    <w:rsid w:val="00533245"/>
    <w:rsid w:val="00536FC7"/>
    <w:rsid w:val="005439F6"/>
    <w:rsid w:val="005505A1"/>
    <w:rsid w:val="00565DAC"/>
    <w:rsid w:val="00580DE4"/>
    <w:rsid w:val="00595E9F"/>
    <w:rsid w:val="005A16C0"/>
    <w:rsid w:val="005F1324"/>
    <w:rsid w:val="006122DC"/>
    <w:rsid w:val="006142B1"/>
    <w:rsid w:val="00615ED4"/>
    <w:rsid w:val="00626714"/>
    <w:rsid w:val="0064444F"/>
    <w:rsid w:val="00676D3E"/>
    <w:rsid w:val="00692BDF"/>
    <w:rsid w:val="006A4357"/>
    <w:rsid w:val="006F13C0"/>
    <w:rsid w:val="0070127C"/>
    <w:rsid w:val="00707392"/>
    <w:rsid w:val="00732244"/>
    <w:rsid w:val="00741372"/>
    <w:rsid w:val="00756D11"/>
    <w:rsid w:val="00772D7D"/>
    <w:rsid w:val="00782043"/>
    <w:rsid w:val="007A507B"/>
    <w:rsid w:val="007B0D88"/>
    <w:rsid w:val="007B162A"/>
    <w:rsid w:val="007C37C3"/>
    <w:rsid w:val="007E0703"/>
    <w:rsid w:val="007E21FD"/>
    <w:rsid w:val="007F5234"/>
    <w:rsid w:val="00857153"/>
    <w:rsid w:val="00864B68"/>
    <w:rsid w:val="008843FA"/>
    <w:rsid w:val="00895B74"/>
    <w:rsid w:val="008B6487"/>
    <w:rsid w:val="008C3511"/>
    <w:rsid w:val="008C6C76"/>
    <w:rsid w:val="008D2371"/>
    <w:rsid w:val="008E6049"/>
    <w:rsid w:val="008F2732"/>
    <w:rsid w:val="00921FF0"/>
    <w:rsid w:val="0092383F"/>
    <w:rsid w:val="009419C1"/>
    <w:rsid w:val="00977D96"/>
    <w:rsid w:val="009E3B7C"/>
    <w:rsid w:val="009F7459"/>
    <w:rsid w:val="00A34D8A"/>
    <w:rsid w:val="00A534BF"/>
    <w:rsid w:val="00A74D52"/>
    <w:rsid w:val="00A754B1"/>
    <w:rsid w:val="00A82D67"/>
    <w:rsid w:val="00AC05F5"/>
    <w:rsid w:val="00AE5CB8"/>
    <w:rsid w:val="00AF0FE4"/>
    <w:rsid w:val="00B17513"/>
    <w:rsid w:val="00B321B6"/>
    <w:rsid w:val="00B3439D"/>
    <w:rsid w:val="00B474AB"/>
    <w:rsid w:val="00BC099A"/>
    <w:rsid w:val="00BD230C"/>
    <w:rsid w:val="00BD48A8"/>
    <w:rsid w:val="00BE5CC9"/>
    <w:rsid w:val="00C52A27"/>
    <w:rsid w:val="00C52B7B"/>
    <w:rsid w:val="00C5445F"/>
    <w:rsid w:val="00C547B0"/>
    <w:rsid w:val="00C60F91"/>
    <w:rsid w:val="00C643D5"/>
    <w:rsid w:val="00C725AC"/>
    <w:rsid w:val="00C849BE"/>
    <w:rsid w:val="00C84E64"/>
    <w:rsid w:val="00CA0A1A"/>
    <w:rsid w:val="00CF790A"/>
    <w:rsid w:val="00D3076B"/>
    <w:rsid w:val="00D36A6F"/>
    <w:rsid w:val="00D42151"/>
    <w:rsid w:val="00D5259F"/>
    <w:rsid w:val="00DD381E"/>
    <w:rsid w:val="00DE7A30"/>
    <w:rsid w:val="00E018D7"/>
    <w:rsid w:val="00E07732"/>
    <w:rsid w:val="00E13683"/>
    <w:rsid w:val="00E25F89"/>
    <w:rsid w:val="00E3048A"/>
    <w:rsid w:val="00E40F4B"/>
    <w:rsid w:val="00E55D31"/>
    <w:rsid w:val="00E86C99"/>
    <w:rsid w:val="00E936A9"/>
    <w:rsid w:val="00EB7965"/>
    <w:rsid w:val="00EB7D27"/>
    <w:rsid w:val="00EC5B94"/>
    <w:rsid w:val="00EC7104"/>
    <w:rsid w:val="00EE45DE"/>
    <w:rsid w:val="00F0592C"/>
    <w:rsid w:val="00F212EC"/>
    <w:rsid w:val="00F266B8"/>
    <w:rsid w:val="00F439B0"/>
    <w:rsid w:val="00F52323"/>
    <w:rsid w:val="00F6639C"/>
    <w:rsid w:val="00F7574C"/>
    <w:rsid w:val="00F77BFD"/>
    <w:rsid w:val="00F91951"/>
    <w:rsid w:val="00F97371"/>
    <w:rsid w:val="00FC18B9"/>
    <w:rsid w:val="00FD71FC"/>
    <w:rsid w:val="00FE7151"/>
    <w:rsid w:val="00FF2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qFormat="1"/>
    <w:lsdException w:name="Bibliography" w:uiPriority="37"/>
    <w:lsdException w:name="TOC Heading" w:uiPriority="39" w:qFormat="1"/>
  </w:latentStyles>
  <w:style w:type="paragraph" w:default="1" w:styleId="a2">
    <w:name w:val="Normal"/>
    <w:qFormat/>
    <w:rsid w:val="00191FAC"/>
    <w:rPr>
      <w:kern w:val="20"/>
    </w:rPr>
  </w:style>
  <w:style w:type="paragraph" w:styleId="1">
    <w:name w:val="heading 1"/>
    <w:basedOn w:val="a2"/>
    <w:next w:val="a2"/>
    <w:link w:val="10"/>
    <w:qFormat/>
    <w:rsid w:val="00CA0A1A"/>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21">
    <w:name w:val="heading 2"/>
    <w:basedOn w:val="a2"/>
    <w:next w:val="a2"/>
    <w:link w:val="22"/>
    <w:unhideWhenUsed/>
    <w:qFormat/>
    <w:rsid w:val="00CA0A1A"/>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31">
    <w:name w:val="heading 3"/>
    <w:basedOn w:val="a2"/>
    <w:next w:val="a2"/>
    <w:link w:val="32"/>
    <w:unhideWhenUsed/>
    <w:qFormat/>
    <w:rsid w:val="00CA0A1A"/>
    <w:pPr>
      <w:keepNext/>
      <w:keepLines/>
      <w:spacing w:before="200" w:after="0"/>
      <w:outlineLvl w:val="2"/>
    </w:pPr>
    <w:rPr>
      <w:rFonts w:asciiTheme="majorHAnsi" w:eastAsiaTheme="majorEastAsia" w:hAnsiTheme="majorHAnsi" w:cstheme="majorBidi"/>
      <w:b/>
      <w:bCs/>
      <w:color w:val="AD0101"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a2"/>
    <w:next w:val="a2"/>
    <w:link w:val="12"/>
    <w:uiPriority w:val="1"/>
    <w:qFormat/>
    <w:pPr>
      <w:pageBreakBefore/>
      <w:spacing w:before="0" w:after="360" w:line="240" w:lineRule="auto"/>
      <w:ind w:left="-360" w:right="-360"/>
      <w:outlineLvl w:val="0"/>
    </w:pPr>
    <w:rPr>
      <w:sz w:val="36"/>
    </w:rPr>
  </w:style>
  <w:style w:type="paragraph" w:customStyle="1" w:styleId="23">
    <w:name w:val="заголовок 2"/>
    <w:basedOn w:val="a2"/>
    <w:next w:val="a2"/>
    <w:link w:val="24"/>
    <w:uiPriority w:val="1"/>
    <w:unhideWhenUsed/>
    <w:qFormat/>
    <w:pPr>
      <w:keepNext/>
      <w:keepLines/>
      <w:spacing w:before="360" w:after="60" w:line="240" w:lineRule="auto"/>
      <w:outlineLvl w:val="1"/>
    </w:pPr>
    <w:rPr>
      <w:rFonts w:asciiTheme="majorHAnsi" w:eastAsiaTheme="majorEastAsia" w:hAnsiTheme="majorHAnsi" w:cstheme="majorBidi"/>
      <w:caps/>
      <w:color w:val="810000" w:themeColor="accent1" w:themeShade="BF"/>
      <w:sz w:val="24"/>
      <w14:ligatures w14:val="standardContextual"/>
    </w:rPr>
  </w:style>
  <w:style w:type="paragraph" w:customStyle="1" w:styleId="33">
    <w:name w:val="заголовок 3"/>
    <w:basedOn w:val="a2"/>
    <w:next w:val="a2"/>
    <w:link w:val="34"/>
    <w:uiPriority w:val="1"/>
    <w:unhideWhenUsed/>
    <w:qFormat/>
    <w:pPr>
      <w:keepNext/>
      <w:keepLines/>
      <w:spacing w:before="200" w:after="0"/>
      <w:outlineLvl w:val="2"/>
    </w:pPr>
    <w:rPr>
      <w:rFonts w:asciiTheme="majorHAnsi" w:eastAsiaTheme="majorEastAsia" w:hAnsiTheme="majorHAnsi" w:cstheme="majorBidi"/>
      <w:b/>
      <w:bCs/>
      <w:color w:val="AD0101" w:themeColor="accent1"/>
      <w14:ligatures w14:val="standardContextual"/>
    </w:rPr>
  </w:style>
  <w:style w:type="paragraph" w:customStyle="1" w:styleId="41">
    <w:name w:val="заголовок 4"/>
    <w:basedOn w:val="a2"/>
    <w:next w:val="a2"/>
    <w:link w:val="42"/>
    <w:uiPriority w:val="18"/>
    <w:semiHidden/>
    <w:unhideWhenUsed/>
    <w:qFormat/>
    <w:pPr>
      <w:keepNext/>
      <w:keepLines/>
      <w:spacing w:before="200" w:after="0"/>
      <w:outlineLvl w:val="3"/>
    </w:pPr>
    <w:rPr>
      <w:rFonts w:asciiTheme="majorHAnsi" w:eastAsiaTheme="majorEastAsia" w:hAnsiTheme="majorHAnsi" w:cstheme="majorBidi"/>
      <w:b/>
      <w:bCs/>
      <w:i/>
      <w:iCs/>
      <w:color w:val="AD0101" w:themeColor="accent1"/>
    </w:rPr>
  </w:style>
  <w:style w:type="paragraph" w:customStyle="1" w:styleId="51">
    <w:name w:val="заголовок 5"/>
    <w:basedOn w:val="a2"/>
    <w:next w:val="a2"/>
    <w:link w:val="52"/>
    <w:uiPriority w:val="18"/>
    <w:semiHidden/>
    <w:unhideWhenUsed/>
    <w:qFormat/>
    <w:pPr>
      <w:keepNext/>
      <w:keepLines/>
      <w:spacing w:before="200" w:after="0"/>
      <w:outlineLvl w:val="4"/>
    </w:pPr>
    <w:rPr>
      <w:rFonts w:asciiTheme="majorHAnsi" w:eastAsiaTheme="majorEastAsia" w:hAnsiTheme="majorHAnsi" w:cstheme="majorBidi"/>
      <w:color w:val="550000" w:themeColor="accent1" w:themeShade="7F"/>
    </w:rPr>
  </w:style>
  <w:style w:type="paragraph" w:customStyle="1" w:styleId="6">
    <w:name w:val="заголовок 6"/>
    <w:basedOn w:val="a2"/>
    <w:next w:val="a2"/>
    <w:link w:val="60"/>
    <w:uiPriority w:val="18"/>
    <w:semiHidden/>
    <w:unhideWhenUsed/>
    <w:qFormat/>
    <w:pPr>
      <w:keepNext/>
      <w:keepLines/>
      <w:spacing w:before="200" w:after="0"/>
      <w:outlineLvl w:val="5"/>
    </w:pPr>
    <w:rPr>
      <w:rFonts w:asciiTheme="majorHAnsi" w:eastAsiaTheme="majorEastAsia" w:hAnsiTheme="majorHAnsi" w:cstheme="majorBidi"/>
      <w:i/>
      <w:iCs/>
      <w:color w:val="550000" w:themeColor="accent1" w:themeShade="7F"/>
    </w:rPr>
  </w:style>
  <w:style w:type="paragraph" w:customStyle="1" w:styleId="7">
    <w:name w:val="заголовок 7"/>
    <w:basedOn w:val="a2"/>
    <w:next w:val="a2"/>
    <w:link w:val="70"/>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
    <w:name w:val="заголовок 8"/>
    <w:basedOn w:val="a2"/>
    <w:next w:val="a2"/>
    <w:link w:val="80"/>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
    <w:name w:val="заголовок 9"/>
    <w:basedOn w:val="a2"/>
    <w:next w:val="a2"/>
    <w:link w:val="90"/>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Pr>
      <w:kern w:val="20"/>
    </w:rPr>
  </w:style>
  <w:style w:type="paragraph" w:customStyle="1" w:styleId="a8">
    <w:name w:val="нижний колонтитул"/>
    <w:basedOn w:val="a2"/>
    <w:link w:val="a9"/>
    <w:uiPriority w:val="99"/>
    <w:unhideWhenUsed/>
    <w:pPr>
      <w:pBdr>
        <w:top w:val="single" w:sz="4" w:space="6" w:color="FD3636" w:themeColor="accent1" w:themeTint="99"/>
        <w:left w:val="single" w:sz="2" w:space="4" w:color="FFFFFF" w:themeColor="background1"/>
      </w:pBdr>
      <w:spacing w:after="0" w:line="240" w:lineRule="auto"/>
      <w:ind w:left="-360" w:right="-360"/>
    </w:pPr>
  </w:style>
  <w:style w:type="character" w:customStyle="1" w:styleId="a9">
    <w:name w:val="Нижний колонтитул (знак)"/>
    <w:basedOn w:val="a3"/>
    <w:link w:val="a8"/>
    <w:uiPriority w:val="99"/>
    <w:rPr>
      <w:kern w:val="20"/>
    </w:rPr>
  </w:style>
  <w:style w:type="table" w:styleId="aa">
    <w:name w:val="Table Grid"/>
    <w:basedOn w:val="a4"/>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pPr>
      <w:spacing w:after="0" w:line="240" w:lineRule="auto"/>
    </w:pPr>
  </w:style>
  <w:style w:type="paragraph" w:styleId="ad">
    <w:name w:val="Balloon Text"/>
    <w:basedOn w:val="a2"/>
    <w:link w:val="ae"/>
    <w:uiPriority w:val="99"/>
    <w:semiHidden/>
    <w:unhideWhenUsed/>
    <w:pPr>
      <w:spacing w:after="0" w:line="240" w:lineRule="auto"/>
    </w:pPr>
    <w:rPr>
      <w:rFonts w:ascii="Tahoma" w:hAnsi="Tahoma" w:cs="Tahoma"/>
      <w:sz w:val="16"/>
    </w:rPr>
  </w:style>
  <w:style w:type="character" w:customStyle="1" w:styleId="ae">
    <w:name w:val="Текст выноски Знак"/>
    <w:basedOn w:val="a3"/>
    <w:link w:val="ad"/>
    <w:uiPriority w:val="99"/>
    <w:semiHidden/>
    <w:rPr>
      <w:rFonts w:ascii="Tahoma" w:hAnsi="Tahoma" w:cs="Tahoma"/>
      <w:sz w:val="16"/>
    </w:rPr>
  </w:style>
  <w:style w:type="character" w:customStyle="1" w:styleId="12">
    <w:name w:val="Заголовок 1 (знак)"/>
    <w:basedOn w:val="a3"/>
    <w:link w:val="11"/>
    <w:uiPriority w:val="1"/>
    <w:rPr>
      <w:kern w:val="20"/>
      <w:sz w:val="36"/>
    </w:rPr>
  </w:style>
  <w:style w:type="character" w:customStyle="1" w:styleId="24">
    <w:name w:val="Заголовок 2 (знак)"/>
    <w:basedOn w:val="a3"/>
    <w:link w:val="23"/>
    <w:uiPriority w:val="1"/>
    <w:rPr>
      <w:rFonts w:asciiTheme="majorHAnsi" w:eastAsiaTheme="majorEastAsia" w:hAnsiTheme="majorHAnsi" w:cstheme="majorBidi"/>
      <w:caps/>
      <w:color w:val="810000" w:themeColor="accent1" w:themeShade="BF"/>
      <w:kern w:val="20"/>
      <w:sz w:val="24"/>
      <w14:ligatures w14:val="standardContextual"/>
    </w:rPr>
  </w:style>
  <w:style w:type="character" w:styleId="af">
    <w:name w:val="Placeholder Text"/>
    <w:basedOn w:val="a3"/>
    <w:uiPriority w:val="99"/>
    <w:semiHidden/>
    <w:rPr>
      <w:color w:val="808080"/>
    </w:rPr>
  </w:style>
  <w:style w:type="paragraph" w:styleId="af0">
    <w:name w:val="Block Text"/>
    <w:basedOn w:val="a2"/>
    <w:next w:val="a2"/>
    <w:link w:val="af1"/>
    <w:uiPriority w:val="9"/>
    <w:unhideWhenUsed/>
    <w:qFormat/>
    <w:pPr>
      <w:spacing w:before="240" w:after="240"/>
      <w:ind w:left="720" w:right="720"/>
    </w:pPr>
    <w:rPr>
      <w:i/>
      <w:iCs/>
      <w:color w:val="AD0101" w:themeColor="accent1"/>
      <w:sz w:val="28"/>
    </w:rPr>
  </w:style>
  <w:style w:type="character" w:customStyle="1" w:styleId="af1">
    <w:name w:val="Цитата Знак"/>
    <w:basedOn w:val="a3"/>
    <w:link w:val="af0"/>
    <w:uiPriority w:val="9"/>
    <w:rPr>
      <w:i/>
      <w:iCs/>
      <w:color w:val="AD0101" w:themeColor="accent1"/>
      <w:kern w:val="20"/>
      <w:sz w:val="28"/>
    </w:rPr>
  </w:style>
  <w:style w:type="paragraph" w:styleId="af2">
    <w:name w:val="Bibliography"/>
    <w:basedOn w:val="a2"/>
    <w:next w:val="a2"/>
    <w:uiPriority w:val="37"/>
    <w:semiHidden/>
    <w:unhideWhenUsed/>
  </w:style>
  <w:style w:type="paragraph" w:customStyle="1" w:styleId="af3">
    <w:name w:val="Текст блока"/>
    <w:basedOn w:val="a2"/>
    <w:uiPriority w:val="99"/>
    <w:semiHidden/>
    <w:unhideWhenUsed/>
    <w:pPr>
      <w:pBdr>
        <w:top w:val="single" w:sz="2" w:space="10" w:color="AD0101" w:themeColor="accent1" w:frame="1"/>
        <w:left w:val="single" w:sz="2" w:space="10" w:color="AD0101" w:themeColor="accent1" w:frame="1"/>
        <w:bottom w:val="single" w:sz="2" w:space="10" w:color="AD0101" w:themeColor="accent1" w:frame="1"/>
        <w:right w:val="single" w:sz="2" w:space="10" w:color="AD0101" w:themeColor="accent1" w:frame="1"/>
      </w:pBdr>
      <w:ind w:left="1152" w:right="1152"/>
    </w:pPr>
    <w:rPr>
      <w:i/>
      <w:iCs/>
      <w:color w:val="AD0101" w:themeColor="accent1"/>
    </w:rPr>
  </w:style>
  <w:style w:type="paragraph" w:styleId="af4">
    <w:name w:val="Body Text"/>
    <w:basedOn w:val="a2"/>
    <w:link w:val="af5"/>
    <w:uiPriority w:val="99"/>
    <w:semiHidden/>
    <w:unhideWhenUsed/>
    <w:pPr>
      <w:spacing w:after="120"/>
    </w:pPr>
  </w:style>
  <w:style w:type="character" w:customStyle="1" w:styleId="af5">
    <w:name w:val="Основной текст Знак"/>
    <w:basedOn w:val="a3"/>
    <w:link w:val="af4"/>
    <w:uiPriority w:val="99"/>
    <w:semiHidden/>
  </w:style>
  <w:style w:type="paragraph" w:styleId="25">
    <w:name w:val="Body Text 2"/>
    <w:basedOn w:val="a2"/>
    <w:link w:val="26"/>
    <w:uiPriority w:val="99"/>
    <w:semiHidden/>
    <w:unhideWhenUsed/>
    <w:pPr>
      <w:spacing w:after="120" w:line="480" w:lineRule="auto"/>
    </w:pPr>
  </w:style>
  <w:style w:type="character" w:customStyle="1" w:styleId="26">
    <w:name w:val="Основной текст 2 Знак"/>
    <w:basedOn w:val="a3"/>
    <w:link w:val="25"/>
    <w:uiPriority w:val="99"/>
    <w:semiHidden/>
  </w:style>
  <w:style w:type="paragraph" w:styleId="35">
    <w:name w:val="Body Text 3"/>
    <w:basedOn w:val="a2"/>
    <w:link w:val="36"/>
    <w:uiPriority w:val="99"/>
    <w:semiHidden/>
    <w:unhideWhenUsed/>
    <w:pPr>
      <w:spacing w:after="120"/>
    </w:pPr>
    <w:rPr>
      <w:sz w:val="16"/>
    </w:rPr>
  </w:style>
  <w:style w:type="character" w:customStyle="1" w:styleId="36">
    <w:name w:val="Основной текст 3 Знак"/>
    <w:basedOn w:val="a3"/>
    <w:link w:val="35"/>
    <w:uiPriority w:val="99"/>
    <w:semiHidden/>
    <w:rPr>
      <w:sz w:val="16"/>
    </w:rPr>
  </w:style>
  <w:style w:type="paragraph" w:styleId="af6">
    <w:name w:val="Body Text First Indent"/>
    <w:basedOn w:val="af4"/>
    <w:link w:val="af7"/>
    <w:uiPriority w:val="99"/>
    <w:semiHidden/>
    <w:unhideWhenUsed/>
    <w:pPr>
      <w:spacing w:after="200"/>
      <w:ind w:firstLine="360"/>
    </w:pPr>
  </w:style>
  <w:style w:type="character" w:customStyle="1" w:styleId="af7">
    <w:name w:val="Красная строка Знак"/>
    <w:basedOn w:val="af5"/>
    <w:link w:val="af6"/>
    <w:uiPriority w:val="99"/>
    <w:semiHidden/>
  </w:style>
  <w:style w:type="paragraph" w:styleId="af8">
    <w:name w:val="Body Text Indent"/>
    <w:basedOn w:val="a2"/>
    <w:link w:val="af9"/>
    <w:uiPriority w:val="99"/>
    <w:semiHidden/>
    <w:unhideWhenUsed/>
    <w:pPr>
      <w:spacing w:after="120"/>
      <w:ind w:left="360"/>
    </w:pPr>
  </w:style>
  <w:style w:type="character" w:customStyle="1" w:styleId="af9">
    <w:name w:val="Основной текст с отступом Знак"/>
    <w:basedOn w:val="a3"/>
    <w:link w:val="af8"/>
    <w:uiPriority w:val="99"/>
    <w:semiHidden/>
  </w:style>
  <w:style w:type="paragraph" w:styleId="27">
    <w:name w:val="Body Text First Indent 2"/>
    <w:basedOn w:val="af8"/>
    <w:link w:val="28"/>
    <w:uiPriority w:val="99"/>
    <w:semiHidden/>
    <w:unhideWhenUsed/>
    <w:pPr>
      <w:spacing w:after="200"/>
      <w:ind w:firstLine="360"/>
    </w:pPr>
  </w:style>
  <w:style w:type="character" w:customStyle="1" w:styleId="28">
    <w:name w:val="Красная строка 2 Знак"/>
    <w:basedOn w:val="af9"/>
    <w:link w:val="27"/>
    <w:uiPriority w:val="99"/>
    <w:semiHidden/>
  </w:style>
  <w:style w:type="paragraph" w:styleId="29">
    <w:name w:val="Body Text Indent 2"/>
    <w:basedOn w:val="a2"/>
    <w:link w:val="2a"/>
    <w:uiPriority w:val="99"/>
    <w:semiHidden/>
    <w:unhideWhenUsed/>
    <w:pPr>
      <w:spacing w:after="120" w:line="480" w:lineRule="auto"/>
      <w:ind w:left="360"/>
    </w:pPr>
  </w:style>
  <w:style w:type="character" w:customStyle="1" w:styleId="2a">
    <w:name w:val="Основной текст с отступом 2 Знак"/>
    <w:basedOn w:val="a3"/>
    <w:link w:val="29"/>
    <w:uiPriority w:val="99"/>
    <w:semiHidden/>
  </w:style>
  <w:style w:type="paragraph" w:styleId="37">
    <w:name w:val="Body Text Indent 3"/>
    <w:basedOn w:val="a2"/>
    <w:link w:val="38"/>
    <w:uiPriority w:val="99"/>
    <w:semiHidden/>
    <w:unhideWhenUsed/>
    <w:pPr>
      <w:spacing w:after="120"/>
      <w:ind w:left="360"/>
    </w:pPr>
    <w:rPr>
      <w:sz w:val="16"/>
    </w:rPr>
  </w:style>
  <w:style w:type="character" w:customStyle="1" w:styleId="38">
    <w:name w:val="Основной текст с отступом 3 Знак"/>
    <w:basedOn w:val="a3"/>
    <w:link w:val="37"/>
    <w:uiPriority w:val="99"/>
    <w:semiHidden/>
    <w:rPr>
      <w:sz w:val="16"/>
    </w:rPr>
  </w:style>
  <w:style w:type="character" w:styleId="afa">
    <w:name w:val="Book Title"/>
    <w:basedOn w:val="a3"/>
    <w:uiPriority w:val="33"/>
    <w:unhideWhenUsed/>
    <w:qFormat/>
    <w:rPr>
      <w:b/>
      <w:bCs/>
      <w:smallCaps/>
      <w:spacing w:val="5"/>
    </w:rPr>
  </w:style>
  <w:style w:type="paragraph" w:customStyle="1" w:styleId="afb">
    <w:name w:val="подпись"/>
    <w:basedOn w:val="a2"/>
    <w:next w:val="a2"/>
    <w:uiPriority w:val="35"/>
    <w:semiHidden/>
    <w:unhideWhenUsed/>
    <w:qFormat/>
    <w:pPr>
      <w:spacing w:line="240" w:lineRule="auto"/>
    </w:pPr>
    <w:rPr>
      <w:b/>
      <w:bCs/>
      <w:color w:val="AD0101" w:themeColor="accent1"/>
      <w:sz w:val="18"/>
    </w:rPr>
  </w:style>
  <w:style w:type="paragraph" w:customStyle="1" w:styleId="afc">
    <w:name w:val="Заключение"/>
    <w:basedOn w:val="a2"/>
    <w:link w:val="afd"/>
    <w:uiPriority w:val="99"/>
    <w:semiHidden/>
    <w:unhideWhenUsed/>
    <w:pPr>
      <w:spacing w:after="0" w:line="240" w:lineRule="auto"/>
      <w:ind w:left="4320"/>
    </w:pPr>
  </w:style>
  <w:style w:type="character" w:customStyle="1" w:styleId="afd">
    <w:name w:val="Заключение (знак)"/>
    <w:basedOn w:val="a3"/>
    <w:link w:val="afc"/>
    <w:uiPriority w:val="99"/>
    <w:semiHidden/>
  </w:style>
  <w:style w:type="table" w:styleId="afe">
    <w:name w:val="Colorful Grid"/>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
    <w:name w:val="Цветная сетка — акцент 1"/>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BCBC" w:themeFill="accent1" w:themeFillTint="33"/>
    </w:tcPr>
    <w:tblStylePr w:type="firstRow">
      <w:rPr>
        <w:b/>
        <w:bCs/>
      </w:rPr>
      <w:tblPr/>
      <w:tcPr>
        <w:shd w:val="clear" w:color="auto" w:fill="FE7979" w:themeFill="accent1" w:themeFillTint="66"/>
      </w:tcPr>
    </w:tblStylePr>
    <w:tblStylePr w:type="lastRow">
      <w:rPr>
        <w:b/>
        <w:bCs/>
        <w:color w:val="000000" w:themeColor="text1"/>
      </w:rPr>
      <w:tblPr/>
      <w:tcPr>
        <w:shd w:val="clear" w:color="auto" w:fill="FE7979" w:themeFill="accent1" w:themeFillTint="66"/>
      </w:tcPr>
    </w:tblStylePr>
    <w:tblStylePr w:type="firstCol">
      <w:rPr>
        <w:color w:val="FFFFFF" w:themeColor="background1"/>
      </w:rPr>
      <w:tblPr/>
      <w:tcPr>
        <w:shd w:val="clear" w:color="auto" w:fill="810000" w:themeFill="accent1" w:themeFillShade="BF"/>
      </w:tcPr>
    </w:tblStylePr>
    <w:tblStylePr w:type="lastCol">
      <w:rPr>
        <w:color w:val="FFFFFF" w:themeColor="background1"/>
      </w:rPr>
      <w:tblPr/>
      <w:tcPr>
        <w:shd w:val="clear" w:color="auto" w:fill="810000" w:themeFill="accent1" w:themeFillShade="BF"/>
      </w:tcPr>
    </w:tblStylePr>
    <w:tblStylePr w:type="band1Vert">
      <w:tblPr/>
      <w:tcPr>
        <w:shd w:val="clear" w:color="auto" w:fill="FE5858" w:themeFill="accent1" w:themeFillTint="7F"/>
      </w:tcPr>
    </w:tblStylePr>
    <w:tblStylePr w:type="band1Horz">
      <w:tblPr/>
      <w:tcPr>
        <w:shd w:val="clear" w:color="auto" w:fill="FE5858" w:themeFill="accent1" w:themeFillTint="7F"/>
      </w:tcPr>
    </w:tblStylePr>
  </w:style>
  <w:style w:type="table" w:customStyle="1" w:styleId="2b">
    <w:name w:val="Цветная сетка — акцент 2"/>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DEDB" w:themeFill="accent2" w:themeFillTint="33"/>
    </w:tcPr>
    <w:tblStylePr w:type="firstRow">
      <w:rPr>
        <w:b/>
        <w:bCs/>
      </w:rPr>
      <w:tblPr/>
      <w:tcPr>
        <w:shd w:val="clear" w:color="auto" w:fill="C9BEB8" w:themeFill="accent2" w:themeFillTint="66"/>
      </w:tcPr>
    </w:tblStylePr>
    <w:tblStylePr w:type="lastRow">
      <w:rPr>
        <w:b/>
        <w:bCs/>
        <w:color w:val="000000" w:themeColor="text1"/>
      </w:rPr>
      <w:tblPr/>
      <w:tcPr>
        <w:shd w:val="clear" w:color="auto" w:fill="C9BEB8" w:themeFill="accent2" w:themeFillTint="66"/>
      </w:tcPr>
    </w:tblStylePr>
    <w:tblStylePr w:type="firstCol">
      <w:rPr>
        <w:color w:val="FFFFFF" w:themeColor="background1"/>
      </w:rPr>
      <w:tblPr/>
      <w:tcPr>
        <w:shd w:val="clear" w:color="auto" w:fill="554740" w:themeFill="accent2" w:themeFillShade="BF"/>
      </w:tcPr>
    </w:tblStylePr>
    <w:tblStylePr w:type="lastCol">
      <w:rPr>
        <w:color w:val="FFFFFF" w:themeColor="background1"/>
      </w:rPr>
      <w:tblPr/>
      <w:tcPr>
        <w:shd w:val="clear" w:color="auto" w:fill="554740" w:themeFill="accent2" w:themeFillShade="BF"/>
      </w:tc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customStyle="1" w:styleId="39">
    <w:name w:val="Цветная сетка — акцент 3"/>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customStyle="1" w:styleId="43">
    <w:name w:val="Цветная сетка — акцент 4"/>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8ED" w:themeFill="accent4" w:themeFillTint="33"/>
    </w:tcPr>
    <w:tblStylePr w:type="firstRow">
      <w:rPr>
        <w:b/>
        <w:bCs/>
      </w:rPr>
      <w:tblPr/>
      <w:tcPr>
        <w:shd w:val="clear" w:color="auto" w:fill="CCD1DC" w:themeFill="accent4" w:themeFillTint="66"/>
      </w:tcPr>
    </w:tblStylePr>
    <w:tblStylePr w:type="lastRow">
      <w:rPr>
        <w:b/>
        <w:bCs/>
        <w:color w:val="000000" w:themeColor="text1"/>
      </w:rPr>
      <w:tblPr/>
      <w:tcPr>
        <w:shd w:val="clear" w:color="auto" w:fill="CCD1DC" w:themeFill="accent4" w:themeFillTint="66"/>
      </w:tcPr>
    </w:tblStylePr>
    <w:tblStylePr w:type="firstCol">
      <w:rPr>
        <w:color w:val="FFFFFF" w:themeColor="background1"/>
      </w:rPr>
      <w:tblPr/>
      <w:tcPr>
        <w:shd w:val="clear" w:color="auto" w:fill="596784" w:themeFill="accent4" w:themeFillShade="BF"/>
      </w:tcPr>
    </w:tblStylePr>
    <w:tblStylePr w:type="lastCol">
      <w:rPr>
        <w:color w:val="FFFFFF" w:themeColor="background1"/>
      </w:rPr>
      <w:tblPr/>
      <w:tcPr>
        <w:shd w:val="clear" w:color="auto" w:fill="596784" w:themeFill="accent4" w:themeFillShade="BF"/>
      </w:tc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table" w:customStyle="1" w:styleId="53">
    <w:name w:val="Цветная сетка — акцент 5"/>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DBE1" w:themeFill="accent5" w:themeFillTint="33"/>
    </w:tcPr>
    <w:tblStylePr w:type="firstRow">
      <w:rPr>
        <w:b/>
        <w:bCs/>
      </w:rPr>
      <w:tblPr/>
      <w:tcPr>
        <w:shd w:val="clear" w:color="auto" w:fill="ADB7C3" w:themeFill="accent5" w:themeFillTint="66"/>
      </w:tcPr>
    </w:tblStylePr>
    <w:tblStylePr w:type="lastRow">
      <w:rPr>
        <w:b/>
        <w:bCs/>
        <w:color w:val="000000" w:themeColor="text1"/>
      </w:rPr>
      <w:tblPr/>
      <w:tcPr>
        <w:shd w:val="clear" w:color="auto" w:fill="ADB7C3" w:themeFill="accent5" w:themeFillTint="66"/>
      </w:tcPr>
    </w:tblStylePr>
    <w:tblStylePr w:type="firstCol">
      <w:rPr>
        <w:color w:val="FFFFFF" w:themeColor="background1"/>
      </w:rPr>
      <w:tblPr/>
      <w:tcPr>
        <w:shd w:val="clear" w:color="auto" w:fill="313A43" w:themeFill="accent5" w:themeFillShade="BF"/>
      </w:tcPr>
    </w:tblStylePr>
    <w:tblStylePr w:type="lastCol">
      <w:rPr>
        <w:color w:val="FFFFFF" w:themeColor="background1"/>
      </w:rPr>
      <w:tblPr/>
      <w:tcPr>
        <w:shd w:val="clear" w:color="auto" w:fill="313A43" w:themeFill="accent5" w:themeFillShade="BF"/>
      </w:tcPr>
    </w:tblStylePr>
    <w:tblStylePr w:type="band1Vert">
      <w:tblPr/>
      <w:tcPr>
        <w:shd w:val="clear" w:color="auto" w:fill="99A6B5" w:themeFill="accent5" w:themeFillTint="7F"/>
      </w:tcPr>
    </w:tblStylePr>
    <w:tblStylePr w:type="band1Horz">
      <w:tblPr/>
      <w:tcPr>
        <w:shd w:val="clear" w:color="auto" w:fill="99A6B5" w:themeFill="accent5" w:themeFillTint="7F"/>
      </w:tcPr>
    </w:tblStylePr>
  </w:style>
  <w:style w:type="table" w:customStyle="1" w:styleId="61">
    <w:name w:val="Цветная сетка — акцент 6"/>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9B0" w:themeFill="accent6" w:themeFillTint="33"/>
    </w:tcPr>
    <w:tblStylePr w:type="firstRow">
      <w:rPr>
        <w:b/>
        <w:bCs/>
      </w:rPr>
      <w:tblPr/>
      <w:tcPr>
        <w:shd w:val="clear" w:color="auto" w:fill="FF7461" w:themeFill="accent6" w:themeFillTint="66"/>
      </w:tcPr>
    </w:tblStylePr>
    <w:tblStylePr w:type="lastRow">
      <w:rPr>
        <w:b/>
        <w:bCs/>
        <w:color w:val="000000" w:themeColor="text1"/>
      </w:rPr>
      <w:tblPr/>
      <w:tcPr>
        <w:shd w:val="clear" w:color="auto" w:fill="FF7461" w:themeFill="accent6" w:themeFillTint="66"/>
      </w:tcPr>
    </w:tblStylePr>
    <w:tblStylePr w:type="firstCol">
      <w:rPr>
        <w:color w:val="FFFFFF" w:themeColor="background1"/>
      </w:rPr>
      <w:tblPr/>
      <w:tcPr>
        <w:shd w:val="clear" w:color="auto" w:fill="560A00" w:themeFill="accent6" w:themeFillShade="BF"/>
      </w:tcPr>
    </w:tblStylePr>
    <w:tblStylePr w:type="lastCol">
      <w:rPr>
        <w:color w:val="FFFFFF" w:themeColor="background1"/>
      </w:rPr>
      <w:tblPr/>
      <w:tcPr>
        <w:shd w:val="clear" w:color="auto" w:fill="560A00" w:themeFill="accent6" w:themeFillShade="BF"/>
      </w:tcPr>
    </w:tblStylePr>
    <w:tblStylePr w:type="band1Vert">
      <w:tblPr/>
      <w:tcPr>
        <w:shd w:val="clear" w:color="auto" w:fill="FF513A" w:themeFill="accent6" w:themeFillTint="7F"/>
      </w:tcPr>
    </w:tblStylePr>
    <w:tblStylePr w:type="band1Horz">
      <w:tblPr/>
      <w:tcPr>
        <w:shd w:val="clear" w:color="auto" w:fill="FF513A" w:themeFill="accent6" w:themeFillTint="7F"/>
      </w:tcPr>
    </w:tblStylePr>
  </w:style>
  <w:style w:type="table" w:styleId="aff">
    <w:name w:val="Colorful List"/>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4">
    <w:name w:val="Цветной список — акцент 1"/>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customStyle="1" w:styleId="2c">
    <w:name w:val="Цветной список — акцент 2"/>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EFED" w:themeFill="accent2"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7D3" w:themeFill="accent2" w:themeFillTint="3F"/>
      </w:tcPr>
    </w:tblStylePr>
    <w:tblStylePr w:type="band1Horz">
      <w:tblPr/>
      <w:tcPr>
        <w:shd w:val="clear" w:color="auto" w:fill="E4DEDB" w:themeFill="accent2" w:themeFillTint="33"/>
      </w:tcPr>
    </w:tblStylePr>
  </w:style>
  <w:style w:type="table" w:customStyle="1" w:styleId="3a">
    <w:name w:val="Цветной список — акцент 3"/>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4F0" w:themeFill="accent3" w:themeFillTint="19"/>
    </w:tcPr>
    <w:tblStylePr w:type="firstRow">
      <w:rPr>
        <w:b/>
        <w:bCs/>
        <w:color w:val="FFFFFF" w:themeColor="background1"/>
      </w:rPr>
      <w:tblPr/>
      <w:tcPr>
        <w:tcBorders>
          <w:bottom w:val="single" w:sz="12" w:space="0" w:color="FFFFFF" w:themeColor="background1"/>
        </w:tcBorders>
        <w:shd w:val="clear" w:color="auto" w:fill="606E8D" w:themeFill="accent4" w:themeFillShade="CC"/>
      </w:tcPr>
    </w:tblStylePr>
    <w:tblStylePr w:type="lastRow">
      <w:rPr>
        <w:b/>
        <w:bCs/>
        <w:color w:val="606E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4DB" w:themeFill="accent3" w:themeFillTint="3F"/>
      </w:tcPr>
    </w:tblStylePr>
    <w:tblStylePr w:type="band1Horz">
      <w:tblPr/>
      <w:tcPr>
        <w:shd w:val="clear" w:color="auto" w:fill="EEE9E1" w:themeFill="accent3" w:themeFillTint="33"/>
      </w:tcPr>
    </w:tblStylePr>
  </w:style>
  <w:style w:type="table" w:customStyle="1" w:styleId="44">
    <w:name w:val="Цветной список — акцент 4"/>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8F7852" w:themeFill="accent3" w:themeFillShade="CC"/>
      </w:tcPr>
    </w:tblStylePr>
    <w:tblStylePr w:type="lastRow">
      <w:rPr>
        <w:b/>
        <w:bCs/>
        <w:color w:val="8F78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2E9" w:themeFill="accent4" w:themeFillTint="3F"/>
      </w:tcPr>
    </w:tblStylePr>
    <w:tblStylePr w:type="band1Horz">
      <w:tblPr/>
      <w:tcPr>
        <w:shd w:val="clear" w:color="auto" w:fill="E5E8ED" w:themeFill="accent4" w:themeFillTint="33"/>
      </w:tcPr>
    </w:tblStylePr>
  </w:style>
  <w:style w:type="table" w:customStyle="1" w:styleId="54">
    <w:name w:val="Цветной список — акцент 5"/>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EDF0" w:themeFill="accent5" w:themeFillTint="19"/>
    </w:tcPr>
    <w:tblStylePr w:type="firstRow">
      <w:rPr>
        <w:b/>
        <w:bCs/>
        <w:color w:val="FFFFFF" w:themeColor="background1"/>
      </w:rPr>
      <w:tblPr/>
      <w:tcPr>
        <w:tcBorders>
          <w:bottom w:val="single" w:sz="12" w:space="0" w:color="FFFFFF" w:themeColor="background1"/>
        </w:tcBorders>
        <w:shd w:val="clear" w:color="auto" w:fill="5C0B00" w:themeFill="accent6" w:themeFillShade="CC"/>
      </w:tcPr>
    </w:tblStylePr>
    <w:tblStylePr w:type="lastRow">
      <w:rPr>
        <w:b/>
        <w:bCs/>
        <w:color w:val="5C0B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D3DA" w:themeFill="accent5" w:themeFillTint="3F"/>
      </w:tcPr>
    </w:tblStylePr>
    <w:tblStylePr w:type="band1Horz">
      <w:tblPr/>
      <w:tcPr>
        <w:shd w:val="clear" w:color="auto" w:fill="D6DBE1" w:themeFill="accent5" w:themeFillTint="33"/>
      </w:tcPr>
    </w:tblStylePr>
  </w:style>
  <w:style w:type="table" w:customStyle="1" w:styleId="62">
    <w:name w:val="Цветной список — акцент 6"/>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CD8" w:themeFill="accent6" w:themeFillTint="19"/>
    </w:tcPr>
    <w:tblStylePr w:type="firstRow">
      <w:rPr>
        <w:b/>
        <w:bCs/>
        <w:color w:val="FFFFFF" w:themeColor="background1"/>
      </w:rPr>
      <w:tblPr/>
      <w:tcPr>
        <w:tcBorders>
          <w:bottom w:val="single" w:sz="12" w:space="0" w:color="FFFFFF" w:themeColor="background1"/>
        </w:tcBorders>
        <w:shd w:val="clear" w:color="auto" w:fill="343E48" w:themeFill="accent5" w:themeFillShade="CC"/>
      </w:tcPr>
    </w:tblStylePr>
    <w:tblStylePr w:type="lastRow">
      <w:rPr>
        <w:b/>
        <w:bCs/>
        <w:color w:val="343E4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99D" w:themeFill="accent6" w:themeFillTint="3F"/>
      </w:tcPr>
    </w:tblStylePr>
    <w:tblStylePr w:type="band1Horz">
      <w:tblPr/>
      <w:tcPr>
        <w:shd w:val="clear" w:color="auto" w:fill="FFB9B0" w:themeFill="accent6" w:themeFillTint="33"/>
      </w:tcPr>
    </w:tblStylePr>
  </w:style>
  <w:style w:type="table" w:styleId="aff0">
    <w:name w:val="Colorful Shading"/>
    <w:basedOn w:val="a4"/>
    <w:uiPriority w:val="71"/>
    <w:pPr>
      <w:spacing w:after="0" w:line="240" w:lineRule="auto"/>
    </w:pPr>
    <w:rPr>
      <w:color w:val="000000" w:themeColor="text1"/>
    </w:rPr>
    <w:tblPr>
      <w:tblStyleRowBandSize w:val="1"/>
      <w:tblStyleColBandSize w:val="1"/>
      <w:tblInd w:w="0" w:type="dxa"/>
      <w:tblBorders>
        <w:top w:val="single" w:sz="24" w:space="0" w:color="7260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5">
    <w:name w:val="Цветная заливка — акцент 1"/>
    <w:basedOn w:val="a4"/>
    <w:uiPriority w:val="71"/>
    <w:pPr>
      <w:spacing w:after="0" w:line="240" w:lineRule="auto"/>
    </w:pPr>
    <w:rPr>
      <w:color w:val="000000" w:themeColor="text1"/>
    </w:rPr>
    <w:tblPr>
      <w:tblStyleRowBandSize w:val="1"/>
      <w:tblStyleColBandSize w:val="1"/>
      <w:tblInd w:w="0" w:type="dxa"/>
      <w:tblBorders>
        <w:top w:val="single" w:sz="24" w:space="0" w:color="726056" w:themeColor="accent2"/>
        <w:left w:val="single" w:sz="4" w:space="0" w:color="AD0101" w:themeColor="accent1"/>
        <w:bottom w:val="single" w:sz="4" w:space="0" w:color="AD0101" w:themeColor="accent1"/>
        <w:right w:val="single" w:sz="4" w:space="0" w:color="AD0101"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DEDE" w:themeFill="accent1"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0000" w:themeFill="accent1" w:themeFillShade="99"/>
      </w:tcPr>
    </w:tblStylePr>
    <w:tblStylePr w:type="firstCol">
      <w:rPr>
        <w:color w:val="FFFFFF" w:themeColor="background1"/>
      </w:rPr>
      <w:tblPr/>
      <w:tcPr>
        <w:tcBorders>
          <w:top w:val="nil"/>
          <w:left w:val="nil"/>
          <w:bottom w:val="nil"/>
          <w:right w:val="nil"/>
          <w:insideH w:val="single" w:sz="4" w:space="0" w:color="670000" w:themeColor="accent1" w:themeShade="99"/>
          <w:insideV w:val="nil"/>
        </w:tcBorders>
        <w:shd w:val="clear" w:color="auto" w:fill="67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70000" w:themeFill="accent1" w:themeFillShade="99"/>
      </w:tcPr>
    </w:tblStylePr>
    <w:tblStylePr w:type="band1Vert">
      <w:tblPr/>
      <w:tcPr>
        <w:shd w:val="clear" w:color="auto" w:fill="FE7979" w:themeFill="accent1" w:themeFillTint="66"/>
      </w:tcPr>
    </w:tblStylePr>
    <w:tblStylePr w:type="band1Horz">
      <w:tblPr/>
      <w:tcPr>
        <w:shd w:val="clear" w:color="auto" w:fill="FE5858" w:themeFill="accent1" w:themeFillTint="7F"/>
      </w:tcPr>
    </w:tblStylePr>
    <w:tblStylePr w:type="neCell">
      <w:rPr>
        <w:color w:val="000000" w:themeColor="text1"/>
      </w:rPr>
    </w:tblStylePr>
    <w:tblStylePr w:type="nwCell">
      <w:rPr>
        <w:color w:val="000000" w:themeColor="text1"/>
      </w:rPr>
    </w:tblStylePr>
  </w:style>
  <w:style w:type="table" w:customStyle="1" w:styleId="2d">
    <w:name w:val="Цветная заливка — акцент 2"/>
    <w:basedOn w:val="a4"/>
    <w:uiPriority w:val="71"/>
    <w:pPr>
      <w:spacing w:after="0" w:line="240" w:lineRule="auto"/>
    </w:pPr>
    <w:rPr>
      <w:color w:val="000000" w:themeColor="text1"/>
    </w:rPr>
    <w:tblPr>
      <w:tblStyleRowBandSize w:val="1"/>
      <w:tblStyleColBandSize w:val="1"/>
      <w:tblInd w:w="0" w:type="dxa"/>
      <w:tblBorders>
        <w:top w:val="single" w:sz="24" w:space="0" w:color="726056" w:themeColor="accent2"/>
        <w:left w:val="single" w:sz="4" w:space="0" w:color="726056" w:themeColor="accent2"/>
        <w:bottom w:val="single" w:sz="4" w:space="0" w:color="726056" w:themeColor="accent2"/>
        <w:right w:val="single" w:sz="4" w:space="0" w:color="72605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EFED" w:themeFill="accent2"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3933" w:themeFill="accent2" w:themeFillShade="99"/>
      </w:tcPr>
    </w:tblStylePr>
    <w:tblStylePr w:type="firstCol">
      <w:rPr>
        <w:color w:val="FFFFFF" w:themeColor="background1"/>
      </w:rPr>
      <w:tblPr/>
      <w:tcPr>
        <w:tcBorders>
          <w:top w:val="nil"/>
          <w:left w:val="nil"/>
          <w:bottom w:val="nil"/>
          <w:right w:val="nil"/>
          <w:insideH w:val="single" w:sz="4" w:space="0" w:color="443933" w:themeColor="accent2" w:themeShade="99"/>
          <w:insideV w:val="nil"/>
        </w:tcBorders>
        <w:shd w:val="clear" w:color="auto" w:fill="4439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43933" w:themeFill="accent2" w:themeFillShade="99"/>
      </w:tcPr>
    </w:tblStylePr>
    <w:tblStylePr w:type="band1Vert">
      <w:tblPr/>
      <w:tcPr>
        <w:shd w:val="clear" w:color="auto" w:fill="C9BEB8" w:themeFill="accent2" w:themeFillTint="66"/>
      </w:tcPr>
    </w:tblStylePr>
    <w:tblStylePr w:type="band1Horz">
      <w:tblPr/>
      <w:tcPr>
        <w:shd w:val="clear" w:color="auto" w:fill="BCAEA6"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pPr>
      <w:spacing w:after="0" w:line="240" w:lineRule="auto"/>
    </w:pPr>
    <w:rPr>
      <w:color w:val="000000" w:themeColor="text1"/>
    </w:rPr>
    <w:tblPr>
      <w:tblStyleRowBandSize w:val="1"/>
      <w:tblStyleColBandSize w:val="1"/>
      <w:tblInd w:w="0" w:type="dxa"/>
      <w:tblBorders>
        <w:top w:val="single" w:sz="24" w:space="0" w:color="808DA9" w:themeColor="accent4"/>
        <w:left w:val="single" w:sz="4" w:space="0" w:color="AC956E" w:themeColor="accent3"/>
        <w:bottom w:val="single" w:sz="4" w:space="0" w:color="AC956E" w:themeColor="accent3"/>
        <w:right w:val="single" w:sz="4" w:space="0" w:color="AC956E"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4F0" w:themeFill="accent3" w:themeFillTint="19"/>
    </w:tcPr>
    <w:tblStylePr w:type="firstRow">
      <w:rPr>
        <w:b/>
        <w:bCs/>
      </w:rPr>
      <w:tblPr/>
      <w:tcPr>
        <w:tcBorders>
          <w:top w:val="nil"/>
          <w:left w:val="nil"/>
          <w:bottom w:val="single" w:sz="24" w:space="0" w:color="808D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5A3D" w:themeFill="accent3" w:themeFillShade="99"/>
      </w:tcPr>
    </w:tblStylePr>
    <w:tblStylePr w:type="firstCol">
      <w:rPr>
        <w:color w:val="FFFFFF" w:themeColor="background1"/>
      </w:rPr>
      <w:tblPr/>
      <w:tcPr>
        <w:tcBorders>
          <w:top w:val="nil"/>
          <w:left w:val="nil"/>
          <w:bottom w:val="nil"/>
          <w:right w:val="nil"/>
          <w:insideH w:val="single" w:sz="4" w:space="0" w:color="6B5A3D" w:themeColor="accent3" w:themeShade="99"/>
          <w:insideV w:val="nil"/>
        </w:tcBorders>
        <w:shd w:val="clear" w:color="auto" w:fill="6B5A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B5A3D" w:themeFill="accent3" w:themeFillShade="99"/>
      </w:tcPr>
    </w:tblStylePr>
    <w:tblStylePr w:type="band1Vert">
      <w:tblPr/>
      <w:tcPr>
        <w:shd w:val="clear" w:color="auto" w:fill="DDD4C4" w:themeFill="accent3" w:themeFillTint="66"/>
      </w:tcPr>
    </w:tblStylePr>
    <w:tblStylePr w:type="band1Horz">
      <w:tblPr/>
      <w:tcPr>
        <w:shd w:val="clear" w:color="auto" w:fill="D5CAB6" w:themeFill="accent3" w:themeFillTint="7F"/>
      </w:tcPr>
    </w:tblStylePr>
  </w:style>
  <w:style w:type="table" w:customStyle="1" w:styleId="45">
    <w:name w:val="Цветная заливка — акцент 4"/>
    <w:basedOn w:val="a4"/>
    <w:uiPriority w:val="71"/>
    <w:pPr>
      <w:spacing w:after="0" w:line="240" w:lineRule="auto"/>
    </w:pPr>
    <w:rPr>
      <w:color w:val="000000" w:themeColor="text1"/>
    </w:rPr>
    <w:tblPr>
      <w:tblStyleRowBandSize w:val="1"/>
      <w:tblStyleColBandSize w:val="1"/>
      <w:tblInd w:w="0" w:type="dxa"/>
      <w:tblBorders>
        <w:top w:val="single" w:sz="24" w:space="0" w:color="AC956E" w:themeColor="accent3"/>
        <w:left w:val="single" w:sz="4" w:space="0" w:color="808DA9" w:themeColor="accent4"/>
        <w:bottom w:val="single" w:sz="4" w:space="0" w:color="808DA9" w:themeColor="accent4"/>
        <w:right w:val="single" w:sz="4" w:space="0" w:color="808DA9"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3F6" w:themeFill="accent4" w:themeFillTint="19"/>
    </w:tcPr>
    <w:tblStylePr w:type="firstRow">
      <w:rPr>
        <w:b/>
        <w:bCs/>
      </w:rPr>
      <w:tblPr/>
      <w:tcPr>
        <w:tcBorders>
          <w:top w:val="nil"/>
          <w:left w:val="nil"/>
          <w:bottom w:val="single" w:sz="24" w:space="0" w:color="AC95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26A" w:themeFill="accent4" w:themeFillShade="99"/>
      </w:tcPr>
    </w:tblStylePr>
    <w:tblStylePr w:type="firstCol">
      <w:rPr>
        <w:color w:val="FFFFFF" w:themeColor="background1"/>
      </w:rPr>
      <w:tblPr/>
      <w:tcPr>
        <w:tcBorders>
          <w:top w:val="nil"/>
          <w:left w:val="nil"/>
          <w:bottom w:val="nil"/>
          <w:right w:val="nil"/>
          <w:insideH w:val="single" w:sz="4" w:space="0" w:color="48526A" w:themeColor="accent4" w:themeShade="99"/>
          <w:insideV w:val="nil"/>
        </w:tcBorders>
        <w:shd w:val="clear" w:color="auto" w:fill="4852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26A" w:themeFill="accent4" w:themeFillShade="99"/>
      </w:tcPr>
    </w:tblStylePr>
    <w:tblStylePr w:type="band1Vert">
      <w:tblPr/>
      <w:tcPr>
        <w:shd w:val="clear" w:color="auto" w:fill="CCD1DC" w:themeFill="accent4" w:themeFillTint="66"/>
      </w:tcPr>
    </w:tblStylePr>
    <w:tblStylePr w:type="band1Horz">
      <w:tblPr/>
      <w:tcPr>
        <w:shd w:val="clear" w:color="auto" w:fill="BFC5D4" w:themeFill="accent4"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
    <w:basedOn w:val="a4"/>
    <w:uiPriority w:val="71"/>
    <w:pPr>
      <w:spacing w:after="0" w:line="240" w:lineRule="auto"/>
    </w:pPr>
    <w:rPr>
      <w:color w:val="000000" w:themeColor="text1"/>
    </w:rPr>
    <w:tblPr>
      <w:tblStyleRowBandSize w:val="1"/>
      <w:tblStyleColBandSize w:val="1"/>
      <w:tblInd w:w="0" w:type="dxa"/>
      <w:tblBorders>
        <w:top w:val="single" w:sz="24" w:space="0" w:color="730E00" w:themeColor="accent6"/>
        <w:left w:val="single" w:sz="4" w:space="0" w:color="424E5B" w:themeColor="accent5"/>
        <w:bottom w:val="single" w:sz="4" w:space="0" w:color="424E5B" w:themeColor="accent5"/>
        <w:right w:val="single" w:sz="4" w:space="0" w:color="424E5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DF0" w:themeFill="accent5" w:themeFillTint="19"/>
    </w:tcPr>
    <w:tblStylePr w:type="firstRow">
      <w:rPr>
        <w:b/>
        <w:bCs/>
      </w:rPr>
      <w:tblPr/>
      <w:tcPr>
        <w:tcBorders>
          <w:top w:val="nil"/>
          <w:left w:val="nil"/>
          <w:bottom w:val="single" w:sz="24" w:space="0" w:color="730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2E36" w:themeFill="accent5" w:themeFillShade="99"/>
      </w:tcPr>
    </w:tblStylePr>
    <w:tblStylePr w:type="firstCol">
      <w:rPr>
        <w:color w:val="FFFFFF" w:themeColor="background1"/>
      </w:rPr>
      <w:tblPr/>
      <w:tcPr>
        <w:tcBorders>
          <w:top w:val="nil"/>
          <w:left w:val="nil"/>
          <w:bottom w:val="nil"/>
          <w:right w:val="nil"/>
          <w:insideH w:val="single" w:sz="4" w:space="0" w:color="272E36" w:themeColor="accent5" w:themeShade="99"/>
          <w:insideV w:val="nil"/>
        </w:tcBorders>
        <w:shd w:val="clear" w:color="auto" w:fill="272E3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2E36" w:themeFill="accent5" w:themeFillShade="99"/>
      </w:tcPr>
    </w:tblStylePr>
    <w:tblStylePr w:type="band1Vert">
      <w:tblPr/>
      <w:tcPr>
        <w:shd w:val="clear" w:color="auto" w:fill="ADB7C3" w:themeFill="accent5" w:themeFillTint="66"/>
      </w:tcPr>
    </w:tblStylePr>
    <w:tblStylePr w:type="band1Horz">
      <w:tblPr/>
      <w:tcPr>
        <w:shd w:val="clear" w:color="auto" w:fill="99A6B5" w:themeFill="accent5" w:themeFillTint="7F"/>
      </w:tcPr>
    </w:tblStylePr>
    <w:tblStylePr w:type="neCell">
      <w:rPr>
        <w:color w:val="000000" w:themeColor="text1"/>
      </w:rPr>
    </w:tblStylePr>
    <w:tblStylePr w:type="nwCell">
      <w:rPr>
        <w:color w:val="000000" w:themeColor="text1"/>
      </w:rPr>
    </w:tblStylePr>
  </w:style>
  <w:style w:type="table" w:customStyle="1" w:styleId="63">
    <w:name w:val="Цветная заливка — акцент 6"/>
    <w:basedOn w:val="a4"/>
    <w:uiPriority w:val="71"/>
    <w:pPr>
      <w:spacing w:after="0" w:line="240" w:lineRule="auto"/>
    </w:pPr>
    <w:rPr>
      <w:color w:val="000000" w:themeColor="text1"/>
    </w:rPr>
    <w:tblPr>
      <w:tblStyleRowBandSize w:val="1"/>
      <w:tblStyleColBandSize w:val="1"/>
      <w:tblInd w:w="0" w:type="dxa"/>
      <w:tblBorders>
        <w:top w:val="single" w:sz="24" w:space="0" w:color="424E5B" w:themeColor="accent5"/>
        <w:left w:val="single" w:sz="4" w:space="0" w:color="730E00" w:themeColor="accent6"/>
        <w:bottom w:val="single" w:sz="4" w:space="0" w:color="730E00" w:themeColor="accent6"/>
        <w:right w:val="single" w:sz="4" w:space="0" w:color="730E0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CD8" w:themeFill="accent6" w:themeFillTint="19"/>
    </w:tcPr>
    <w:tblStylePr w:type="firstRow">
      <w:rPr>
        <w:b/>
        <w:bCs/>
      </w:rPr>
      <w:tblPr/>
      <w:tcPr>
        <w:tcBorders>
          <w:top w:val="nil"/>
          <w:left w:val="nil"/>
          <w:bottom w:val="single" w:sz="24" w:space="0" w:color="424E5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0800" w:themeFill="accent6" w:themeFillShade="99"/>
      </w:tcPr>
    </w:tblStylePr>
    <w:tblStylePr w:type="firstCol">
      <w:rPr>
        <w:color w:val="FFFFFF" w:themeColor="background1"/>
      </w:rPr>
      <w:tblPr/>
      <w:tcPr>
        <w:tcBorders>
          <w:top w:val="nil"/>
          <w:left w:val="nil"/>
          <w:bottom w:val="nil"/>
          <w:right w:val="nil"/>
          <w:insideH w:val="single" w:sz="4" w:space="0" w:color="450800" w:themeColor="accent6" w:themeShade="99"/>
          <w:insideV w:val="nil"/>
        </w:tcBorders>
        <w:shd w:val="clear" w:color="auto" w:fill="4508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50800" w:themeFill="accent6" w:themeFillShade="99"/>
      </w:tcPr>
    </w:tblStylePr>
    <w:tblStylePr w:type="band1Vert">
      <w:tblPr/>
      <w:tcPr>
        <w:shd w:val="clear" w:color="auto" w:fill="FF7461" w:themeFill="accent6" w:themeFillTint="66"/>
      </w:tcPr>
    </w:tblStylePr>
    <w:tblStylePr w:type="band1Horz">
      <w:tblPr/>
      <w:tcPr>
        <w:shd w:val="clear" w:color="auto" w:fill="FF513A" w:themeFill="accent6" w:themeFillTint="7F"/>
      </w:tcPr>
    </w:tblStylePr>
    <w:tblStylePr w:type="neCell">
      <w:rPr>
        <w:color w:val="000000" w:themeColor="text1"/>
      </w:rPr>
    </w:tblStylePr>
    <w:tblStylePr w:type="nwCell">
      <w:rPr>
        <w:color w:val="000000" w:themeColor="text1"/>
      </w:rPr>
    </w:tblStylePr>
  </w:style>
  <w:style w:type="character" w:customStyle="1" w:styleId="aff1">
    <w:name w:val="ссылка на заметку"/>
    <w:basedOn w:val="a3"/>
    <w:uiPriority w:val="99"/>
    <w:semiHidden/>
    <w:unhideWhenUsed/>
    <w:rPr>
      <w:sz w:val="16"/>
    </w:rPr>
  </w:style>
  <w:style w:type="paragraph" w:customStyle="1" w:styleId="aff2">
    <w:name w:val="текст заметки"/>
    <w:basedOn w:val="a2"/>
    <w:link w:val="aff3"/>
    <w:uiPriority w:val="99"/>
    <w:semiHidden/>
    <w:unhideWhenUsed/>
    <w:pPr>
      <w:spacing w:line="240" w:lineRule="auto"/>
    </w:pPr>
  </w:style>
  <w:style w:type="character" w:customStyle="1" w:styleId="aff3">
    <w:name w:val="Текст примечания (знак)"/>
    <w:basedOn w:val="a3"/>
    <w:link w:val="aff2"/>
    <w:uiPriority w:val="99"/>
    <w:semiHidden/>
    <w:rPr>
      <w:sz w:val="20"/>
    </w:rPr>
  </w:style>
  <w:style w:type="paragraph" w:customStyle="1" w:styleId="aff4">
    <w:name w:val="тема заметки"/>
    <w:basedOn w:val="aff2"/>
    <w:next w:val="aff2"/>
    <w:link w:val="aff5"/>
    <w:uiPriority w:val="99"/>
    <w:semiHidden/>
    <w:unhideWhenUsed/>
    <w:rPr>
      <w:b/>
      <w:bCs/>
    </w:rPr>
  </w:style>
  <w:style w:type="character" w:customStyle="1" w:styleId="aff5">
    <w:name w:val="Тема примечания (знак)"/>
    <w:basedOn w:val="aff3"/>
    <w:link w:val="aff4"/>
    <w:uiPriority w:val="99"/>
    <w:semiHidden/>
    <w:rPr>
      <w:b/>
      <w:bCs/>
      <w:sz w:val="20"/>
    </w:rPr>
  </w:style>
  <w:style w:type="table" w:styleId="aff6">
    <w:name w:val="Dark List"/>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6">
    <w:name w:val="Темный список — акцент 1"/>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D010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1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10000" w:themeFill="accent1" w:themeFillShade="BF"/>
      </w:tcPr>
    </w:tblStylePr>
    <w:tblStylePr w:type="band1Vert">
      <w:tblPr/>
      <w:tcPr>
        <w:tcBorders>
          <w:top w:val="nil"/>
          <w:left w:val="nil"/>
          <w:bottom w:val="nil"/>
          <w:right w:val="nil"/>
          <w:insideH w:val="nil"/>
          <w:insideV w:val="nil"/>
        </w:tcBorders>
        <w:shd w:val="clear" w:color="auto" w:fill="810000" w:themeFill="accent1" w:themeFillShade="BF"/>
      </w:tcPr>
    </w:tblStylePr>
    <w:tblStylePr w:type="band1Horz">
      <w:tblPr/>
      <w:tcPr>
        <w:tcBorders>
          <w:top w:val="nil"/>
          <w:left w:val="nil"/>
          <w:bottom w:val="nil"/>
          <w:right w:val="nil"/>
          <w:insideH w:val="nil"/>
          <w:insideV w:val="nil"/>
        </w:tcBorders>
        <w:shd w:val="clear" w:color="auto" w:fill="810000" w:themeFill="accent1" w:themeFillShade="BF"/>
      </w:tcPr>
    </w:tblStylePr>
  </w:style>
  <w:style w:type="table" w:customStyle="1" w:styleId="2e">
    <w:name w:val="Темный список — акцент 2"/>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260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2F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547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54740" w:themeFill="accent2" w:themeFillShade="BF"/>
      </w:tcPr>
    </w:tblStylePr>
    <w:tblStylePr w:type="band1Vert">
      <w:tblPr/>
      <w:tcPr>
        <w:tcBorders>
          <w:top w:val="nil"/>
          <w:left w:val="nil"/>
          <w:bottom w:val="nil"/>
          <w:right w:val="nil"/>
          <w:insideH w:val="nil"/>
          <w:insideV w:val="nil"/>
        </w:tcBorders>
        <w:shd w:val="clear" w:color="auto" w:fill="554740" w:themeFill="accent2" w:themeFillShade="BF"/>
      </w:tcPr>
    </w:tblStylePr>
    <w:tblStylePr w:type="band1Horz">
      <w:tblPr/>
      <w:tcPr>
        <w:tcBorders>
          <w:top w:val="nil"/>
          <w:left w:val="nil"/>
          <w:bottom w:val="nil"/>
          <w:right w:val="nil"/>
          <w:insideH w:val="nil"/>
          <w:insideV w:val="nil"/>
        </w:tcBorders>
        <w:shd w:val="clear" w:color="auto" w:fill="554740" w:themeFill="accent2" w:themeFillShade="BF"/>
      </w:tcPr>
    </w:tblStylePr>
  </w:style>
  <w:style w:type="table" w:customStyle="1" w:styleId="3c">
    <w:name w:val="Темный список — акцент 3"/>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C95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4B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670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6704C" w:themeFill="accent3" w:themeFillShade="BF"/>
      </w:tcPr>
    </w:tblStylePr>
    <w:tblStylePr w:type="band1Vert">
      <w:tblPr/>
      <w:tcPr>
        <w:tcBorders>
          <w:top w:val="nil"/>
          <w:left w:val="nil"/>
          <w:bottom w:val="nil"/>
          <w:right w:val="nil"/>
          <w:insideH w:val="nil"/>
          <w:insideV w:val="nil"/>
        </w:tcBorders>
        <w:shd w:val="clear" w:color="auto" w:fill="86704C" w:themeFill="accent3" w:themeFillShade="BF"/>
      </w:tcPr>
    </w:tblStylePr>
    <w:tblStylePr w:type="band1Horz">
      <w:tblPr/>
      <w:tcPr>
        <w:tcBorders>
          <w:top w:val="nil"/>
          <w:left w:val="nil"/>
          <w:bottom w:val="nil"/>
          <w:right w:val="nil"/>
          <w:insideH w:val="nil"/>
          <w:insideV w:val="nil"/>
        </w:tcBorders>
        <w:shd w:val="clear" w:color="auto" w:fill="86704C" w:themeFill="accent3" w:themeFillShade="BF"/>
      </w:tcPr>
    </w:tblStylePr>
  </w:style>
  <w:style w:type="table" w:customStyle="1" w:styleId="46">
    <w:name w:val="Темный список — акцент 4"/>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D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4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7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784" w:themeFill="accent4" w:themeFillShade="BF"/>
      </w:tcPr>
    </w:tblStylePr>
    <w:tblStylePr w:type="band1Vert">
      <w:tblPr/>
      <w:tcPr>
        <w:tcBorders>
          <w:top w:val="nil"/>
          <w:left w:val="nil"/>
          <w:bottom w:val="nil"/>
          <w:right w:val="nil"/>
          <w:insideH w:val="nil"/>
          <w:insideV w:val="nil"/>
        </w:tcBorders>
        <w:shd w:val="clear" w:color="auto" w:fill="596784" w:themeFill="accent4" w:themeFillShade="BF"/>
      </w:tcPr>
    </w:tblStylePr>
    <w:tblStylePr w:type="band1Horz">
      <w:tblPr/>
      <w:tcPr>
        <w:tcBorders>
          <w:top w:val="nil"/>
          <w:left w:val="nil"/>
          <w:bottom w:val="nil"/>
          <w:right w:val="nil"/>
          <w:insideH w:val="nil"/>
          <w:insideV w:val="nil"/>
        </w:tcBorders>
        <w:shd w:val="clear" w:color="auto" w:fill="596784" w:themeFill="accent4" w:themeFillShade="BF"/>
      </w:tcPr>
    </w:tblStylePr>
  </w:style>
  <w:style w:type="table" w:customStyle="1" w:styleId="56">
    <w:name w:val="Темный список — акцент 5"/>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24E5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62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3A4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3A43" w:themeFill="accent5" w:themeFillShade="BF"/>
      </w:tcPr>
    </w:tblStylePr>
    <w:tblStylePr w:type="band1Vert">
      <w:tblPr/>
      <w:tcPr>
        <w:tcBorders>
          <w:top w:val="nil"/>
          <w:left w:val="nil"/>
          <w:bottom w:val="nil"/>
          <w:right w:val="nil"/>
          <w:insideH w:val="nil"/>
          <w:insideV w:val="nil"/>
        </w:tcBorders>
        <w:shd w:val="clear" w:color="auto" w:fill="313A43" w:themeFill="accent5" w:themeFillShade="BF"/>
      </w:tcPr>
    </w:tblStylePr>
    <w:tblStylePr w:type="band1Horz">
      <w:tblPr/>
      <w:tcPr>
        <w:tcBorders>
          <w:top w:val="nil"/>
          <w:left w:val="nil"/>
          <w:bottom w:val="nil"/>
          <w:right w:val="nil"/>
          <w:insideH w:val="nil"/>
          <w:insideV w:val="nil"/>
        </w:tcBorders>
        <w:shd w:val="clear" w:color="auto" w:fill="313A43" w:themeFill="accent5" w:themeFillShade="BF"/>
      </w:tcPr>
    </w:tblStylePr>
  </w:style>
  <w:style w:type="table" w:customStyle="1" w:styleId="64">
    <w:name w:val="Темный список — акцент 6"/>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0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60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60A00" w:themeFill="accent6" w:themeFillShade="BF"/>
      </w:tcPr>
    </w:tblStylePr>
    <w:tblStylePr w:type="band1Vert">
      <w:tblPr/>
      <w:tcPr>
        <w:tcBorders>
          <w:top w:val="nil"/>
          <w:left w:val="nil"/>
          <w:bottom w:val="nil"/>
          <w:right w:val="nil"/>
          <w:insideH w:val="nil"/>
          <w:insideV w:val="nil"/>
        </w:tcBorders>
        <w:shd w:val="clear" w:color="auto" w:fill="560A00" w:themeFill="accent6" w:themeFillShade="BF"/>
      </w:tcPr>
    </w:tblStylePr>
    <w:tblStylePr w:type="band1Horz">
      <w:tblPr/>
      <w:tcPr>
        <w:tcBorders>
          <w:top w:val="nil"/>
          <w:left w:val="nil"/>
          <w:bottom w:val="nil"/>
          <w:right w:val="nil"/>
          <w:insideH w:val="nil"/>
          <w:insideV w:val="nil"/>
        </w:tcBorders>
        <w:shd w:val="clear" w:color="auto" w:fill="560A00" w:themeFill="accent6" w:themeFillShade="BF"/>
      </w:tcPr>
    </w:tblStylePr>
  </w:style>
  <w:style w:type="paragraph" w:styleId="aff7">
    <w:name w:val="Date"/>
    <w:basedOn w:val="a2"/>
    <w:next w:val="a2"/>
    <w:link w:val="aff8"/>
    <w:uiPriority w:val="99"/>
    <w:semiHidden/>
    <w:unhideWhenUsed/>
  </w:style>
  <w:style w:type="character" w:customStyle="1" w:styleId="aff8">
    <w:name w:val="Дата Знак"/>
    <w:basedOn w:val="a3"/>
    <w:link w:val="aff7"/>
    <w:uiPriority w:val="99"/>
    <w:semiHidden/>
  </w:style>
  <w:style w:type="paragraph" w:styleId="aff9">
    <w:name w:val="Document Map"/>
    <w:basedOn w:val="a2"/>
    <w:link w:val="affa"/>
    <w:uiPriority w:val="99"/>
    <w:semiHidden/>
    <w:unhideWhenUsed/>
    <w:pPr>
      <w:spacing w:after="0" w:line="240" w:lineRule="auto"/>
    </w:pPr>
    <w:rPr>
      <w:rFonts w:ascii="Tahoma" w:hAnsi="Tahoma" w:cs="Tahoma"/>
      <w:sz w:val="16"/>
    </w:rPr>
  </w:style>
  <w:style w:type="character" w:customStyle="1" w:styleId="affa">
    <w:name w:val="Схема документа Знак"/>
    <w:basedOn w:val="a3"/>
    <w:link w:val="aff9"/>
    <w:uiPriority w:val="99"/>
    <w:semiHidden/>
    <w:rPr>
      <w:rFonts w:ascii="Tahoma" w:hAnsi="Tahoma" w:cs="Tahoma"/>
      <w:sz w:val="16"/>
    </w:rPr>
  </w:style>
  <w:style w:type="paragraph" w:styleId="affb">
    <w:name w:val="Signature"/>
    <w:basedOn w:val="a2"/>
    <w:link w:val="affc"/>
    <w:uiPriority w:val="9"/>
    <w:unhideWhenUsed/>
    <w:qFormat/>
    <w:pPr>
      <w:spacing w:before="720" w:after="0" w:line="312" w:lineRule="auto"/>
      <w:contextualSpacing/>
    </w:pPr>
  </w:style>
  <w:style w:type="character" w:customStyle="1" w:styleId="affd">
    <w:name w:val="Подпись (знак)"/>
    <w:basedOn w:val="a3"/>
    <w:uiPriority w:val="99"/>
    <w:semiHidden/>
  </w:style>
  <w:style w:type="character" w:styleId="affe">
    <w:name w:val="Emphasis"/>
    <w:basedOn w:val="a3"/>
    <w:uiPriority w:val="20"/>
    <w:semiHidden/>
    <w:unhideWhenUsed/>
    <w:rPr>
      <w:i/>
      <w:iCs/>
    </w:rPr>
  </w:style>
  <w:style w:type="character" w:customStyle="1" w:styleId="afff">
    <w:name w:val="знак концевой сноски"/>
    <w:basedOn w:val="a3"/>
    <w:uiPriority w:val="99"/>
    <w:semiHidden/>
    <w:unhideWhenUsed/>
    <w:rPr>
      <w:vertAlign w:val="superscript"/>
    </w:rPr>
  </w:style>
  <w:style w:type="paragraph" w:customStyle="1" w:styleId="afff0">
    <w:name w:val="текст концевой сноски"/>
    <w:basedOn w:val="a2"/>
    <w:link w:val="afff1"/>
    <w:uiPriority w:val="99"/>
    <w:semiHidden/>
    <w:unhideWhenUsed/>
    <w:pPr>
      <w:spacing w:after="0" w:line="240" w:lineRule="auto"/>
    </w:pPr>
  </w:style>
  <w:style w:type="character" w:customStyle="1" w:styleId="afff1">
    <w:name w:val="Текст концевой сноски (знак)"/>
    <w:basedOn w:val="a3"/>
    <w:link w:val="afff0"/>
    <w:uiPriority w:val="99"/>
    <w:semiHidden/>
    <w:rPr>
      <w:sz w:val="20"/>
    </w:rPr>
  </w:style>
  <w:style w:type="paragraph" w:customStyle="1" w:styleId="afff2">
    <w:name w:val="адрес на конверте"/>
    <w:basedOn w:val="a2"/>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f3">
    <w:name w:val="обратный адрес на конверте"/>
    <w:basedOn w:val="a2"/>
    <w:uiPriority w:val="99"/>
    <w:semiHidden/>
    <w:unhideWhenUsed/>
    <w:pPr>
      <w:spacing w:after="0" w:line="240" w:lineRule="auto"/>
    </w:pPr>
    <w:rPr>
      <w:rFonts w:asciiTheme="majorHAnsi" w:eastAsiaTheme="majorEastAsia" w:hAnsiTheme="majorHAnsi" w:cstheme="majorBidi"/>
    </w:rPr>
  </w:style>
  <w:style w:type="character" w:styleId="afff4">
    <w:name w:val="FollowedHyperlink"/>
    <w:basedOn w:val="a3"/>
    <w:uiPriority w:val="99"/>
    <w:semiHidden/>
    <w:unhideWhenUsed/>
    <w:rPr>
      <w:color w:val="D89243" w:themeColor="followedHyperlink"/>
      <w:u w:val="single"/>
    </w:rPr>
  </w:style>
  <w:style w:type="character" w:customStyle="1" w:styleId="afff5">
    <w:name w:val="знак сноски"/>
    <w:basedOn w:val="a3"/>
    <w:uiPriority w:val="99"/>
    <w:semiHidden/>
    <w:unhideWhenUsed/>
    <w:rPr>
      <w:vertAlign w:val="superscript"/>
    </w:rPr>
  </w:style>
  <w:style w:type="paragraph" w:customStyle="1" w:styleId="afff6">
    <w:name w:val="текст сноски"/>
    <w:basedOn w:val="a2"/>
    <w:link w:val="afff7"/>
    <w:uiPriority w:val="99"/>
    <w:semiHidden/>
    <w:unhideWhenUsed/>
    <w:pPr>
      <w:spacing w:after="0" w:line="240" w:lineRule="auto"/>
    </w:pPr>
  </w:style>
  <w:style w:type="character" w:customStyle="1" w:styleId="afff7">
    <w:name w:val="Текст сноски (знак)"/>
    <w:basedOn w:val="a3"/>
    <w:link w:val="afff6"/>
    <w:uiPriority w:val="99"/>
    <w:semiHidden/>
    <w:rPr>
      <w:sz w:val="20"/>
    </w:rPr>
  </w:style>
  <w:style w:type="character" w:customStyle="1" w:styleId="34">
    <w:name w:val="Заголовок 3 (знак)"/>
    <w:basedOn w:val="a3"/>
    <w:link w:val="33"/>
    <w:uiPriority w:val="1"/>
    <w:rPr>
      <w:rFonts w:asciiTheme="majorHAnsi" w:eastAsiaTheme="majorEastAsia" w:hAnsiTheme="majorHAnsi" w:cstheme="majorBidi"/>
      <w:b/>
      <w:bCs/>
      <w:color w:val="AD0101" w:themeColor="accent1"/>
      <w:kern w:val="20"/>
      <w14:ligatures w14:val="standardContextual"/>
    </w:rPr>
  </w:style>
  <w:style w:type="character" w:customStyle="1" w:styleId="42">
    <w:name w:val="Заголовок 4 (знак)"/>
    <w:basedOn w:val="a3"/>
    <w:link w:val="41"/>
    <w:uiPriority w:val="18"/>
    <w:semiHidden/>
    <w:rPr>
      <w:rFonts w:asciiTheme="majorHAnsi" w:eastAsiaTheme="majorEastAsia" w:hAnsiTheme="majorHAnsi" w:cstheme="majorBidi"/>
      <w:b/>
      <w:bCs/>
      <w:i/>
      <w:iCs/>
      <w:color w:val="AD0101" w:themeColor="accent1"/>
      <w:kern w:val="20"/>
    </w:rPr>
  </w:style>
  <w:style w:type="character" w:customStyle="1" w:styleId="52">
    <w:name w:val="Заголовок 5 (знак)"/>
    <w:basedOn w:val="a3"/>
    <w:link w:val="51"/>
    <w:uiPriority w:val="18"/>
    <w:semiHidden/>
    <w:rPr>
      <w:rFonts w:asciiTheme="majorHAnsi" w:eastAsiaTheme="majorEastAsia" w:hAnsiTheme="majorHAnsi" w:cstheme="majorBidi"/>
      <w:color w:val="550000" w:themeColor="accent1" w:themeShade="7F"/>
      <w:kern w:val="20"/>
    </w:rPr>
  </w:style>
  <w:style w:type="character" w:customStyle="1" w:styleId="60">
    <w:name w:val="Заголовок 6 (знак)"/>
    <w:basedOn w:val="a3"/>
    <w:link w:val="6"/>
    <w:uiPriority w:val="18"/>
    <w:semiHidden/>
    <w:rPr>
      <w:rFonts w:asciiTheme="majorHAnsi" w:eastAsiaTheme="majorEastAsia" w:hAnsiTheme="majorHAnsi" w:cstheme="majorBidi"/>
      <w:i/>
      <w:iCs/>
      <w:color w:val="550000" w:themeColor="accent1" w:themeShade="7F"/>
      <w:kern w:val="20"/>
    </w:rPr>
  </w:style>
  <w:style w:type="character" w:customStyle="1" w:styleId="70">
    <w:name w:val="Заголовок 7 (знак)"/>
    <w:basedOn w:val="a3"/>
    <w:link w:val="7"/>
    <w:uiPriority w:val="18"/>
    <w:semiHidden/>
    <w:rPr>
      <w:rFonts w:asciiTheme="majorHAnsi" w:eastAsiaTheme="majorEastAsia" w:hAnsiTheme="majorHAnsi" w:cstheme="majorBidi"/>
      <w:i/>
      <w:iCs/>
      <w:color w:val="404040" w:themeColor="text1" w:themeTint="BF"/>
      <w:kern w:val="20"/>
    </w:rPr>
  </w:style>
  <w:style w:type="character" w:customStyle="1" w:styleId="80">
    <w:name w:val="Заголовок 8 (знак)"/>
    <w:basedOn w:val="a3"/>
    <w:link w:val="8"/>
    <w:uiPriority w:val="18"/>
    <w:semiHidden/>
    <w:rPr>
      <w:rFonts w:asciiTheme="majorHAnsi" w:eastAsiaTheme="majorEastAsia" w:hAnsiTheme="majorHAnsi" w:cstheme="majorBidi"/>
      <w:color w:val="404040" w:themeColor="text1" w:themeTint="BF"/>
      <w:kern w:val="20"/>
    </w:rPr>
  </w:style>
  <w:style w:type="character" w:customStyle="1" w:styleId="90">
    <w:name w:val="Заголовок 9 (знак)"/>
    <w:basedOn w:val="a3"/>
    <w:link w:val="9"/>
    <w:uiPriority w:val="18"/>
    <w:semiHidden/>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line="240" w:lineRule="auto"/>
    </w:pPr>
    <w:rPr>
      <w:i/>
      <w:iCs/>
    </w:rPr>
  </w:style>
  <w:style w:type="character" w:customStyle="1" w:styleId="HTML1">
    <w:name w:val="Адрес HTML Знак"/>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rPr>
  </w:style>
  <w:style w:type="paragraph" w:styleId="HTML6">
    <w:name w:val="HTML Preformatted"/>
    <w:basedOn w:val="a2"/>
    <w:link w:val="HTML7"/>
    <w:uiPriority w:val="99"/>
    <w:semiHidden/>
    <w:unhideWhenUsed/>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Pr>
      <w:rFonts w:ascii="Consolas" w:hAnsi="Consolas" w:cs="Consolas"/>
      <w:sz w:val="20"/>
    </w:rPr>
  </w:style>
  <w:style w:type="character" w:styleId="HTML8">
    <w:name w:val="HTML Sample"/>
    <w:basedOn w:val="a3"/>
    <w:uiPriority w:val="99"/>
    <w:semiHidden/>
    <w:unhideWhenUsed/>
    <w:rPr>
      <w:rFonts w:ascii="Consolas" w:hAnsi="Consolas" w:cs="Consolas"/>
      <w:sz w:val="24"/>
    </w:rPr>
  </w:style>
  <w:style w:type="character" w:styleId="HTML9">
    <w:name w:val="HTML Typewriter"/>
    <w:basedOn w:val="a3"/>
    <w:uiPriority w:val="99"/>
    <w:semiHidden/>
    <w:unhideWhenUsed/>
    <w:rPr>
      <w:rFonts w:ascii="Consolas" w:hAnsi="Consolas" w:cs="Consolas"/>
      <w:sz w:val="20"/>
    </w:rPr>
  </w:style>
  <w:style w:type="character" w:styleId="HTMLa">
    <w:name w:val="HTML Variable"/>
    <w:basedOn w:val="a3"/>
    <w:uiPriority w:val="99"/>
    <w:semiHidden/>
    <w:unhideWhenUsed/>
    <w:rPr>
      <w:i/>
      <w:iCs/>
    </w:rPr>
  </w:style>
  <w:style w:type="character" w:styleId="afff8">
    <w:name w:val="Hyperlink"/>
    <w:basedOn w:val="a3"/>
    <w:uiPriority w:val="99"/>
    <w:unhideWhenUsed/>
    <w:rPr>
      <w:color w:val="D26900" w:themeColor="hyperlink"/>
      <w:u w:val="single"/>
    </w:rPr>
  </w:style>
  <w:style w:type="paragraph" w:customStyle="1" w:styleId="17">
    <w:name w:val="индекс 1"/>
    <w:basedOn w:val="a2"/>
    <w:next w:val="a2"/>
    <w:autoRedefine/>
    <w:uiPriority w:val="99"/>
    <w:semiHidden/>
    <w:unhideWhenUsed/>
    <w:pPr>
      <w:spacing w:after="0" w:line="240" w:lineRule="auto"/>
      <w:ind w:left="220" w:hanging="220"/>
    </w:pPr>
  </w:style>
  <w:style w:type="paragraph" w:customStyle="1" w:styleId="2f">
    <w:name w:val="индекс 2"/>
    <w:basedOn w:val="a2"/>
    <w:next w:val="a2"/>
    <w:autoRedefine/>
    <w:uiPriority w:val="99"/>
    <w:semiHidden/>
    <w:unhideWhenUsed/>
    <w:pPr>
      <w:spacing w:after="0" w:line="240" w:lineRule="auto"/>
      <w:ind w:left="440" w:hanging="220"/>
    </w:pPr>
  </w:style>
  <w:style w:type="paragraph" w:customStyle="1" w:styleId="3d">
    <w:name w:val="индекс 3"/>
    <w:basedOn w:val="a2"/>
    <w:next w:val="a2"/>
    <w:autoRedefine/>
    <w:uiPriority w:val="99"/>
    <w:semiHidden/>
    <w:unhideWhenUsed/>
    <w:pPr>
      <w:spacing w:after="0" w:line="240" w:lineRule="auto"/>
      <w:ind w:left="660" w:hanging="220"/>
    </w:pPr>
  </w:style>
  <w:style w:type="paragraph" w:customStyle="1" w:styleId="47">
    <w:name w:val="индекс 4"/>
    <w:basedOn w:val="a2"/>
    <w:next w:val="a2"/>
    <w:autoRedefine/>
    <w:uiPriority w:val="99"/>
    <w:semiHidden/>
    <w:unhideWhenUsed/>
    <w:pPr>
      <w:spacing w:after="0" w:line="240" w:lineRule="auto"/>
      <w:ind w:left="880" w:hanging="220"/>
    </w:pPr>
  </w:style>
  <w:style w:type="paragraph" w:customStyle="1" w:styleId="57">
    <w:name w:val="индекс 5"/>
    <w:basedOn w:val="a2"/>
    <w:next w:val="a2"/>
    <w:autoRedefine/>
    <w:uiPriority w:val="99"/>
    <w:semiHidden/>
    <w:unhideWhenUsed/>
    <w:pPr>
      <w:spacing w:after="0" w:line="240" w:lineRule="auto"/>
      <w:ind w:left="1100" w:hanging="220"/>
    </w:pPr>
  </w:style>
  <w:style w:type="paragraph" w:customStyle="1" w:styleId="65">
    <w:name w:val="индекс 6"/>
    <w:basedOn w:val="a2"/>
    <w:next w:val="a2"/>
    <w:autoRedefine/>
    <w:uiPriority w:val="99"/>
    <w:semiHidden/>
    <w:unhideWhenUsed/>
    <w:pPr>
      <w:spacing w:after="0" w:line="240" w:lineRule="auto"/>
      <w:ind w:left="1320" w:hanging="220"/>
    </w:pPr>
  </w:style>
  <w:style w:type="paragraph" w:customStyle="1" w:styleId="71">
    <w:name w:val="индекс 7"/>
    <w:basedOn w:val="a2"/>
    <w:next w:val="a2"/>
    <w:autoRedefine/>
    <w:uiPriority w:val="99"/>
    <w:semiHidden/>
    <w:unhideWhenUsed/>
    <w:pPr>
      <w:spacing w:after="0" w:line="240" w:lineRule="auto"/>
      <w:ind w:left="1540" w:hanging="220"/>
    </w:pPr>
  </w:style>
  <w:style w:type="paragraph" w:customStyle="1" w:styleId="81">
    <w:name w:val="индекс 8"/>
    <w:basedOn w:val="a2"/>
    <w:next w:val="a2"/>
    <w:autoRedefine/>
    <w:uiPriority w:val="99"/>
    <w:semiHidden/>
    <w:unhideWhenUsed/>
    <w:pPr>
      <w:spacing w:after="0" w:line="240" w:lineRule="auto"/>
      <w:ind w:left="1760" w:hanging="220"/>
    </w:pPr>
  </w:style>
  <w:style w:type="paragraph" w:customStyle="1" w:styleId="91">
    <w:name w:val="индекс 9"/>
    <w:basedOn w:val="a2"/>
    <w:next w:val="a2"/>
    <w:autoRedefine/>
    <w:uiPriority w:val="99"/>
    <w:semiHidden/>
    <w:unhideWhenUsed/>
    <w:pPr>
      <w:spacing w:after="0" w:line="240" w:lineRule="auto"/>
      <w:ind w:left="1980" w:hanging="220"/>
    </w:pPr>
  </w:style>
  <w:style w:type="paragraph" w:customStyle="1" w:styleId="afff9">
    <w:name w:val="указатель"/>
    <w:basedOn w:val="a2"/>
    <w:next w:val="17"/>
    <w:uiPriority w:val="99"/>
    <w:semiHidden/>
    <w:unhideWhenUsed/>
    <w:rPr>
      <w:rFonts w:asciiTheme="majorHAnsi" w:eastAsiaTheme="majorEastAsia" w:hAnsiTheme="majorHAnsi" w:cstheme="majorBidi"/>
      <w:b/>
      <w:bCs/>
    </w:rPr>
  </w:style>
  <w:style w:type="character" w:styleId="afffa">
    <w:name w:val="Intense Emphasis"/>
    <w:basedOn w:val="a3"/>
    <w:uiPriority w:val="21"/>
    <w:semiHidden/>
    <w:unhideWhenUsed/>
    <w:rPr>
      <w:b/>
      <w:bCs/>
      <w:i/>
      <w:iCs/>
      <w:color w:val="AD0101" w:themeColor="accent1"/>
    </w:rPr>
  </w:style>
  <w:style w:type="paragraph" w:styleId="afffb">
    <w:name w:val="Intense Quote"/>
    <w:basedOn w:val="a2"/>
    <w:next w:val="a2"/>
    <w:link w:val="afffc"/>
    <w:uiPriority w:val="30"/>
    <w:semiHidden/>
    <w:unhideWhenUsed/>
    <w:pPr>
      <w:pBdr>
        <w:bottom w:val="single" w:sz="4" w:space="4" w:color="AD0101" w:themeColor="accent1"/>
      </w:pBdr>
      <w:spacing w:before="200" w:after="280"/>
      <w:ind w:left="936" w:right="936"/>
    </w:pPr>
    <w:rPr>
      <w:b/>
      <w:bCs/>
      <w:i/>
      <w:iCs/>
      <w:color w:val="AD0101" w:themeColor="accent1"/>
    </w:rPr>
  </w:style>
  <w:style w:type="character" w:customStyle="1" w:styleId="afffc">
    <w:name w:val="Выделенная цитата Знак"/>
    <w:basedOn w:val="a3"/>
    <w:link w:val="afffb"/>
    <w:uiPriority w:val="30"/>
    <w:semiHidden/>
    <w:rPr>
      <w:b/>
      <w:bCs/>
      <w:i/>
      <w:iCs/>
      <w:color w:val="AD0101" w:themeColor="accent1"/>
    </w:rPr>
  </w:style>
  <w:style w:type="character" w:styleId="afffd">
    <w:name w:val="Intense Reference"/>
    <w:basedOn w:val="a3"/>
    <w:uiPriority w:val="32"/>
    <w:semiHidden/>
    <w:unhideWhenUsed/>
    <w:rPr>
      <w:b/>
      <w:bCs/>
      <w:smallCaps/>
      <w:color w:val="726056" w:themeColor="accent2"/>
      <w:spacing w:val="5"/>
      <w:u w:val="single"/>
    </w:rPr>
  </w:style>
  <w:style w:type="table" w:styleId="afffe">
    <w:name w:val="Light Grid"/>
    <w:basedOn w:val="a4"/>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8">
    <w:name w:val="Светлая сетка — акцент 1"/>
    <w:basedOn w:val="a4"/>
    <w:uiPriority w:val="62"/>
    <w:pPr>
      <w:spacing w:after="0" w:line="240" w:lineRule="auto"/>
    </w:p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customStyle="1" w:styleId="2f0">
    <w:name w:val="Светлая сетка — акцент 2"/>
    <w:basedOn w:val="a4"/>
    <w:uiPriority w:val="62"/>
    <w:pPr>
      <w:spacing w:after="0" w:line="240" w:lineRule="auto"/>
    </w:p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table" w:customStyle="1" w:styleId="3e">
    <w:name w:val="Светлая сетка — акцент 3"/>
    <w:basedOn w:val="a4"/>
    <w:uiPriority w:val="62"/>
    <w:pPr>
      <w:spacing w:after="0" w:line="240" w:lineRule="auto"/>
    </w:p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18" w:space="0" w:color="AC956E" w:themeColor="accent3"/>
          <w:right w:val="single" w:sz="8" w:space="0" w:color="AC956E" w:themeColor="accent3"/>
          <w:insideH w:val="nil"/>
          <w:insideV w:val="single" w:sz="8" w:space="0" w:color="AC95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insideH w:val="nil"/>
          <w:insideV w:val="single" w:sz="8" w:space="0" w:color="AC95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shd w:val="clear" w:color="auto" w:fill="EAE4DB" w:themeFill="accent3" w:themeFillTint="3F"/>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shd w:val="clear" w:color="auto" w:fill="EAE4DB" w:themeFill="accent3" w:themeFillTint="3F"/>
      </w:tcPr>
    </w:tblStylePr>
    <w:tblStylePr w:type="band2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tcPr>
    </w:tblStylePr>
  </w:style>
  <w:style w:type="table" w:customStyle="1" w:styleId="48">
    <w:name w:val="Светлая сетка — акцент 4"/>
    <w:basedOn w:val="a4"/>
    <w:uiPriority w:val="62"/>
    <w:pPr>
      <w:spacing w:after="0" w:line="240" w:lineRule="auto"/>
    </w:p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18" w:space="0" w:color="808DA9" w:themeColor="accent4"/>
          <w:right w:val="single" w:sz="8" w:space="0" w:color="808DA9" w:themeColor="accent4"/>
          <w:insideH w:val="nil"/>
          <w:insideV w:val="single" w:sz="8" w:space="0" w:color="808D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insideH w:val="nil"/>
          <w:insideV w:val="single" w:sz="8" w:space="0" w:color="808D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shd w:val="clear" w:color="auto" w:fill="DFE2E9" w:themeFill="accent4" w:themeFillTint="3F"/>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shd w:val="clear" w:color="auto" w:fill="DFE2E9" w:themeFill="accent4" w:themeFillTint="3F"/>
      </w:tcPr>
    </w:tblStylePr>
    <w:tblStylePr w:type="band2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tcPr>
    </w:tblStylePr>
  </w:style>
  <w:style w:type="table" w:customStyle="1" w:styleId="58">
    <w:name w:val="Светлая сетка — акцент 5"/>
    <w:basedOn w:val="a4"/>
    <w:uiPriority w:val="62"/>
    <w:pPr>
      <w:spacing w:after="0" w:line="240" w:lineRule="auto"/>
    </w:p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18" w:space="0" w:color="424E5B" w:themeColor="accent5"/>
          <w:right w:val="single" w:sz="8" w:space="0" w:color="424E5B" w:themeColor="accent5"/>
          <w:insideH w:val="nil"/>
          <w:insideV w:val="single" w:sz="8" w:space="0" w:color="424E5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insideH w:val="nil"/>
          <w:insideV w:val="single" w:sz="8" w:space="0" w:color="424E5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shd w:val="clear" w:color="auto" w:fill="CCD3DA" w:themeFill="accent5" w:themeFillTint="3F"/>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shd w:val="clear" w:color="auto" w:fill="CCD3DA" w:themeFill="accent5" w:themeFillTint="3F"/>
      </w:tcPr>
    </w:tblStylePr>
    <w:tblStylePr w:type="band2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tcPr>
    </w:tblStylePr>
  </w:style>
  <w:style w:type="table" w:customStyle="1" w:styleId="66">
    <w:name w:val="Светлая сетка — акцент 6"/>
    <w:basedOn w:val="a4"/>
    <w:uiPriority w:val="62"/>
    <w:pPr>
      <w:spacing w:after="0" w:line="240" w:lineRule="auto"/>
    </w:p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insideH w:val="single" w:sz="8" w:space="0" w:color="730E00" w:themeColor="accent6"/>
        <w:insideV w:val="single" w:sz="8" w:space="0" w:color="730E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18" w:space="0" w:color="730E00" w:themeColor="accent6"/>
          <w:right w:val="single" w:sz="8" w:space="0" w:color="730E00" w:themeColor="accent6"/>
          <w:insideH w:val="nil"/>
          <w:insideV w:val="single" w:sz="8" w:space="0" w:color="730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0E00" w:themeColor="accent6"/>
          <w:left w:val="single" w:sz="8" w:space="0" w:color="730E00" w:themeColor="accent6"/>
          <w:bottom w:val="single" w:sz="8" w:space="0" w:color="730E00" w:themeColor="accent6"/>
          <w:right w:val="single" w:sz="8" w:space="0" w:color="730E00" w:themeColor="accent6"/>
          <w:insideH w:val="nil"/>
          <w:insideV w:val="single" w:sz="8" w:space="0" w:color="730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tblStylePr w:type="band1Vert">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shd w:val="clear" w:color="auto" w:fill="FFA99D" w:themeFill="accent6" w:themeFillTint="3F"/>
      </w:tcPr>
    </w:tblStylePr>
    <w:tblStylePr w:type="band1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shd w:val="clear" w:color="auto" w:fill="FFA99D" w:themeFill="accent6" w:themeFillTint="3F"/>
      </w:tcPr>
    </w:tblStylePr>
    <w:tblStylePr w:type="band2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tcPr>
    </w:tblStylePr>
  </w:style>
  <w:style w:type="table" w:styleId="affff">
    <w:name w:val="Light List"/>
    <w:basedOn w:val="a4"/>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9">
    <w:name w:val="Светлый список — акцент 1"/>
    <w:basedOn w:val="a4"/>
    <w:uiPriority w:val="61"/>
    <w:pPr>
      <w:spacing w:after="0" w:line="240" w:lineRule="auto"/>
    </w:p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table" w:customStyle="1" w:styleId="2f1">
    <w:name w:val="Светлый список — акцент 2"/>
    <w:basedOn w:val="a4"/>
    <w:uiPriority w:val="61"/>
    <w:pPr>
      <w:spacing w:after="0" w:line="240" w:lineRule="auto"/>
    </w:p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6056" w:themeFill="accent2"/>
      </w:tcPr>
    </w:tblStylePr>
    <w:tblStylePr w:type="lastRow">
      <w:pPr>
        <w:spacing w:before="0" w:after="0" w:line="240" w:lineRule="auto"/>
      </w:pPr>
      <w:rPr>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tcBorders>
      </w:tcPr>
    </w:tblStylePr>
    <w:tblStylePr w:type="firstCol">
      <w:rPr>
        <w:b/>
        <w:bCs/>
      </w:rPr>
    </w:tblStylePr>
    <w:tblStylePr w:type="lastCol">
      <w:rPr>
        <w:b/>
        <w:bCs/>
      </w:r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style>
  <w:style w:type="table" w:customStyle="1" w:styleId="3f">
    <w:name w:val="Светлый список — акцент 3"/>
    <w:basedOn w:val="a4"/>
    <w:uiPriority w:val="61"/>
    <w:pPr>
      <w:spacing w:after="0" w:line="240" w:lineRule="auto"/>
    </w:p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956E" w:themeFill="accent3"/>
      </w:tcPr>
    </w:tblStylePr>
    <w:tblStylePr w:type="lastRow">
      <w:pPr>
        <w:spacing w:before="0" w:after="0" w:line="240" w:lineRule="auto"/>
      </w:pPr>
      <w:rPr>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tcBorders>
      </w:tcPr>
    </w:tblStylePr>
    <w:tblStylePr w:type="firstCol">
      <w:rPr>
        <w:b/>
        <w:bCs/>
      </w:rPr>
    </w:tblStylePr>
    <w:tblStylePr w:type="lastCol">
      <w:rPr>
        <w:b/>
        <w:bCs/>
      </w:r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style>
  <w:style w:type="table" w:customStyle="1" w:styleId="49">
    <w:name w:val="Светлый список — акцент 4"/>
    <w:basedOn w:val="a4"/>
    <w:uiPriority w:val="61"/>
    <w:pPr>
      <w:spacing w:after="0" w:line="240" w:lineRule="auto"/>
    </w:p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DA9" w:themeFill="accent4"/>
      </w:tcPr>
    </w:tblStylePr>
    <w:tblStylePr w:type="lastRow">
      <w:pPr>
        <w:spacing w:before="0" w:after="0" w:line="240" w:lineRule="auto"/>
      </w:pPr>
      <w:rPr>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tcBorders>
      </w:tcPr>
    </w:tblStylePr>
    <w:tblStylePr w:type="firstCol">
      <w:rPr>
        <w:b/>
        <w:bCs/>
      </w:rPr>
    </w:tblStylePr>
    <w:tblStylePr w:type="lastCol">
      <w:rPr>
        <w:b/>
        <w:bCs/>
      </w:r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style>
  <w:style w:type="table" w:customStyle="1" w:styleId="59">
    <w:name w:val="Светлый список — акцент 5"/>
    <w:basedOn w:val="a4"/>
    <w:uiPriority w:val="61"/>
    <w:pPr>
      <w:spacing w:after="0" w:line="240" w:lineRule="auto"/>
    </w:p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 w:type="table" w:customStyle="1" w:styleId="67">
    <w:name w:val="Светлый список — акцент 6"/>
    <w:basedOn w:val="a4"/>
    <w:uiPriority w:val="61"/>
    <w:pPr>
      <w:spacing w:after="0" w:line="240" w:lineRule="auto"/>
    </w:p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0E00" w:themeFill="accent6"/>
      </w:tcPr>
    </w:tblStylePr>
    <w:tblStylePr w:type="lastRow">
      <w:pPr>
        <w:spacing w:before="0" w:after="0" w:line="240" w:lineRule="auto"/>
      </w:pPr>
      <w:rPr>
        <w:b/>
        <w:bCs/>
      </w:rPr>
      <w:tblPr/>
      <w:tcPr>
        <w:tcBorders>
          <w:top w:val="double" w:sz="6" w:space="0" w:color="730E00" w:themeColor="accent6"/>
          <w:left w:val="single" w:sz="8" w:space="0" w:color="730E00" w:themeColor="accent6"/>
          <w:bottom w:val="single" w:sz="8" w:space="0" w:color="730E00" w:themeColor="accent6"/>
          <w:right w:val="single" w:sz="8" w:space="0" w:color="730E00" w:themeColor="accent6"/>
        </w:tcBorders>
      </w:tcPr>
    </w:tblStylePr>
    <w:tblStylePr w:type="firstCol">
      <w:rPr>
        <w:b/>
        <w:bCs/>
      </w:rPr>
    </w:tblStylePr>
    <w:tblStylePr w:type="lastCol">
      <w:rPr>
        <w:b/>
        <w:bCs/>
      </w:rPr>
    </w:tblStylePr>
    <w:tblStylePr w:type="band1Vert">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tblStylePr w:type="band1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style>
  <w:style w:type="table" w:styleId="affff0">
    <w:name w:val="Light Shading"/>
    <w:basedOn w:val="a4"/>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a">
    <w:name w:val="Светлая заливка — акцент 1"/>
    <w:basedOn w:val="a4"/>
    <w:uiPriority w:val="60"/>
    <w:pPr>
      <w:spacing w:after="0" w:line="240" w:lineRule="auto"/>
    </w:pPr>
    <w:rPr>
      <w:color w:val="810000" w:themeColor="accent1" w:themeShade="BF"/>
    </w:rPr>
    <w:tblPr>
      <w:tblStyleRowBandSize w:val="1"/>
      <w:tblStyleColBandSize w:val="1"/>
      <w:tblInd w:w="0" w:type="dxa"/>
      <w:tblBorders>
        <w:top w:val="single" w:sz="8" w:space="0" w:color="AD0101" w:themeColor="accent1"/>
        <w:bottom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table" w:customStyle="1" w:styleId="2f2">
    <w:name w:val="Светлая заливка — акцент 2"/>
    <w:basedOn w:val="a4"/>
    <w:uiPriority w:val="60"/>
    <w:pPr>
      <w:spacing w:after="0" w:line="240" w:lineRule="auto"/>
    </w:pPr>
    <w:rPr>
      <w:color w:val="554740" w:themeColor="accent2" w:themeShade="BF"/>
    </w:rPr>
    <w:tblPr>
      <w:tblStyleRowBandSize w:val="1"/>
      <w:tblStyleColBandSize w:val="1"/>
      <w:tblInd w:w="0" w:type="dxa"/>
      <w:tblBorders>
        <w:top w:val="single" w:sz="8" w:space="0" w:color="726056" w:themeColor="accent2"/>
        <w:bottom w:val="single" w:sz="8" w:space="0" w:color="72605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la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left w:val="nil"/>
          <w:right w:val="nil"/>
          <w:insideH w:val="nil"/>
          <w:insideV w:val="nil"/>
        </w:tcBorders>
        <w:shd w:val="clear" w:color="auto" w:fill="DED7D3" w:themeFill="accent2" w:themeFillTint="3F"/>
      </w:tcPr>
    </w:tblStylePr>
  </w:style>
  <w:style w:type="table" w:customStyle="1" w:styleId="3f0">
    <w:name w:val="Светлая заливка — акцент 3"/>
    <w:basedOn w:val="a4"/>
    <w:uiPriority w:val="60"/>
    <w:pPr>
      <w:spacing w:after="0" w:line="240" w:lineRule="auto"/>
    </w:pPr>
    <w:rPr>
      <w:color w:val="86704C" w:themeColor="accent3" w:themeShade="BF"/>
    </w:rPr>
    <w:tblPr>
      <w:tblStyleRowBandSize w:val="1"/>
      <w:tblStyleColBandSize w:val="1"/>
      <w:tblInd w:w="0" w:type="dxa"/>
      <w:tblBorders>
        <w:top w:val="single" w:sz="8" w:space="0" w:color="AC956E" w:themeColor="accent3"/>
        <w:bottom w:val="single" w:sz="8" w:space="0" w:color="AC956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la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left w:val="nil"/>
          <w:right w:val="nil"/>
          <w:insideH w:val="nil"/>
          <w:insideV w:val="nil"/>
        </w:tcBorders>
        <w:shd w:val="clear" w:color="auto" w:fill="EAE4DB" w:themeFill="accent3" w:themeFillTint="3F"/>
      </w:tcPr>
    </w:tblStylePr>
  </w:style>
  <w:style w:type="table" w:customStyle="1" w:styleId="4a">
    <w:name w:val="Светлая заливка — акцент 4"/>
    <w:basedOn w:val="a4"/>
    <w:uiPriority w:val="60"/>
    <w:pPr>
      <w:spacing w:after="0" w:line="240" w:lineRule="auto"/>
    </w:pPr>
    <w:rPr>
      <w:color w:val="596784" w:themeColor="accent4" w:themeShade="BF"/>
    </w:rPr>
    <w:tblPr>
      <w:tblStyleRowBandSize w:val="1"/>
      <w:tblStyleColBandSize w:val="1"/>
      <w:tblInd w:w="0" w:type="dxa"/>
      <w:tblBorders>
        <w:top w:val="single" w:sz="8" w:space="0" w:color="808DA9" w:themeColor="accent4"/>
        <w:bottom w:val="single" w:sz="8" w:space="0" w:color="808DA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la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9" w:themeFill="accent4" w:themeFillTint="3F"/>
      </w:tcPr>
    </w:tblStylePr>
    <w:tblStylePr w:type="band1Horz">
      <w:tblPr/>
      <w:tcPr>
        <w:tcBorders>
          <w:left w:val="nil"/>
          <w:right w:val="nil"/>
          <w:insideH w:val="nil"/>
          <w:insideV w:val="nil"/>
        </w:tcBorders>
        <w:shd w:val="clear" w:color="auto" w:fill="DFE2E9" w:themeFill="accent4" w:themeFillTint="3F"/>
      </w:tcPr>
    </w:tblStylePr>
  </w:style>
  <w:style w:type="table" w:customStyle="1" w:styleId="5a">
    <w:name w:val="Светлая заливка — акцент 5"/>
    <w:basedOn w:val="a4"/>
    <w:uiPriority w:val="60"/>
    <w:pPr>
      <w:spacing w:after="0" w:line="240" w:lineRule="auto"/>
    </w:pPr>
    <w:rPr>
      <w:color w:val="313A43" w:themeColor="accent5" w:themeShade="BF"/>
    </w:rPr>
    <w:tblPr>
      <w:tblStyleRowBandSize w:val="1"/>
      <w:tblStyleColBandSize w:val="1"/>
      <w:tblInd w:w="0" w:type="dxa"/>
      <w:tblBorders>
        <w:top w:val="single" w:sz="8" w:space="0" w:color="424E5B" w:themeColor="accent5"/>
        <w:bottom w:val="single" w:sz="8" w:space="0" w:color="424E5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24E5B" w:themeColor="accent5"/>
          <w:left w:val="nil"/>
          <w:bottom w:val="single" w:sz="8" w:space="0" w:color="424E5B" w:themeColor="accent5"/>
          <w:right w:val="nil"/>
          <w:insideH w:val="nil"/>
          <w:insideV w:val="nil"/>
        </w:tcBorders>
      </w:tcPr>
    </w:tblStylePr>
    <w:tblStylePr w:type="lastRow">
      <w:pPr>
        <w:spacing w:before="0" w:after="0" w:line="240" w:lineRule="auto"/>
      </w:pPr>
      <w:rPr>
        <w:b/>
        <w:bCs/>
      </w:rPr>
      <w:tblPr/>
      <w:tcPr>
        <w:tcBorders>
          <w:top w:val="single" w:sz="8" w:space="0" w:color="424E5B" w:themeColor="accent5"/>
          <w:left w:val="nil"/>
          <w:bottom w:val="single" w:sz="8" w:space="0" w:color="424E5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3DA" w:themeFill="accent5" w:themeFillTint="3F"/>
      </w:tcPr>
    </w:tblStylePr>
    <w:tblStylePr w:type="band1Horz">
      <w:tblPr/>
      <w:tcPr>
        <w:tcBorders>
          <w:left w:val="nil"/>
          <w:right w:val="nil"/>
          <w:insideH w:val="nil"/>
          <w:insideV w:val="nil"/>
        </w:tcBorders>
        <w:shd w:val="clear" w:color="auto" w:fill="CCD3DA" w:themeFill="accent5" w:themeFillTint="3F"/>
      </w:tcPr>
    </w:tblStylePr>
  </w:style>
  <w:style w:type="table" w:customStyle="1" w:styleId="68">
    <w:name w:val="Светлая заливка — акцент 6"/>
    <w:basedOn w:val="a4"/>
    <w:uiPriority w:val="60"/>
    <w:pPr>
      <w:spacing w:after="0" w:line="240" w:lineRule="auto"/>
    </w:pPr>
    <w:rPr>
      <w:color w:val="560A00" w:themeColor="accent6" w:themeShade="BF"/>
    </w:rPr>
    <w:tblPr>
      <w:tblStyleRowBandSize w:val="1"/>
      <w:tblStyleColBandSize w:val="1"/>
      <w:tblInd w:w="0" w:type="dxa"/>
      <w:tblBorders>
        <w:top w:val="single" w:sz="8" w:space="0" w:color="730E00" w:themeColor="accent6"/>
        <w:bottom w:val="single" w:sz="8" w:space="0" w:color="730E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0E00" w:themeColor="accent6"/>
          <w:left w:val="nil"/>
          <w:bottom w:val="single" w:sz="8" w:space="0" w:color="730E00" w:themeColor="accent6"/>
          <w:right w:val="nil"/>
          <w:insideH w:val="nil"/>
          <w:insideV w:val="nil"/>
        </w:tcBorders>
      </w:tcPr>
    </w:tblStylePr>
    <w:tblStylePr w:type="lastRow">
      <w:pPr>
        <w:spacing w:before="0" w:after="0" w:line="240" w:lineRule="auto"/>
      </w:pPr>
      <w:rPr>
        <w:b/>
        <w:bCs/>
      </w:rPr>
      <w:tblPr/>
      <w:tcPr>
        <w:tcBorders>
          <w:top w:val="single" w:sz="8" w:space="0" w:color="730E00" w:themeColor="accent6"/>
          <w:left w:val="nil"/>
          <w:bottom w:val="single" w:sz="8" w:space="0" w:color="730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99D" w:themeFill="accent6" w:themeFillTint="3F"/>
      </w:tcPr>
    </w:tblStylePr>
    <w:tblStylePr w:type="band1Horz">
      <w:tblPr/>
      <w:tcPr>
        <w:tcBorders>
          <w:left w:val="nil"/>
          <w:right w:val="nil"/>
          <w:insideH w:val="nil"/>
          <w:insideV w:val="nil"/>
        </w:tcBorders>
        <w:shd w:val="clear" w:color="auto" w:fill="FFA99D" w:themeFill="accent6" w:themeFillTint="3F"/>
      </w:tcPr>
    </w:tblStylePr>
  </w:style>
  <w:style w:type="character" w:customStyle="1" w:styleId="affff1">
    <w:name w:val="номер строки"/>
    <w:basedOn w:val="a3"/>
    <w:uiPriority w:val="99"/>
    <w:semiHidden/>
    <w:unhideWhenUsed/>
  </w:style>
  <w:style w:type="paragraph" w:styleId="affff2">
    <w:name w:val="List"/>
    <w:basedOn w:val="a2"/>
    <w:uiPriority w:val="99"/>
    <w:semiHidden/>
    <w:unhideWhenUsed/>
    <w:pPr>
      <w:ind w:left="360" w:hanging="360"/>
      <w:contextualSpacing/>
    </w:pPr>
  </w:style>
  <w:style w:type="paragraph" w:styleId="2f3">
    <w:name w:val="List 2"/>
    <w:basedOn w:val="a2"/>
    <w:uiPriority w:val="99"/>
    <w:semiHidden/>
    <w:unhideWhenUsed/>
    <w:pPr>
      <w:ind w:left="720" w:hanging="360"/>
      <w:contextualSpacing/>
    </w:pPr>
  </w:style>
  <w:style w:type="paragraph" w:styleId="3f1">
    <w:name w:val="List 3"/>
    <w:basedOn w:val="a2"/>
    <w:uiPriority w:val="99"/>
    <w:semiHidden/>
    <w:unhideWhenUsed/>
    <w:pPr>
      <w:ind w:left="1080" w:hanging="360"/>
      <w:contextualSpacing/>
    </w:pPr>
  </w:style>
  <w:style w:type="paragraph" w:styleId="4b">
    <w:name w:val="List 4"/>
    <w:basedOn w:val="a2"/>
    <w:uiPriority w:val="99"/>
    <w:semiHidden/>
    <w:unhideWhenUsed/>
    <w:pPr>
      <w:ind w:left="1440" w:hanging="360"/>
      <w:contextualSpacing/>
    </w:pPr>
  </w:style>
  <w:style w:type="paragraph" w:styleId="5b">
    <w:name w:val="List 5"/>
    <w:basedOn w:val="a2"/>
    <w:uiPriority w:val="99"/>
    <w:semiHidden/>
    <w:unhideWhenUsed/>
    <w:pPr>
      <w:ind w:left="1800" w:hanging="360"/>
      <w:contextualSpacing/>
    </w:pPr>
  </w:style>
  <w:style w:type="paragraph" w:styleId="a">
    <w:name w:val="List Bullet"/>
    <w:basedOn w:val="a2"/>
    <w:uiPriority w:val="1"/>
    <w:unhideWhenUsed/>
    <w:qFormat/>
    <w:pPr>
      <w:numPr>
        <w:numId w:val="1"/>
      </w:numPr>
      <w:spacing w:after="40"/>
    </w:pPr>
  </w:style>
  <w:style w:type="paragraph" w:styleId="2">
    <w:name w:val="List Bullet 2"/>
    <w:basedOn w:val="a2"/>
    <w:uiPriority w:val="99"/>
    <w:semiHidden/>
    <w:unhideWhenUsed/>
    <w:pPr>
      <w:numPr>
        <w:numId w:val="2"/>
      </w:numPr>
      <w:contextualSpacing/>
    </w:pPr>
  </w:style>
  <w:style w:type="paragraph" w:styleId="3">
    <w:name w:val="List Bullet 3"/>
    <w:basedOn w:val="a2"/>
    <w:uiPriority w:val="99"/>
    <w:semiHidden/>
    <w:unhideWhenUsed/>
    <w:pPr>
      <w:numPr>
        <w:numId w:val="3"/>
      </w:numPr>
      <w:contextualSpacing/>
    </w:pPr>
  </w:style>
  <w:style w:type="paragraph" w:styleId="4">
    <w:name w:val="List Bullet 4"/>
    <w:basedOn w:val="a2"/>
    <w:uiPriority w:val="99"/>
    <w:semiHidden/>
    <w:unhideWhenUsed/>
    <w:pPr>
      <w:numPr>
        <w:numId w:val="4"/>
      </w:numPr>
      <w:contextualSpacing/>
    </w:pPr>
  </w:style>
  <w:style w:type="paragraph" w:styleId="5">
    <w:name w:val="List Bullet 5"/>
    <w:basedOn w:val="a2"/>
    <w:uiPriority w:val="99"/>
    <w:semiHidden/>
    <w:unhideWhenUsed/>
    <w:pPr>
      <w:numPr>
        <w:numId w:val="5"/>
      </w:numPr>
      <w:contextualSpacing/>
    </w:pPr>
  </w:style>
  <w:style w:type="paragraph" w:styleId="affff3">
    <w:name w:val="List Continue"/>
    <w:basedOn w:val="a2"/>
    <w:uiPriority w:val="99"/>
    <w:semiHidden/>
    <w:unhideWhenUsed/>
    <w:pPr>
      <w:spacing w:after="120"/>
      <w:ind w:left="360"/>
      <w:contextualSpacing/>
    </w:pPr>
  </w:style>
  <w:style w:type="paragraph" w:styleId="2f4">
    <w:name w:val="List Continue 2"/>
    <w:basedOn w:val="a2"/>
    <w:uiPriority w:val="99"/>
    <w:semiHidden/>
    <w:unhideWhenUsed/>
    <w:pPr>
      <w:spacing w:after="120"/>
      <w:ind w:left="720"/>
      <w:contextualSpacing/>
    </w:pPr>
  </w:style>
  <w:style w:type="paragraph" w:styleId="3f2">
    <w:name w:val="List Continue 3"/>
    <w:basedOn w:val="a2"/>
    <w:uiPriority w:val="99"/>
    <w:semiHidden/>
    <w:unhideWhenUsed/>
    <w:pPr>
      <w:spacing w:after="120"/>
      <w:ind w:left="1080"/>
      <w:contextualSpacing/>
    </w:pPr>
  </w:style>
  <w:style w:type="paragraph" w:styleId="4c">
    <w:name w:val="List Continue 4"/>
    <w:basedOn w:val="a2"/>
    <w:uiPriority w:val="99"/>
    <w:semiHidden/>
    <w:unhideWhenUsed/>
    <w:pPr>
      <w:spacing w:after="120"/>
      <w:ind w:left="1440"/>
      <w:contextualSpacing/>
    </w:pPr>
  </w:style>
  <w:style w:type="paragraph" w:styleId="5c">
    <w:name w:val="List Continue 5"/>
    <w:basedOn w:val="a2"/>
    <w:uiPriority w:val="99"/>
    <w:semiHidden/>
    <w:unhideWhenUsed/>
    <w:pPr>
      <w:spacing w:after="120"/>
      <w:ind w:left="1800"/>
      <w:contextualSpacing/>
    </w:pPr>
  </w:style>
  <w:style w:type="paragraph" w:styleId="a1">
    <w:name w:val="List Number"/>
    <w:basedOn w:val="a2"/>
    <w:uiPriority w:val="1"/>
    <w:unhideWhenUsed/>
    <w:qFormat/>
    <w:pPr>
      <w:numPr>
        <w:numId w:val="19"/>
      </w:numPr>
      <w:contextualSpacing/>
    </w:pPr>
  </w:style>
  <w:style w:type="paragraph" w:styleId="20">
    <w:name w:val="List Number 2"/>
    <w:basedOn w:val="a2"/>
    <w:uiPriority w:val="1"/>
    <w:unhideWhenUsed/>
    <w:qFormat/>
    <w:pPr>
      <w:numPr>
        <w:ilvl w:val="1"/>
        <w:numId w:val="19"/>
      </w:numPr>
      <w:contextualSpacing/>
    </w:pPr>
  </w:style>
  <w:style w:type="paragraph" w:styleId="30">
    <w:name w:val="List Number 3"/>
    <w:basedOn w:val="a2"/>
    <w:uiPriority w:val="18"/>
    <w:unhideWhenUsed/>
    <w:qFormat/>
    <w:pPr>
      <w:numPr>
        <w:ilvl w:val="2"/>
        <w:numId w:val="19"/>
      </w:numPr>
      <w:contextualSpacing/>
    </w:pPr>
  </w:style>
  <w:style w:type="paragraph" w:styleId="40">
    <w:name w:val="List Number 4"/>
    <w:basedOn w:val="a2"/>
    <w:uiPriority w:val="18"/>
    <w:semiHidden/>
    <w:unhideWhenUsed/>
    <w:pPr>
      <w:numPr>
        <w:ilvl w:val="3"/>
        <w:numId w:val="19"/>
      </w:numPr>
      <w:contextualSpacing/>
    </w:pPr>
  </w:style>
  <w:style w:type="paragraph" w:styleId="50">
    <w:name w:val="List Number 5"/>
    <w:basedOn w:val="a2"/>
    <w:uiPriority w:val="18"/>
    <w:semiHidden/>
    <w:unhideWhenUsed/>
    <w:pPr>
      <w:numPr>
        <w:ilvl w:val="4"/>
        <w:numId w:val="19"/>
      </w:numPr>
      <w:contextualSpacing/>
    </w:pPr>
  </w:style>
  <w:style w:type="paragraph" w:styleId="affff4">
    <w:name w:val="List Paragraph"/>
    <w:basedOn w:val="a2"/>
    <w:uiPriority w:val="34"/>
    <w:unhideWhenUsed/>
    <w:pPr>
      <w:ind w:left="720"/>
      <w:contextualSpacing/>
    </w:pPr>
  </w:style>
  <w:style w:type="paragraph" w:customStyle="1" w:styleId="affff5">
    <w:name w:val="макрос"/>
    <w:link w:val="affff6"/>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6">
    <w:name w:val="Текст макроса (знак)"/>
    <w:basedOn w:val="a3"/>
    <w:link w:val="affff5"/>
    <w:uiPriority w:val="99"/>
    <w:semiHidden/>
    <w:rPr>
      <w:rFonts w:ascii="Consolas" w:hAnsi="Consolas" w:cs="Consolas"/>
      <w:sz w:val="20"/>
    </w:rPr>
  </w:style>
  <w:style w:type="table" w:styleId="1b">
    <w:name w:val="Medium Grid 1"/>
    <w:basedOn w:val="a4"/>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a4"/>
    <w:uiPriority w:val="67"/>
    <w:pPr>
      <w:spacing w:after="0" w:line="240" w:lineRule="auto"/>
    </w:pPr>
    <w:tblPr>
      <w:tblStyleRowBandSize w:val="1"/>
      <w:tblStyleColBandSize w:val="1"/>
      <w:tblInd w:w="0" w:type="dxa"/>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insideV w:val="single" w:sz="8" w:space="0" w:color="FD0404" w:themeColor="accent1" w:themeTint="BF"/>
      </w:tblBorders>
      <w:tblCellMar>
        <w:top w:w="0" w:type="dxa"/>
        <w:left w:w="108" w:type="dxa"/>
        <w:bottom w:w="0" w:type="dxa"/>
        <w:right w:w="108" w:type="dxa"/>
      </w:tblCellMar>
    </w:tblPr>
    <w:tcPr>
      <w:shd w:val="clear" w:color="auto" w:fill="FEACAC" w:themeFill="accent1" w:themeFillTint="3F"/>
    </w:tcPr>
    <w:tblStylePr w:type="firstRow">
      <w:rPr>
        <w:b/>
        <w:bCs/>
      </w:rPr>
    </w:tblStylePr>
    <w:tblStylePr w:type="lastRow">
      <w:rPr>
        <w:b/>
        <w:bCs/>
      </w:rPr>
      <w:tblPr/>
      <w:tcPr>
        <w:tcBorders>
          <w:top w:val="single" w:sz="18" w:space="0" w:color="FD0404" w:themeColor="accent1" w:themeTint="BF"/>
        </w:tcBorders>
      </w:tcPr>
    </w:tblStylePr>
    <w:tblStylePr w:type="firstCol">
      <w:rPr>
        <w:b/>
        <w:bCs/>
      </w:rPr>
    </w:tblStylePr>
    <w:tblStylePr w:type="lastCol">
      <w:rPr>
        <w:b/>
        <w:bCs/>
      </w:rPr>
    </w:tblStylePr>
    <w:tblStylePr w:type="band1Vert">
      <w:tblPr/>
      <w:tcPr>
        <w:shd w:val="clear" w:color="auto" w:fill="FE5858" w:themeFill="accent1" w:themeFillTint="7F"/>
      </w:tcPr>
    </w:tblStylePr>
    <w:tblStylePr w:type="band1Horz">
      <w:tblPr/>
      <w:tcPr>
        <w:shd w:val="clear" w:color="auto" w:fill="FE5858" w:themeFill="accent1" w:themeFillTint="7F"/>
      </w:tcPr>
    </w:tblStylePr>
  </w:style>
  <w:style w:type="table" w:customStyle="1" w:styleId="120">
    <w:name w:val="Средняя сетка 1 — акцент 2"/>
    <w:basedOn w:val="a4"/>
    <w:uiPriority w:val="67"/>
    <w:pPr>
      <w:spacing w:after="0" w:line="240" w:lineRule="auto"/>
    </w:pPr>
    <w:tblPr>
      <w:tblStyleRowBandSize w:val="1"/>
      <w:tblStyleColBandSize w:val="1"/>
      <w:tblInd w:w="0" w:type="dxa"/>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insideV w:val="single" w:sz="8" w:space="0" w:color="9B867A" w:themeColor="accent2" w:themeTint="BF"/>
      </w:tblBorders>
      <w:tblCellMar>
        <w:top w:w="0" w:type="dxa"/>
        <w:left w:w="108" w:type="dxa"/>
        <w:bottom w:w="0" w:type="dxa"/>
        <w:right w:w="108" w:type="dxa"/>
      </w:tblCellMar>
    </w:tblPr>
    <w:tcPr>
      <w:shd w:val="clear" w:color="auto" w:fill="DED7D3" w:themeFill="accent2" w:themeFillTint="3F"/>
    </w:tcPr>
    <w:tblStylePr w:type="firstRow">
      <w:rPr>
        <w:b/>
        <w:bCs/>
      </w:rPr>
    </w:tblStylePr>
    <w:tblStylePr w:type="lastRow">
      <w:rPr>
        <w:b/>
        <w:bCs/>
      </w:rPr>
      <w:tblPr/>
      <w:tcPr>
        <w:tcBorders>
          <w:top w:val="single" w:sz="18" w:space="0" w:color="9B867A" w:themeColor="accent2" w:themeTint="BF"/>
        </w:tcBorders>
      </w:tcPr>
    </w:tblStylePr>
    <w:tblStylePr w:type="firstCol">
      <w:rPr>
        <w:b/>
        <w:bCs/>
      </w:rPr>
    </w:tblStylePr>
    <w:tblStylePr w:type="lastCol">
      <w:rPr>
        <w:b/>
        <w:bCs/>
      </w:r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customStyle="1" w:styleId="130">
    <w:name w:val="Средняя сетка 1 — акцент 3"/>
    <w:basedOn w:val="a4"/>
    <w:uiPriority w:val="67"/>
    <w:pPr>
      <w:spacing w:after="0" w:line="240" w:lineRule="auto"/>
    </w:pPr>
    <w:tblPr>
      <w:tblStyleRowBandSize w:val="1"/>
      <w:tblStyleColBandSize w:val="1"/>
      <w:tblInd w:w="0" w:type="dxa"/>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insideV w:val="single" w:sz="8" w:space="0" w:color="C0AF92" w:themeColor="accent3" w:themeTint="BF"/>
      </w:tblBorders>
      <w:tblCellMar>
        <w:top w:w="0" w:type="dxa"/>
        <w:left w:w="108" w:type="dxa"/>
        <w:bottom w:w="0" w:type="dxa"/>
        <w:right w:w="108" w:type="dxa"/>
      </w:tblCellMar>
    </w:tblPr>
    <w:tcPr>
      <w:shd w:val="clear" w:color="auto" w:fill="EAE4DB" w:themeFill="accent3" w:themeFillTint="3F"/>
    </w:tcPr>
    <w:tblStylePr w:type="firstRow">
      <w:rPr>
        <w:b/>
        <w:bCs/>
      </w:rPr>
    </w:tblStylePr>
    <w:tblStylePr w:type="lastRow">
      <w:rPr>
        <w:b/>
        <w:bCs/>
      </w:rPr>
      <w:tblPr/>
      <w:tcPr>
        <w:tcBorders>
          <w:top w:val="single" w:sz="18" w:space="0" w:color="C0AF92" w:themeColor="accent3" w:themeTint="BF"/>
        </w:tcBorders>
      </w:tcPr>
    </w:tblStylePr>
    <w:tblStylePr w:type="firstCol">
      <w:rPr>
        <w:b/>
        <w:bCs/>
      </w:rPr>
    </w:tblStylePr>
    <w:tblStylePr w:type="lastCol">
      <w:rPr>
        <w:b/>
        <w:bCs/>
      </w:r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customStyle="1" w:styleId="140">
    <w:name w:val="Средняя сетка 1 — акцент 4"/>
    <w:basedOn w:val="a4"/>
    <w:uiPriority w:val="67"/>
    <w:pPr>
      <w:spacing w:after="0" w:line="240" w:lineRule="auto"/>
    </w:pPr>
    <w:tblPr>
      <w:tblStyleRowBandSize w:val="1"/>
      <w:tblStyleColBandSize w:val="1"/>
      <w:tblInd w:w="0" w:type="dxa"/>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insideV w:val="single" w:sz="8" w:space="0" w:color="9FA9BE" w:themeColor="accent4" w:themeTint="BF"/>
      </w:tblBorders>
      <w:tblCellMar>
        <w:top w:w="0" w:type="dxa"/>
        <w:left w:w="108" w:type="dxa"/>
        <w:bottom w:w="0" w:type="dxa"/>
        <w:right w:w="108" w:type="dxa"/>
      </w:tblCellMar>
    </w:tblPr>
    <w:tcPr>
      <w:shd w:val="clear" w:color="auto" w:fill="DFE2E9" w:themeFill="accent4" w:themeFillTint="3F"/>
    </w:tcPr>
    <w:tblStylePr w:type="firstRow">
      <w:rPr>
        <w:b/>
        <w:bCs/>
      </w:rPr>
    </w:tblStylePr>
    <w:tblStylePr w:type="lastRow">
      <w:rPr>
        <w:b/>
        <w:bCs/>
      </w:rPr>
      <w:tblPr/>
      <w:tcPr>
        <w:tcBorders>
          <w:top w:val="single" w:sz="18" w:space="0" w:color="9FA9BE" w:themeColor="accent4" w:themeTint="BF"/>
        </w:tcBorders>
      </w:tcPr>
    </w:tblStylePr>
    <w:tblStylePr w:type="firstCol">
      <w:rPr>
        <w:b/>
        <w:bCs/>
      </w:rPr>
    </w:tblStylePr>
    <w:tblStylePr w:type="lastCol">
      <w:rPr>
        <w:b/>
        <w:bCs/>
      </w:r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table" w:customStyle="1" w:styleId="150">
    <w:name w:val="Средняя сетка 1 — акцент 5"/>
    <w:basedOn w:val="a4"/>
    <w:uiPriority w:val="67"/>
    <w:pPr>
      <w:spacing w:after="0" w:line="240" w:lineRule="auto"/>
    </w:pPr>
    <w:tblPr>
      <w:tblStyleRowBandSize w:val="1"/>
      <w:tblStyleColBandSize w:val="1"/>
      <w:tblInd w:w="0" w:type="dxa"/>
      <w:tbl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single" w:sz="8" w:space="0" w:color="67798E" w:themeColor="accent5" w:themeTint="BF"/>
        <w:insideV w:val="single" w:sz="8" w:space="0" w:color="67798E" w:themeColor="accent5" w:themeTint="BF"/>
      </w:tblBorders>
      <w:tblCellMar>
        <w:top w:w="0" w:type="dxa"/>
        <w:left w:w="108" w:type="dxa"/>
        <w:bottom w:w="0" w:type="dxa"/>
        <w:right w:w="108" w:type="dxa"/>
      </w:tblCellMar>
    </w:tblPr>
    <w:tcPr>
      <w:shd w:val="clear" w:color="auto" w:fill="CCD3DA" w:themeFill="accent5" w:themeFillTint="3F"/>
    </w:tcPr>
    <w:tblStylePr w:type="firstRow">
      <w:rPr>
        <w:b/>
        <w:bCs/>
      </w:rPr>
    </w:tblStylePr>
    <w:tblStylePr w:type="lastRow">
      <w:rPr>
        <w:b/>
        <w:bCs/>
      </w:rPr>
      <w:tblPr/>
      <w:tcPr>
        <w:tcBorders>
          <w:top w:val="single" w:sz="18" w:space="0" w:color="67798E" w:themeColor="accent5" w:themeTint="BF"/>
        </w:tcBorders>
      </w:tcPr>
    </w:tblStylePr>
    <w:tblStylePr w:type="firstCol">
      <w:rPr>
        <w:b/>
        <w:bCs/>
      </w:rPr>
    </w:tblStylePr>
    <w:tblStylePr w:type="lastCol">
      <w:rPr>
        <w:b/>
        <w:bCs/>
      </w:rPr>
    </w:tblStylePr>
    <w:tblStylePr w:type="band1Vert">
      <w:tblPr/>
      <w:tcPr>
        <w:shd w:val="clear" w:color="auto" w:fill="99A6B5" w:themeFill="accent5" w:themeFillTint="7F"/>
      </w:tcPr>
    </w:tblStylePr>
    <w:tblStylePr w:type="band1Horz">
      <w:tblPr/>
      <w:tcPr>
        <w:shd w:val="clear" w:color="auto" w:fill="99A6B5" w:themeFill="accent5" w:themeFillTint="7F"/>
      </w:tcPr>
    </w:tblStylePr>
  </w:style>
  <w:style w:type="table" w:customStyle="1" w:styleId="160">
    <w:name w:val="Средняя сетка 1 — акцент 6"/>
    <w:basedOn w:val="a4"/>
    <w:uiPriority w:val="67"/>
    <w:pPr>
      <w:spacing w:after="0" w:line="240" w:lineRule="auto"/>
    </w:pPr>
    <w:tblPr>
      <w:tblStyleRowBandSize w:val="1"/>
      <w:tblStyleColBandSize w:val="1"/>
      <w:tblInd w:w="0" w:type="dxa"/>
      <w:tbl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single" w:sz="8" w:space="0" w:color="D61A00" w:themeColor="accent6" w:themeTint="BF"/>
        <w:insideV w:val="single" w:sz="8" w:space="0" w:color="D61A00" w:themeColor="accent6" w:themeTint="BF"/>
      </w:tblBorders>
      <w:tblCellMar>
        <w:top w:w="0" w:type="dxa"/>
        <w:left w:w="108" w:type="dxa"/>
        <w:bottom w:w="0" w:type="dxa"/>
        <w:right w:w="108" w:type="dxa"/>
      </w:tblCellMar>
    </w:tblPr>
    <w:tcPr>
      <w:shd w:val="clear" w:color="auto" w:fill="FFA99D" w:themeFill="accent6" w:themeFillTint="3F"/>
    </w:tcPr>
    <w:tblStylePr w:type="firstRow">
      <w:rPr>
        <w:b/>
        <w:bCs/>
      </w:rPr>
    </w:tblStylePr>
    <w:tblStylePr w:type="lastRow">
      <w:rPr>
        <w:b/>
        <w:bCs/>
      </w:rPr>
      <w:tblPr/>
      <w:tcPr>
        <w:tcBorders>
          <w:top w:val="single" w:sz="18" w:space="0" w:color="D61A00" w:themeColor="accent6" w:themeTint="BF"/>
        </w:tcBorders>
      </w:tcPr>
    </w:tblStylePr>
    <w:tblStylePr w:type="firstCol">
      <w:rPr>
        <w:b/>
        <w:bCs/>
      </w:rPr>
    </w:tblStylePr>
    <w:tblStylePr w:type="lastCol">
      <w:rPr>
        <w:b/>
        <w:bCs/>
      </w:rPr>
    </w:tblStylePr>
    <w:tblStylePr w:type="band1Vert">
      <w:tblPr/>
      <w:tcPr>
        <w:shd w:val="clear" w:color="auto" w:fill="FF513A" w:themeFill="accent6" w:themeFillTint="7F"/>
      </w:tcPr>
    </w:tblStylePr>
    <w:tblStylePr w:type="band1Horz">
      <w:tblPr/>
      <w:tcPr>
        <w:shd w:val="clear" w:color="auto" w:fill="FF513A" w:themeFill="accent6" w:themeFillTint="7F"/>
      </w:tcPr>
    </w:tblStylePr>
  </w:style>
  <w:style w:type="table" w:styleId="2f5">
    <w:name w:val="Medium Grid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cPr>
      <w:shd w:val="clear" w:color="auto" w:fill="FEACAC" w:themeFill="accent1" w:themeFillTint="3F"/>
    </w:tcPr>
    <w:tblStylePr w:type="firstRow">
      <w:rPr>
        <w:b/>
        <w:bCs/>
        <w:color w:val="000000" w:themeColor="text1"/>
      </w:rPr>
      <w:tblPr/>
      <w:tcPr>
        <w:shd w:val="clear" w:color="auto" w:fill="FEDED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BCBC" w:themeFill="accent1" w:themeFillTint="33"/>
      </w:tcPr>
    </w:tblStylePr>
    <w:tblStylePr w:type="band1Vert">
      <w:tblPr/>
      <w:tcPr>
        <w:shd w:val="clear" w:color="auto" w:fill="FE5858" w:themeFill="accent1" w:themeFillTint="7F"/>
      </w:tcPr>
    </w:tblStylePr>
    <w:tblStylePr w:type="band1Horz">
      <w:tblPr/>
      <w:tcPr>
        <w:tcBorders>
          <w:insideH w:val="single" w:sz="6" w:space="0" w:color="AD0101" w:themeColor="accent1"/>
          <w:insideV w:val="single" w:sz="6" w:space="0" w:color="AD0101" w:themeColor="accent1"/>
        </w:tcBorders>
        <w:shd w:val="clear" w:color="auto" w:fill="FE5858"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CellMar>
        <w:top w:w="0" w:type="dxa"/>
        <w:left w:w="108" w:type="dxa"/>
        <w:bottom w:w="0" w:type="dxa"/>
        <w:right w:w="108" w:type="dxa"/>
      </w:tblCellMar>
    </w:tblPr>
    <w:tcPr>
      <w:shd w:val="clear" w:color="auto" w:fill="DED7D3" w:themeFill="accent2" w:themeFillTint="3F"/>
    </w:tcPr>
    <w:tblStylePr w:type="firstRow">
      <w:rPr>
        <w:b/>
        <w:bCs/>
        <w:color w:val="000000" w:themeColor="text1"/>
      </w:rPr>
      <w:tblPr/>
      <w:tcPr>
        <w:shd w:val="clear" w:color="auto" w:fill="F1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DEDB" w:themeFill="accent2" w:themeFillTint="33"/>
      </w:tcPr>
    </w:tblStylePr>
    <w:tblStylePr w:type="band1Vert">
      <w:tblPr/>
      <w:tcPr>
        <w:shd w:val="clear" w:color="auto" w:fill="BCAEA6" w:themeFill="accent2" w:themeFillTint="7F"/>
      </w:tcPr>
    </w:tblStylePr>
    <w:tblStylePr w:type="band1Horz">
      <w:tblPr/>
      <w:tcPr>
        <w:tcBorders>
          <w:insideH w:val="single" w:sz="6" w:space="0" w:color="726056" w:themeColor="accent2"/>
          <w:insideV w:val="single" w:sz="6" w:space="0" w:color="726056" w:themeColor="accent2"/>
        </w:tcBorders>
        <w:shd w:val="clear" w:color="auto" w:fill="BCAEA6"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CellMar>
        <w:top w:w="0" w:type="dxa"/>
        <w:left w:w="108" w:type="dxa"/>
        <w:bottom w:w="0" w:type="dxa"/>
        <w:right w:w="108" w:type="dxa"/>
      </w:tblCellMar>
    </w:tblPr>
    <w:tcPr>
      <w:shd w:val="clear" w:color="auto" w:fill="EAE4DB" w:themeFill="accent3" w:themeFillTint="3F"/>
    </w:tcPr>
    <w:tblStylePr w:type="firstRow">
      <w:rPr>
        <w:b/>
        <w:bCs/>
        <w:color w:val="000000" w:themeColor="text1"/>
      </w:rPr>
      <w:tblPr/>
      <w:tcPr>
        <w:shd w:val="clear" w:color="auto" w:fill="F6F4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9E1" w:themeFill="accent3" w:themeFillTint="33"/>
      </w:tcPr>
    </w:tblStylePr>
    <w:tblStylePr w:type="band1Vert">
      <w:tblPr/>
      <w:tcPr>
        <w:shd w:val="clear" w:color="auto" w:fill="D5CAB6" w:themeFill="accent3" w:themeFillTint="7F"/>
      </w:tcPr>
    </w:tblStylePr>
    <w:tblStylePr w:type="band1Horz">
      <w:tblPr/>
      <w:tcPr>
        <w:tcBorders>
          <w:insideH w:val="single" w:sz="6" w:space="0" w:color="AC956E" w:themeColor="accent3"/>
          <w:insideV w:val="single" w:sz="6" w:space="0" w:color="AC956E" w:themeColor="accent3"/>
        </w:tcBorders>
        <w:shd w:val="clear" w:color="auto" w:fill="D5CAB6"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CellMar>
        <w:top w:w="0" w:type="dxa"/>
        <w:left w:w="108" w:type="dxa"/>
        <w:bottom w:w="0" w:type="dxa"/>
        <w:right w:w="108" w:type="dxa"/>
      </w:tblCellMar>
    </w:tblPr>
    <w:tcPr>
      <w:shd w:val="clear" w:color="auto" w:fill="DFE2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5D4" w:themeFill="accent4" w:themeFillTint="7F"/>
      </w:tcPr>
    </w:tblStylePr>
    <w:tblStylePr w:type="band1Horz">
      <w:tblPr/>
      <w:tcPr>
        <w:tcBorders>
          <w:insideH w:val="single" w:sz="6" w:space="0" w:color="808DA9" w:themeColor="accent4"/>
          <w:insideV w:val="single" w:sz="6" w:space="0" w:color="808DA9" w:themeColor="accent4"/>
        </w:tcBorders>
        <w:shd w:val="clear" w:color="auto" w:fill="BFC5D4"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CellMar>
        <w:top w:w="0" w:type="dxa"/>
        <w:left w:w="108" w:type="dxa"/>
        <w:bottom w:w="0" w:type="dxa"/>
        <w:right w:w="108" w:type="dxa"/>
      </w:tblCellMar>
    </w:tblPr>
    <w:tcPr>
      <w:shd w:val="clear" w:color="auto" w:fill="CCD3DA" w:themeFill="accent5" w:themeFillTint="3F"/>
    </w:tcPr>
    <w:tblStylePr w:type="firstRow">
      <w:rPr>
        <w:b/>
        <w:bCs/>
        <w:color w:val="000000" w:themeColor="text1"/>
      </w:rPr>
      <w:tblPr/>
      <w:tcPr>
        <w:shd w:val="clear" w:color="auto" w:fill="EAED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BE1" w:themeFill="accent5" w:themeFillTint="33"/>
      </w:tcPr>
    </w:tblStylePr>
    <w:tblStylePr w:type="band1Vert">
      <w:tblPr/>
      <w:tcPr>
        <w:shd w:val="clear" w:color="auto" w:fill="99A6B5" w:themeFill="accent5" w:themeFillTint="7F"/>
      </w:tcPr>
    </w:tblStylePr>
    <w:tblStylePr w:type="band1Horz">
      <w:tblPr/>
      <w:tcPr>
        <w:tcBorders>
          <w:insideH w:val="single" w:sz="6" w:space="0" w:color="424E5B" w:themeColor="accent5"/>
          <w:insideV w:val="single" w:sz="6" w:space="0" w:color="424E5B" w:themeColor="accent5"/>
        </w:tcBorders>
        <w:shd w:val="clear" w:color="auto" w:fill="99A6B5"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insideH w:val="single" w:sz="8" w:space="0" w:color="730E00" w:themeColor="accent6"/>
        <w:insideV w:val="single" w:sz="8" w:space="0" w:color="730E00" w:themeColor="accent6"/>
      </w:tblBorders>
      <w:tblCellMar>
        <w:top w:w="0" w:type="dxa"/>
        <w:left w:w="108" w:type="dxa"/>
        <w:bottom w:w="0" w:type="dxa"/>
        <w:right w:w="108" w:type="dxa"/>
      </w:tblCellMar>
    </w:tblPr>
    <w:tcPr>
      <w:shd w:val="clear" w:color="auto" w:fill="FFA99D" w:themeFill="accent6" w:themeFillTint="3F"/>
    </w:tcPr>
    <w:tblStylePr w:type="firstRow">
      <w:rPr>
        <w:b/>
        <w:bCs/>
        <w:color w:val="000000" w:themeColor="text1"/>
      </w:rPr>
      <w:tblPr/>
      <w:tcPr>
        <w:shd w:val="clear" w:color="auto" w:fill="FFDCD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9B0" w:themeFill="accent6" w:themeFillTint="33"/>
      </w:tcPr>
    </w:tblStylePr>
    <w:tblStylePr w:type="band1Vert">
      <w:tblPr/>
      <w:tcPr>
        <w:shd w:val="clear" w:color="auto" w:fill="FF513A" w:themeFill="accent6" w:themeFillTint="7F"/>
      </w:tcPr>
    </w:tblStylePr>
    <w:tblStylePr w:type="band1Horz">
      <w:tblPr/>
      <w:tcPr>
        <w:tcBorders>
          <w:insideH w:val="single" w:sz="6" w:space="0" w:color="730E00" w:themeColor="accent6"/>
          <w:insideV w:val="single" w:sz="6" w:space="0" w:color="730E00" w:themeColor="accent6"/>
        </w:tcBorders>
        <w:shd w:val="clear" w:color="auto" w:fill="FF513A" w:themeFill="accent6" w:themeFillTint="7F"/>
      </w:tcPr>
    </w:tblStylePr>
    <w:tblStylePr w:type="nwCell">
      <w:tblPr/>
      <w:tcPr>
        <w:shd w:val="clear" w:color="auto" w:fill="FFFFFF" w:themeFill="background1"/>
      </w:tcPr>
    </w:tblStylePr>
  </w:style>
  <w:style w:type="table" w:styleId="3f3">
    <w:name w:val="Medium Grid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Средняя сетка 3 — акцент 1"/>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customStyle="1" w:styleId="320">
    <w:name w:val="Средняя сетка 3 — акцент 2"/>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table" w:customStyle="1" w:styleId="330">
    <w:name w:val="Средняя сетка 3 — акцент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E4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95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95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AB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AB6" w:themeFill="accent3" w:themeFillTint="7F"/>
      </w:tcPr>
    </w:tblStylePr>
  </w:style>
  <w:style w:type="table" w:customStyle="1" w:styleId="340">
    <w:name w:val="Средняя сетка 3 — акцент 4"/>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2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5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5D4" w:themeFill="accent4" w:themeFillTint="7F"/>
      </w:tcPr>
    </w:tblStylePr>
  </w:style>
  <w:style w:type="table" w:customStyle="1" w:styleId="350">
    <w:name w:val="Средняя сетка 3 — акцент 5"/>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D3D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4E5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4E5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A6B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A6B5" w:themeFill="accent5" w:themeFillTint="7F"/>
      </w:tcPr>
    </w:tblStylePr>
  </w:style>
  <w:style w:type="table" w:customStyle="1" w:styleId="360">
    <w:name w:val="Средняя сетка 3 — акцент 6"/>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99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0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0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0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0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13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13A" w:themeFill="accent6" w:themeFillTint="7F"/>
      </w:tcPr>
    </w:tblStylePr>
  </w:style>
  <w:style w:type="table" w:styleId="1c">
    <w:name w:val="Medium List 1"/>
    <w:basedOn w:val="a4"/>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a4"/>
    <w:uiPriority w:val="65"/>
    <w:pPr>
      <w:spacing w:after="0" w:line="240" w:lineRule="auto"/>
    </w:pPr>
    <w:rPr>
      <w:color w:val="000000" w:themeColor="text1"/>
    </w:rPr>
    <w:tblPr>
      <w:tblStyleRowBandSize w:val="1"/>
      <w:tblStyleColBandSize w:val="1"/>
      <w:tblInd w:w="0" w:type="dxa"/>
      <w:tblBorders>
        <w:top w:val="single" w:sz="8" w:space="0" w:color="AD0101" w:themeColor="accent1"/>
        <w:bottom w:val="single" w:sz="8" w:space="0" w:color="AD0101"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D0101" w:themeColor="accent1"/>
        </w:tcBorders>
      </w:tcPr>
    </w:tblStylePr>
    <w:tblStylePr w:type="lastRow">
      <w:rPr>
        <w:b/>
        <w:bCs/>
        <w:color w:val="303030" w:themeColor="text2"/>
      </w:rPr>
      <w:tblPr/>
      <w:tcPr>
        <w:tcBorders>
          <w:top w:val="single" w:sz="8" w:space="0" w:color="AD0101" w:themeColor="accent1"/>
          <w:bottom w:val="single" w:sz="8" w:space="0" w:color="AD0101" w:themeColor="accent1"/>
        </w:tcBorders>
      </w:tcPr>
    </w:tblStylePr>
    <w:tblStylePr w:type="firstCol">
      <w:rPr>
        <w:b/>
        <w:bCs/>
      </w:rPr>
    </w:tblStylePr>
    <w:tblStylePr w:type="lastCol">
      <w:rPr>
        <w:b/>
        <w:bCs/>
      </w:rPr>
      <w:tblPr/>
      <w:tcPr>
        <w:tcBorders>
          <w:top w:val="single" w:sz="8" w:space="0" w:color="AD0101" w:themeColor="accent1"/>
          <w:bottom w:val="single" w:sz="8" w:space="0" w:color="AD0101" w:themeColor="accent1"/>
        </w:tcBorders>
      </w:tcPr>
    </w:tblStylePr>
    <w:tblStylePr w:type="band1Vert">
      <w:tblPr/>
      <w:tcPr>
        <w:shd w:val="clear" w:color="auto" w:fill="FEACAC" w:themeFill="accent1" w:themeFillTint="3F"/>
      </w:tcPr>
    </w:tblStylePr>
    <w:tblStylePr w:type="band1Horz">
      <w:tblPr/>
      <w:tcPr>
        <w:shd w:val="clear" w:color="auto" w:fill="FEACAC" w:themeFill="accent1" w:themeFillTint="3F"/>
      </w:tcPr>
    </w:tblStylePr>
  </w:style>
  <w:style w:type="table" w:customStyle="1" w:styleId="121">
    <w:name w:val="Средний список 1 — акцент 2"/>
    <w:basedOn w:val="a4"/>
    <w:uiPriority w:val="65"/>
    <w:pPr>
      <w:spacing w:after="0" w:line="240" w:lineRule="auto"/>
    </w:pPr>
    <w:rPr>
      <w:color w:val="000000" w:themeColor="text1"/>
    </w:rPr>
    <w:tblPr>
      <w:tblStyleRowBandSize w:val="1"/>
      <w:tblStyleColBandSize w:val="1"/>
      <w:tblInd w:w="0" w:type="dxa"/>
      <w:tblBorders>
        <w:top w:val="single" w:sz="8" w:space="0" w:color="726056" w:themeColor="accent2"/>
        <w:bottom w:val="single" w:sz="8" w:space="0" w:color="72605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26056" w:themeColor="accent2"/>
        </w:tcBorders>
      </w:tcPr>
    </w:tblStylePr>
    <w:tblStylePr w:type="lastRow">
      <w:rPr>
        <w:b/>
        <w:bCs/>
        <w:color w:val="303030" w:themeColor="text2"/>
      </w:rPr>
      <w:tblPr/>
      <w:tcPr>
        <w:tcBorders>
          <w:top w:val="single" w:sz="8" w:space="0" w:color="726056" w:themeColor="accent2"/>
          <w:bottom w:val="single" w:sz="8" w:space="0" w:color="726056" w:themeColor="accent2"/>
        </w:tcBorders>
      </w:tcPr>
    </w:tblStylePr>
    <w:tblStylePr w:type="firstCol">
      <w:rPr>
        <w:b/>
        <w:bCs/>
      </w:rPr>
    </w:tblStylePr>
    <w:tblStylePr w:type="lastCol">
      <w:rPr>
        <w:b/>
        <w:bCs/>
      </w:rPr>
      <w:tblPr/>
      <w:tcPr>
        <w:tcBorders>
          <w:top w:val="single" w:sz="8" w:space="0" w:color="726056" w:themeColor="accent2"/>
          <w:bottom w:val="single" w:sz="8" w:space="0" w:color="726056" w:themeColor="accent2"/>
        </w:tcBorders>
      </w:tcPr>
    </w:tblStylePr>
    <w:tblStylePr w:type="band1Vert">
      <w:tblPr/>
      <w:tcPr>
        <w:shd w:val="clear" w:color="auto" w:fill="DED7D3" w:themeFill="accent2" w:themeFillTint="3F"/>
      </w:tcPr>
    </w:tblStylePr>
    <w:tblStylePr w:type="band1Horz">
      <w:tblPr/>
      <w:tcPr>
        <w:shd w:val="clear" w:color="auto" w:fill="DED7D3" w:themeFill="accent2" w:themeFillTint="3F"/>
      </w:tcPr>
    </w:tblStylePr>
  </w:style>
  <w:style w:type="table" w:customStyle="1" w:styleId="131">
    <w:name w:val="Средний список 1 — акцент 3"/>
    <w:basedOn w:val="a4"/>
    <w:uiPriority w:val="65"/>
    <w:pPr>
      <w:spacing w:after="0" w:line="240" w:lineRule="auto"/>
    </w:pPr>
    <w:rPr>
      <w:color w:val="000000" w:themeColor="text1"/>
    </w:rPr>
    <w:tblPr>
      <w:tblStyleRowBandSize w:val="1"/>
      <w:tblStyleColBandSize w:val="1"/>
      <w:tblInd w:w="0" w:type="dxa"/>
      <w:tblBorders>
        <w:top w:val="single" w:sz="8" w:space="0" w:color="AC956E" w:themeColor="accent3"/>
        <w:bottom w:val="single" w:sz="8" w:space="0" w:color="AC956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C956E" w:themeColor="accent3"/>
        </w:tcBorders>
      </w:tcPr>
    </w:tblStylePr>
    <w:tblStylePr w:type="lastRow">
      <w:rPr>
        <w:b/>
        <w:bCs/>
        <w:color w:val="303030" w:themeColor="text2"/>
      </w:rPr>
      <w:tblPr/>
      <w:tcPr>
        <w:tcBorders>
          <w:top w:val="single" w:sz="8" w:space="0" w:color="AC956E" w:themeColor="accent3"/>
          <w:bottom w:val="single" w:sz="8" w:space="0" w:color="AC956E" w:themeColor="accent3"/>
        </w:tcBorders>
      </w:tcPr>
    </w:tblStylePr>
    <w:tblStylePr w:type="firstCol">
      <w:rPr>
        <w:b/>
        <w:bCs/>
      </w:rPr>
    </w:tblStylePr>
    <w:tblStylePr w:type="lastCol">
      <w:rPr>
        <w:b/>
        <w:bCs/>
      </w:rPr>
      <w:tblPr/>
      <w:tcPr>
        <w:tcBorders>
          <w:top w:val="single" w:sz="8" w:space="0" w:color="AC956E" w:themeColor="accent3"/>
          <w:bottom w:val="single" w:sz="8" w:space="0" w:color="AC956E" w:themeColor="accent3"/>
        </w:tcBorders>
      </w:tcPr>
    </w:tblStylePr>
    <w:tblStylePr w:type="band1Vert">
      <w:tblPr/>
      <w:tcPr>
        <w:shd w:val="clear" w:color="auto" w:fill="EAE4DB" w:themeFill="accent3" w:themeFillTint="3F"/>
      </w:tcPr>
    </w:tblStylePr>
    <w:tblStylePr w:type="band1Horz">
      <w:tblPr/>
      <w:tcPr>
        <w:shd w:val="clear" w:color="auto" w:fill="EAE4DB" w:themeFill="accent3" w:themeFillTint="3F"/>
      </w:tcPr>
    </w:tblStylePr>
  </w:style>
  <w:style w:type="table" w:customStyle="1" w:styleId="141">
    <w:name w:val="Средний список 1 — акцент 4"/>
    <w:basedOn w:val="a4"/>
    <w:uiPriority w:val="65"/>
    <w:pPr>
      <w:spacing w:after="0" w:line="240" w:lineRule="auto"/>
    </w:pPr>
    <w:rPr>
      <w:color w:val="000000" w:themeColor="text1"/>
    </w:rPr>
    <w:tblPr>
      <w:tblStyleRowBandSize w:val="1"/>
      <w:tblStyleColBandSize w:val="1"/>
      <w:tblInd w:w="0" w:type="dxa"/>
      <w:tblBorders>
        <w:top w:val="single" w:sz="8" w:space="0" w:color="808DA9" w:themeColor="accent4"/>
        <w:bottom w:val="single" w:sz="8" w:space="0" w:color="808DA9"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DA9" w:themeColor="accent4"/>
        </w:tcBorders>
      </w:tcPr>
    </w:tblStylePr>
    <w:tblStylePr w:type="lastRow">
      <w:rPr>
        <w:b/>
        <w:bCs/>
        <w:color w:val="303030" w:themeColor="text2"/>
      </w:rPr>
      <w:tblPr/>
      <w:tcPr>
        <w:tcBorders>
          <w:top w:val="single" w:sz="8" w:space="0" w:color="808DA9" w:themeColor="accent4"/>
          <w:bottom w:val="single" w:sz="8" w:space="0" w:color="808DA9" w:themeColor="accent4"/>
        </w:tcBorders>
      </w:tcPr>
    </w:tblStylePr>
    <w:tblStylePr w:type="firstCol">
      <w:rPr>
        <w:b/>
        <w:bCs/>
      </w:rPr>
    </w:tblStylePr>
    <w:tblStylePr w:type="lastCol">
      <w:rPr>
        <w:b/>
        <w:bCs/>
      </w:rPr>
      <w:tblPr/>
      <w:tcPr>
        <w:tcBorders>
          <w:top w:val="single" w:sz="8" w:space="0" w:color="808DA9" w:themeColor="accent4"/>
          <w:bottom w:val="single" w:sz="8" w:space="0" w:color="808DA9" w:themeColor="accent4"/>
        </w:tcBorders>
      </w:tcPr>
    </w:tblStylePr>
    <w:tblStylePr w:type="band1Vert">
      <w:tblPr/>
      <w:tcPr>
        <w:shd w:val="clear" w:color="auto" w:fill="DFE2E9" w:themeFill="accent4" w:themeFillTint="3F"/>
      </w:tcPr>
    </w:tblStylePr>
    <w:tblStylePr w:type="band1Horz">
      <w:tblPr/>
      <w:tcPr>
        <w:shd w:val="clear" w:color="auto" w:fill="DFE2E9" w:themeFill="accent4" w:themeFillTint="3F"/>
      </w:tcPr>
    </w:tblStylePr>
  </w:style>
  <w:style w:type="table" w:customStyle="1" w:styleId="151">
    <w:name w:val="Средний список 1 — акцент 5"/>
    <w:basedOn w:val="a4"/>
    <w:uiPriority w:val="65"/>
    <w:pPr>
      <w:spacing w:after="0" w:line="240" w:lineRule="auto"/>
    </w:pPr>
    <w:rPr>
      <w:color w:val="000000" w:themeColor="text1"/>
    </w:rPr>
    <w:tblPr>
      <w:tblStyleRowBandSize w:val="1"/>
      <w:tblStyleColBandSize w:val="1"/>
      <w:tblInd w:w="0" w:type="dxa"/>
      <w:tblBorders>
        <w:top w:val="single" w:sz="8" w:space="0" w:color="424E5B" w:themeColor="accent5"/>
        <w:bottom w:val="single" w:sz="8" w:space="0" w:color="424E5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24E5B" w:themeColor="accent5"/>
        </w:tcBorders>
      </w:tcPr>
    </w:tblStylePr>
    <w:tblStylePr w:type="lastRow">
      <w:rPr>
        <w:b/>
        <w:bCs/>
        <w:color w:val="303030" w:themeColor="text2"/>
      </w:rPr>
      <w:tblPr/>
      <w:tcPr>
        <w:tcBorders>
          <w:top w:val="single" w:sz="8" w:space="0" w:color="424E5B" w:themeColor="accent5"/>
          <w:bottom w:val="single" w:sz="8" w:space="0" w:color="424E5B" w:themeColor="accent5"/>
        </w:tcBorders>
      </w:tcPr>
    </w:tblStylePr>
    <w:tblStylePr w:type="firstCol">
      <w:rPr>
        <w:b/>
        <w:bCs/>
      </w:rPr>
    </w:tblStylePr>
    <w:tblStylePr w:type="lastCol">
      <w:rPr>
        <w:b/>
        <w:bCs/>
      </w:rPr>
      <w:tblPr/>
      <w:tcPr>
        <w:tcBorders>
          <w:top w:val="single" w:sz="8" w:space="0" w:color="424E5B" w:themeColor="accent5"/>
          <w:bottom w:val="single" w:sz="8" w:space="0" w:color="424E5B" w:themeColor="accent5"/>
        </w:tcBorders>
      </w:tcPr>
    </w:tblStylePr>
    <w:tblStylePr w:type="band1Vert">
      <w:tblPr/>
      <w:tcPr>
        <w:shd w:val="clear" w:color="auto" w:fill="CCD3DA" w:themeFill="accent5" w:themeFillTint="3F"/>
      </w:tcPr>
    </w:tblStylePr>
    <w:tblStylePr w:type="band1Horz">
      <w:tblPr/>
      <w:tcPr>
        <w:shd w:val="clear" w:color="auto" w:fill="CCD3DA" w:themeFill="accent5" w:themeFillTint="3F"/>
      </w:tcPr>
    </w:tblStylePr>
  </w:style>
  <w:style w:type="table" w:customStyle="1" w:styleId="161">
    <w:name w:val="Средний список 1 — акцент 6"/>
    <w:basedOn w:val="a4"/>
    <w:uiPriority w:val="65"/>
    <w:pPr>
      <w:spacing w:after="0" w:line="240" w:lineRule="auto"/>
    </w:pPr>
    <w:rPr>
      <w:color w:val="000000" w:themeColor="text1"/>
    </w:rPr>
    <w:tblPr>
      <w:tblStyleRowBandSize w:val="1"/>
      <w:tblStyleColBandSize w:val="1"/>
      <w:tblInd w:w="0" w:type="dxa"/>
      <w:tblBorders>
        <w:top w:val="single" w:sz="8" w:space="0" w:color="730E00" w:themeColor="accent6"/>
        <w:bottom w:val="single" w:sz="8" w:space="0" w:color="730E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30E00" w:themeColor="accent6"/>
        </w:tcBorders>
      </w:tcPr>
    </w:tblStylePr>
    <w:tblStylePr w:type="lastRow">
      <w:rPr>
        <w:b/>
        <w:bCs/>
        <w:color w:val="303030" w:themeColor="text2"/>
      </w:rPr>
      <w:tblPr/>
      <w:tcPr>
        <w:tcBorders>
          <w:top w:val="single" w:sz="8" w:space="0" w:color="730E00" w:themeColor="accent6"/>
          <w:bottom w:val="single" w:sz="8" w:space="0" w:color="730E00" w:themeColor="accent6"/>
        </w:tcBorders>
      </w:tcPr>
    </w:tblStylePr>
    <w:tblStylePr w:type="firstCol">
      <w:rPr>
        <w:b/>
        <w:bCs/>
      </w:rPr>
    </w:tblStylePr>
    <w:tblStylePr w:type="lastCol">
      <w:rPr>
        <w:b/>
        <w:bCs/>
      </w:rPr>
      <w:tblPr/>
      <w:tcPr>
        <w:tcBorders>
          <w:top w:val="single" w:sz="8" w:space="0" w:color="730E00" w:themeColor="accent6"/>
          <w:bottom w:val="single" w:sz="8" w:space="0" w:color="730E00" w:themeColor="accent6"/>
        </w:tcBorders>
      </w:tcPr>
    </w:tblStylePr>
    <w:tblStylePr w:type="band1Vert">
      <w:tblPr/>
      <w:tcPr>
        <w:shd w:val="clear" w:color="auto" w:fill="FFA99D" w:themeFill="accent6" w:themeFillTint="3F"/>
      </w:tcPr>
    </w:tblStylePr>
    <w:tblStylePr w:type="band1Horz">
      <w:tblPr/>
      <w:tcPr>
        <w:shd w:val="clear" w:color="auto" w:fill="FFA99D" w:themeFill="accent6" w:themeFillTint="3F"/>
      </w:tcPr>
    </w:tblStylePr>
  </w:style>
  <w:style w:type="table" w:styleId="2f6">
    <w:name w:val="Medium List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tblPr/>
      <w:tcPr>
        <w:tcBorders>
          <w:top w:val="single" w:sz="8" w:space="0" w:color="72605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6056" w:themeColor="accent2"/>
          <w:insideH w:val="nil"/>
          <w:insideV w:val="nil"/>
        </w:tcBorders>
        <w:shd w:val="clear" w:color="auto" w:fill="FFFFFF" w:themeFill="background1"/>
      </w:tcPr>
    </w:tblStylePr>
    <w:tblStylePr w:type="lastCol">
      <w:tblPr/>
      <w:tcPr>
        <w:tcBorders>
          <w:top w:val="nil"/>
          <w:left w:val="single" w:sz="8" w:space="0" w:color="7260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top w:val="nil"/>
          <w:bottom w:val="nil"/>
          <w:insideH w:val="nil"/>
          <w:insideV w:val="nil"/>
        </w:tcBorders>
        <w:shd w:val="clear" w:color="auto" w:fill="DED7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C956E" w:themeColor="accent3"/>
          <w:right w:val="nil"/>
          <w:insideH w:val="nil"/>
          <w:insideV w:val="nil"/>
        </w:tcBorders>
        <w:shd w:val="clear" w:color="auto" w:fill="FFFFFF" w:themeFill="background1"/>
      </w:tcPr>
    </w:tblStylePr>
    <w:tblStylePr w:type="lastRow">
      <w:tblPr/>
      <w:tcPr>
        <w:tcBorders>
          <w:top w:val="single" w:sz="8" w:space="0" w:color="AC956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956E" w:themeColor="accent3"/>
          <w:insideH w:val="nil"/>
          <w:insideV w:val="nil"/>
        </w:tcBorders>
        <w:shd w:val="clear" w:color="auto" w:fill="FFFFFF" w:themeFill="background1"/>
      </w:tcPr>
    </w:tblStylePr>
    <w:tblStylePr w:type="lastCol">
      <w:tblPr/>
      <w:tcPr>
        <w:tcBorders>
          <w:top w:val="nil"/>
          <w:left w:val="single" w:sz="8" w:space="0" w:color="AC95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top w:val="nil"/>
          <w:bottom w:val="nil"/>
          <w:insideH w:val="nil"/>
          <w:insideV w:val="nil"/>
        </w:tcBorders>
        <w:shd w:val="clear" w:color="auto" w:fill="EAE4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DA9" w:themeColor="accent4"/>
          <w:right w:val="nil"/>
          <w:insideH w:val="nil"/>
          <w:insideV w:val="nil"/>
        </w:tcBorders>
        <w:shd w:val="clear" w:color="auto" w:fill="FFFFFF" w:themeFill="background1"/>
      </w:tcPr>
    </w:tblStylePr>
    <w:tblStylePr w:type="lastRow">
      <w:tblPr/>
      <w:tcPr>
        <w:tcBorders>
          <w:top w:val="single" w:sz="8" w:space="0" w:color="808D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DA9" w:themeColor="accent4"/>
          <w:insideH w:val="nil"/>
          <w:insideV w:val="nil"/>
        </w:tcBorders>
        <w:shd w:val="clear" w:color="auto" w:fill="FFFFFF" w:themeFill="background1"/>
      </w:tcPr>
    </w:tblStylePr>
    <w:tblStylePr w:type="lastCol">
      <w:tblPr/>
      <w:tcPr>
        <w:tcBorders>
          <w:top w:val="nil"/>
          <w:left w:val="single" w:sz="8" w:space="0" w:color="808D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2E9" w:themeFill="accent4" w:themeFillTint="3F"/>
      </w:tcPr>
    </w:tblStylePr>
    <w:tblStylePr w:type="band1Horz">
      <w:tblPr/>
      <w:tcPr>
        <w:tcBorders>
          <w:top w:val="nil"/>
          <w:bottom w:val="nil"/>
          <w:insideH w:val="nil"/>
          <w:insideV w:val="nil"/>
        </w:tcBorders>
        <w:shd w:val="clear" w:color="auto" w:fill="DFE2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24E5B" w:themeColor="accent5"/>
          <w:right w:val="nil"/>
          <w:insideH w:val="nil"/>
          <w:insideV w:val="nil"/>
        </w:tcBorders>
        <w:shd w:val="clear" w:color="auto" w:fill="FFFFFF" w:themeFill="background1"/>
      </w:tcPr>
    </w:tblStylePr>
    <w:tblStylePr w:type="lastRow">
      <w:tblPr/>
      <w:tcPr>
        <w:tcBorders>
          <w:top w:val="single" w:sz="8" w:space="0" w:color="424E5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4E5B" w:themeColor="accent5"/>
          <w:insideH w:val="nil"/>
          <w:insideV w:val="nil"/>
        </w:tcBorders>
        <w:shd w:val="clear" w:color="auto" w:fill="FFFFFF" w:themeFill="background1"/>
      </w:tcPr>
    </w:tblStylePr>
    <w:tblStylePr w:type="lastCol">
      <w:tblPr/>
      <w:tcPr>
        <w:tcBorders>
          <w:top w:val="nil"/>
          <w:left w:val="single" w:sz="8" w:space="0" w:color="424E5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D3DA" w:themeFill="accent5" w:themeFillTint="3F"/>
      </w:tcPr>
    </w:tblStylePr>
    <w:tblStylePr w:type="band1Horz">
      <w:tblPr/>
      <w:tcPr>
        <w:tcBorders>
          <w:top w:val="nil"/>
          <w:bottom w:val="nil"/>
          <w:insideH w:val="nil"/>
          <w:insideV w:val="nil"/>
        </w:tcBorders>
        <w:shd w:val="clear" w:color="auto" w:fill="CCD3D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30E00" w:themeColor="accent6"/>
          <w:right w:val="nil"/>
          <w:insideH w:val="nil"/>
          <w:insideV w:val="nil"/>
        </w:tcBorders>
        <w:shd w:val="clear" w:color="auto" w:fill="FFFFFF" w:themeFill="background1"/>
      </w:tcPr>
    </w:tblStylePr>
    <w:tblStylePr w:type="lastRow">
      <w:tblPr/>
      <w:tcPr>
        <w:tcBorders>
          <w:top w:val="single" w:sz="8" w:space="0" w:color="730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0E00" w:themeColor="accent6"/>
          <w:insideH w:val="nil"/>
          <w:insideV w:val="nil"/>
        </w:tcBorders>
        <w:shd w:val="clear" w:color="auto" w:fill="FFFFFF" w:themeFill="background1"/>
      </w:tcPr>
    </w:tblStylePr>
    <w:tblStylePr w:type="lastCol">
      <w:tblPr/>
      <w:tcPr>
        <w:tcBorders>
          <w:top w:val="nil"/>
          <w:left w:val="single" w:sz="8" w:space="0" w:color="730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99D" w:themeFill="accent6" w:themeFillTint="3F"/>
      </w:tcPr>
    </w:tblStylePr>
    <w:tblStylePr w:type="band1Horz">
      <w:tblPr/>
      <w:tcPr>
        <w:tcBorders>
          <w:top w:val="nil"/>
          <w:bottom w:val="nil"/>
          <w:insideH w:val="nil"/>
          <w:insideV w:val="nil"/>
        </w:tcBorders>
        <w:shd w:val="clear" w:color="auto" w:fill="FFA99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Shading 1"/>
    <w:basedOn w:val="a4"/>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a4"/>
    <w:uiPriority w:val="63"/>
    <w:pPr>
      <w:spacing w:after="0" w:line="240" w:lineRule="auto"/>
    </w:pPr>
    <w:tblPr>
      <w:tblStyleRowBandSize w:val="1"/>
      <w:tblStyleColBandSize w:val="1"/>
      <w:tblInd w:w="0" w:type="dxa"/>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pPr>
      <w:spacing w:after="0" w:line="240" w:lineRule="auto"/>
    </w:pPr>
    <w:tblPr>
      <w:tblStyleRowBandSize w:val="1"/>
      <w:tblStyleColBandSize w:val="1"/>
      <w:tblInd w:w="0" w:type="dxa"/>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shd w:val="clear" w:color="auto" w:fill="726056" w:themeFill="accent2"/>
      </w:tcPr>
    </w:tblStylePr>
    <w:tblStylePr w:type="lastRow">
      <w:pPr>
        <w:spacing w:before="0" w:after="0" w:line="240" w:lineRule="auto"/>
      </w:pPr>
      <w:rPr>
        <w:b/>
        <w:bCs/>
      </w:rPr>
      <w:tblPr/>
      <w:tcPr>
        <w:tcBorders>
          <w:top w:val="double" w:sz="6"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2" w:themeFillTint="3F"/>
      </w:tcPr>
    </w:tblStylePr>
    <w:tblStylePr w:type="band1Horz">
      <w:tblPr/>
      <w:tcPr>
        <w:tcBorders>
          <w:insideH w:val="nil"/>
          <w:insideV w:val="nil"/>
        </w:tcBorders>
        <w:shd w:val="clear" w:color="auto" w:fill="DED7D3"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pPr>
      <w:spacing w:after="0" w:line="240" w:lineRule="auto"/>
    </w:pPr>
    <w:tblPr>
      <w:tblStyleRowBandSize w:val="1"/>
      <w:tblStyleColBandSize w:val="1"/>
      <w:tblInd w:w="0" w:type="dxa"/>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nil"/>
          <w:insideV w:val="nil"/>
        </w:tcBorders>
        <w:shd w:val="clear" w:color="auto" w:fill="AC956E" w:themeFill="accent3"/>
      </w:tcPr>
    </w:tblStylePr>
    <w:tblStylePr w:type="lastRow">
      <w:pPr>
        <w:spacing w:before="0" w:after="0" w:line="240" w:lineRule="auto"/>
      </w:pPr>
      <w:rPr>
        <w:b/>
        <w:bCs/>
      </w:rPr>
      <w:tblPr/>
      <w:tcPr>
        <w:tcBorders>
          <w:top w:val="double" w:sz="6"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E4DB" w:themeFill="accent3" w:themeFillTint="3F"/>
      </w:tcPr>
    </w:tblStylePr>
    <w:tblStylePr w:type="band1Horz">
      <w:tblPr/>
      <w:tcPr>
        <w:tcBorders>
          <w:insideH w:val="nil"/>
          <w:insideV w:val="nil"/>
        </w:tcBorders>
        <w:shd w:val="clear" w:color="auto" w:fill="EAE4DB"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pPr>
      <w:spacing w:after="0" w:line="240" w:lineRule="auto"/>
    </w:pPr>
    <w:tblPr>
      <w:tblStyleRowBandSize w:val="1"/>
      <w:tblStyleColBandSize w:val="1"/>
      <w:tblInd w:w="0" w:type="dxa"/>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shd w:val="clear" w:color="auto" w:fill="808DA9" w:themeFill="accent4"/>
      </w:tcPr>
    </w:tblStylePr>
    <w:tblStylePr w:type="lastRow">
      <w:pPr>
        <w:spacing w:before="0" w:after="0" w:line="240" w:lineRule="auto"/>
      </w:pPr>
      <w:rPr>
        <w:b/>
        <w:bCs/>
      </w:rPr>
      <w:tblPr/>
      <w:tcPr>
        <w:tcBorders>
          <w:top w:val="double" w:sz="6"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2E9" w:themeFill="accent4" w:themeFillTint="3F"/>
      </w:tcPr>
    </w:tblStylePr>
    <w:tblStylePr w:type="band1Horz">
      <w:tblPr/>
      <w:tcPr>
        <w:tcBorders>
          <w:insideH w:val="nil"/>
          <w:insideV w:val="nil"/>
        </w:tcBorders>
        <w:shd w:val="clear" w:color="auto" w:fill="DFE2E9"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pPr>
      <w:spacing w:after="0" w:line="240" w:lineRule="auto"/>
    </w:pPr>
    <w:tblPr>
      <w:tblStyleRowBandSize w:val="1"/>
      <w:tblStyleColBandSize w:val="1"/>
      <w:tblInd w:w="0" w:type="dxa"/>
      <w:tbl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single" w:sz="8" w:space="0" w:color="67798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nil"/>
          <w:insideV w:val="nil"/>
        </w:tcBorders>
        <w:shd w:val="clear" w:color="auto" w:fill="424E5B" w:themeFill="accent5"/>
      </w:tcPr>
    </w:tblStylePr>
    <w:tblStylePr w:type="lastRow">
      <w:pPr>
        <w:spacing w:before="0" w:after="0" w:line="240" w:lineRule="auto"/>
      </w:pPr>
      <w:rPr>
        <w:b/>
        <w:bCs/>
      </w:rPr>
      <w:tblPr/>
      <w:tcPr>
        <w:tcBorders>
          <w:top w:val="double" w:sz="6"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D3DA" w:themeFill="accent5" w:themeFillTint="3F"/>
      </w:tcPr>
    </w:tblStylePr>
    <w:tblStylePr w:type="band1Horz">
      <w:tblPr/>
      <w:tcPr>
        <w:tcBorders>
          <w:insideH w:val="nil"/>
          <w:insideV w:val="nil"/>
        </w:tcBorders>
        <w:shd w:val="clear" w:color="auto" w:fill="CCD3DA"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pPr>
      <w:spacing w:after="0" w:line="240" w:lineRule="auto"/>
    </w:pPr>
    <w:tblPr>
      <w:tblStyleRowBandSize w:val="1"/>
      <w:tblStyleColBandSize w:val="1"/>
      <w:tblInd w:w="0" w:type="dxa"/>
      <w:tbl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single" w:sz="8" w:space="0" w:color="D61A0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shd w:val="clear" w:color="auto" w:fill="730E00" w:themeFill="accent6"/>
      </w:tcPr>
    </w:tblStylePr>
    <w:tblStylePr w:type="lastRow">
      <w:pPr>
        <w:spacing w:before="0" w:after="0" w:line="240" w:lineRule="auto"/>
      </w:pPr>
      <w:rPr>
        <w:b/>
        <w:bCs/>
      </w:rPr>
      <w:tblPr/>
      <w:tcPr>
        <w:tcBorders>
          <w:top w:val="double" w:sz="6"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99D" w:themeFill="accent6" w:themeFillTint="3F"/>
      </w:tcPr>
    </w:tblStylePr>
    <w:tblStylePr w:type="band1Horz">
      <w:tblPr/>
      <w:tcPr>
        <w:tcBorders>
          <w:insideH w:val="nil"/>
          <w:insideV w:val="nil"/>
        </w:tcBorders>
        <w:shd w:val="clear" w:color="auto" w:fill="FFA99D" w:themeFill="accent6" w:themeFillTint="3F"/>
      </w:tcPr>
    </w:tblStylePr>
    <w:tblStylePr w:type="band2Horz">
      <w:tblPr/>
      <w:tcPr>
        <w:tcBorders>
          <w:insideH w:val="nil"/>
          <w:insideV w:val="nil"/>
        </w:tcBorders>
      </w:tcPr>
    </w:tblStylePr>
  </w:style>
  <w:style w:type="table" w:styleId="2f7">
    <w:name w:val="Medium Shading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010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0101" w:themeFill="accent1"/>
      </w:tcPr>
    </w:tblStylePr>
    <w:tblStylePr w:type="lastCol">
      <w:rPr>
        <w:b/>
        <w:bCs/>
        <w:color w:val="FFFFFF" w:themeColor="background1"/>
      </w:rPr>
      <w:tblPr/>
      <w:tcPr>
        <w:tcBorders>
          <w:left w:val="nil"/>
          <w:right w:val="nil"/>
          <w:insideH w:val="nil"/>
          <w:insideV w:val="nil"/>
        </w:tcBorders>
        <w:shd w:val="clear" w:color="auto" w:fill="AD010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60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6056" w:themeFill="accent2"/>
      </w:tcPr>
    </w:tblStylePr>
    <w:tblStylePr w:type="lastCol">
      <w:rPr>
        <w:b/>
        <w:bCs/>
        <w:color w:val="FFFFFF" w:themeColor="background1"/>
      </w:rPr>
      <w:tblPr/>
      <w:tcPr>
        <w:tcBorders>
          <w:left w:val="nil"/>
          <w:right w:val="nil"/>
          <w:insideH w:val="nil"/>
          <w:insideV w:val="nil"/>
        </w:tcBorders>
        <w:shd w:val="clear" w:color="auto" w:fill="7260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95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956E" w:themeFill="accent3"/>
      </w:tcPr>
    </w:tblStylePr>
    <w:tblStylePr w:type="lastCol">
      <w:rPr>
        <w:b/>
        <w:bCs/>
        <w:color w:val="FFFFFF" w:themeColor="background1"/>
      </w:rPr>
      <w:tblPr/>
      <w:tcPr>
        <w:tcBorders>
          <w:left w:val="nil"/>
          <w:right w:val="nil"/>
          <w:insideH w:val="nil"/>
          <w:insideV w:val="nil"/>
        </w:tcBorders>
        <w:shd w:val="clear" w:color="auto" w:fill="AC95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D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DA9" w:themeFill="accent4"/>
      </w:tcPr>
    </w:tblStylePr>
    <w:tblStylePr w:type="lastCol">
      <w:rPr>
        <w:b/>
        <w:bCs/>
        <w:color w:val="FFFFFF" w:themeColor="background1"/>
      </w:rPr>
      <w:tblPr/>
      <w:tcPr>
        <w:tcBorders>
          <w:left w:val="nil"/>
          <w:right w:val="nil"/>
          <w:insideH w:val="nil"/>
          <w:insideV w:val="nil"/>
        </w:tcBorders>
        <w:shd w:val="clear" w:color="auto" w:fill="808D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4E5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4E5B" w:themeFill="accent5"/>
      </w:tcPr>
    </w:tblStylePr>
    <w:tblStylePr w:type="lastCol">
      <w:rPr>
        <w:b/>
        <w:bCs/>
        <w:color w:val="FFFFFF" w:themeColor="background1"/>
      </w:rPr>
      <w:tblPr/>
      <w:tcPr>
        <w:tcBorders>
          <w:left w:val="nil"/>
          <w:right w:val="nil"/>
          <w:insideH w:val="nil"/>
          <w:insideV w:val="nil"/>
        </w:tcBorders>
        <w:shd w:val="clear" w:color="auto" w:fill="424E5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0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0E00" w:themeFill="accent6"/>
      </w:tcPr>
    </w:tblStylePr>
    <w:tblStylePr w:type="lastCol">
      <w:rPr>
        <w:b/>
        <w:bCs/>
        <w:color w:val="FFFFFF" w:themeColor="background1"/>
      </w:rPr>
      <w:tblPr/>
      <w:tcPr>
        <w:tcBorders>
          <w:left w:val="nil"/>
          <w:right w:val="nil"/>
          <w:insideH w:val="nil"/>
          <w:insideV w:val="nil"/>
        </w:tcBorders>
        <w:shd w:val="clear" w:color="auto" w:fill="730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7">
    <w:name w:val="Заголовок сообщения"/>
    <w:basedOn w:val="a2"/>
    <w:link w:val="affff8"/>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8">
    <w:name w:val="Заголовок сообщения (знак)"/>
    <w:basedOn w:val="a3"/>
    <w:link w:val="affff7"/>
    <w:uiPriority w:val="99"/>
    <w:semiHidden/>
    <w:rPr>
      <w:rFonts w:asciiTheme="majorHAnsi" w:eastAsiaTheme="majorEastAsia" w:hAnsiTheme="majorHAnsi" w:cstheme="majorBidi"/>
      <w:sz w:val="24"/>
      <w:shd w:val="pct20" w:color="auto" w:fill="auto"/>
    </w:rPr>
  </w:style>
  <w:style w:type="paragraph" w:styleId="affff9">
    <w:name w:val="Normal (Web)"/>
    <w:basedOn w:val="a2"/>
    <w:uiPriority w:val="99"/>
    <w:unhideWhenUsed/>
    <w:rPr>
      <w:rFonts w:ascii="Times New Roman" w:hAnsi="Times New Roman" w:cs="Times New Roman"/>
      <w:sz w:val="24"/>
    </w:rPr>
  </w:style>
  <w:style w:type="paragraph" w:styleId="affffa">
    <w:name w:val="Normal Indent"/>
    <w:basedOn w:val="a2"/>
    <w:uiPriority w:val="99"/>
    <w:semiHidden/>
    <w:unhideWhenUsed/>
    <w:pPr>
      <w:ind w:left="720"/>
    </w:pPr>
  </w:style>
  <w:style w:type="paragraph" w:customStyle="1" w:styleId="affffb">
    <w:name w:val="Заголовок заметки"/>
    <w:basedOn w:val="a2"/>
    <w:next w:val="a2"/>
    <w:link w:val="affffc"/>
    <w:uiPriority w:val="99"/>
    <w:semiHidden/>
    <w:unhideWhenUsed/>
    <w:pPr>
      <w:spacing w:after="0" w:line="240" w:lineRule="auto"/>
    </w:pPr>
  </w:style>
  <w:style w:type="character" w:customStyle="1" w:styleId="affffc">
    <w:name w:val="Заголовок заметки (знак)"/>
    <w:basedOn w:val="a3"/>
    <w:link w:val="affffb"/>
    <w:uiPriority w:val="99"/>
    <w:semiHidden/>
  </w:style>
  <w:style w:type="character" w:customStyle="1" w:styleId="affffd">
    <w:name w:val="номер страницы"/>
    <w:basedOn w:val="a3"/>
    <w:uiPriority w:val="99"/>
    <w:semiHidden/>
    <w:unhideWhenUsed/>
  </w:style>
  <w:style w:type="paragraph" w:customStyle="1" w:styleId="affffe">
    <w:name w:val="Обычный текст"/>
    <w:basedOn w:val="a2"/>
    <w:link w:val="afffff"/>
    <w:uiPriority w:val="99"/>
    <w:semiHidden/>
    <w:unhideWhenUsed/>
    <w:pPr>
      <w:spacing w:after="0" w:line="240" w:lineRule="auto"/>
    </w:pPr>
    <w:rPr>
      <w:rFonts w:ascii="Consolas" w:hAnsi="Consolas" w:cs="Consolas"/>
      <w:sz w:val="21"/>
    </w:rPr>
  </w:style>
  <w:style w:type="character" w:customStyle="1" w:styleId="afffff">
    <w:name w:val="Обычный текст (знак)"/>
    <w:basedOn w:val="a3"/>
    <w:link w:val="affffe"/>
    <w:uiPriority w:val="99"/>
    <w:semiHidden/>
    <w:rPr>
      <w:rFonts w:ascii="Consolas" w:hAnsi="Consolas" w:cs="Consolas"/>
      <w:sz w:val="21"/>
    </w:rPr>
  </w:style>
  <w:style w:type="paragraph" w:styleId="afffff0">
    <w:name w:val="Salutation"/>
    <w:basedOn w:val="a2"/>
    <w:next w:val="a2"/>
    <w:link w:val="afffff1"/>
    <w:uiPriority w:val="99"/>
    <w:semiHidden/>
    <w:unhideWhenUsed/>
  </w:style>
  <w:style w:type="character" w:customStyle="1" w:styleId="afffff1">
    <w:name w:val="Приветствие Знак"/>
    <w:basedOn w:val="a3"/>
    <w:link w:val="afffff0"/>
    <w:uiPriority w:val="99"/>
    <w:semiHidden/>
  </w:style>
  <w:style w:type="character" w:customStyle="1" w:styleId="affc">
    <w:name w:val="Подпись Знак"/>
    <w:basedOn w:val="a3"/>
    <w:link w:val="affb"/>
    <w:uiPriority w:val="9"/>
    <w:rPr>
      <w:kern w:val="20"/>
    </w:rPr>
  </w:style>
  <w:style w:type="character" w:styleId="afffff2">
    <w:name w:val="Strong"/>
    <w:basedOn w:val="a3"/>
    <w:uiPriority w:val="1"/>
    <w:unhideWhenUsed/>
    <w:qFormat/>
    <w:rPr>
      <w:b/>
      <w:bCs/>
    </w:rPr>
  </w:style>
  <w:style w:type="paragraph" w:styleId="afffff3">
    <w:name w:val="Subtitle"/>
    <w:basedOn w:val="a2"/>
    <w:next w:val="a2"/>
    <w:link w:val="afffff4"/>
    <w:uiPriority w:val="19"/>
    <w:unhideWhenUsed/>
    <w:qFormat/>
    <w:pPr>
      <w:numPr>
        <w:ilvl w:val="1"/>
      </w:numPr>
      <w:ind w:left="144" w:right="720"/>
    </w:pPr>
    <w:rPr>
      <w:rFonts w:asciiTheme="majorHAnsi" w:eastAsiaTheme="majorEastAsia" w:hAnsiTheme="majorHAnsi" w:cstheme="majorBidi"/>
      <w:caps/>
      <w:color w:val="AD0101" w:themeColor="accent1"/>
      <w:sz w:val="64"/>
    </w:rPr>
  </w:style>
  <w:style w:type="character" w:customStyle="1" w:styleId="afffff4">
    <w:name w:val="Подзаголовок Знак"/>
    <w:basedOn w:val="a3"/>
    <w:link w:val="afffff3"/>
    <w:uiPriority w:val="19"/>
    <w:rPr>
      <w:rFonts w:asciiTheme="majorHAnsi" w:eastAsiaTheme="majorEastAsia" w:hAnsiTheme="majorHAnsi" w:cstheme="majorBidi"/>
      <w:caps/>
      <w:color w:val="AD0101" w:themeColor="accent1"/>
      <w:kern w:val="20"/>
      <w:sz w:val="64"/>
    </w:rPr>
  </w:style>
  <w:style w:type="character" w:styleId="afffff5">
    <w:name w:val="Subtle Emphasis"/>
    <w:basedOn w:val="a3"/>
    <w:uiPriority w:val="19"/>
    <w:semiHidden/>
    <w:unhideWhenUsed/>
    <w:rPr>
      <w:i/>
      <w:iCs/>
      <w:color w:val="808080" w:themeColor="text1" w:themeTint="7F"/>
    </w:rPr>
  </w:style>
  <w:style w:type="character" w:styleId="afffff6">
    <w:name w:val="Subtle Reference"/>
    <w:basedOn w:val="a3"/>
    <w:uiPriority w:val="31"/>
    <w:semiHidden/>
    <w:unhideWhenUsed/>
    <w:rPr>
      <w:smallCaps/>
      <w:color w:val="726056" w:themeColor="accent2"/>
      <w:u w:val="single"/>
    </w:rPr>
  </w:style>
  <w:style w:type="table" w:styleId="1e">
    <w:name w:val="Table 3D effects 1"/>
    <w:basedOn w:val="a4"/>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4"/>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4"/>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4"/>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4"/>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Grid 1"/>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4"/>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3">
    <w:name w:val="Табличный список 1"/>
    <w:basedOn w:val="a4"/>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d">
    <w:name w:val="Табличный список 2"/>
    <w:basedOn w:val="a4"/>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Табличный список 3"/>
    <w:basedOn w:val="a4"/>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f0">
    <w:name w:val="Табличный список 4"/>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f">
    <w:name w:val="Табличный список 5"/>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a">
    <w:name w:val="Табличный список 6"/>
    <w:basedOn w:val="a4"/>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чный список 7"/>
    <w:basedOn w:val="a4"/>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чный список 8"/>
    <w:basedOn w:val="a4"/>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9">
    <w:name w:val="таблица ссылок"/>
    <w:basedOn w:val="a2"/>
    <w:next w:val="a2"/>
    <w:uiPriority w:val="99"/>
    <w:semiHidden/>
    <w:unhideWhenUsed/>
    <w:pPr>
      <w:spacing w:after="0"/>
      <w:ind w:left="220" w:hanging="220"/>
    </w:pPr>
  </w:style>
  <w:style w:type="paragraph" w:customStyle="1" w:styleId="afffffa">
    <w:name w:val="список иллюстраций"/>
    <w:basedOn w:val="a2"/>
    <w:next w:val="a2"/>
    <w:uiPriority w:val="99"/>
    <w:semiHidden/>
    <w:unhideWhenUsed/>
    <w:pPr>
      <w:spacing w:after="0"/>
    </w:pPr>
  </w:style>
  <w:style w:type="table" w:styleId="afffffb">
    <w:name w:val="Table Professional"/>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4"/>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6">
    <w:name w:val="Заголовок1"/>
    <w:basedOn w:val="a2"/>
    <w:next w:val="a2"/>
    <w:link w:val="afffffd"/>
    <w:uiPriority w:val="19"/>
    <w:unhideWhenUsed/>
    <w:qFormat/>
    <w:pPr>
      <w:pBdr>
        <w:top w:val="single" w:sz="4" w:space="10" w:color="AD0101" w:themeColor="accent1"/>
        <w:left w:val="single" w:sz="4" w:space="5" w:color="AD0101" w:themeColor="accent1"/>
        <w:bottom w:val="single" w:sz="4" w:space="10" w:color="AD0101" w:themeColor="accent1"/>
        <w:right w:val="single" w:sz="4" w:space="5" w:color="AD0101" w:themeColor="accent1"/>
      </w:pBdr>
      <w:shd w:val="clear" w:color="auto" w:fill="AD0101"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afffffd">
    <w:name w:val="Заголовок (знак)"/>
    <w:basedOn w:val="a3"/>
    <w:link w:val="1f6"/>
    <w:uiPriority w:val="19"/>
    <w:rPr>
      <w:rFonts w:asciiTheme="majorHAnsi" w:eastAsiaTheme="majorEastAsia" w:hAnsiTheme="majorHAnsi" w:cstheme="majorBidi"/>
      <w:caps/>
      <w:color w:val="FFFFFF" w:themeColor="background1"/>
      <w:spacing w:val="40"/>
      <w:kern w:val="28"/>
      <w:sz w:val="136"/>
      <w:shd w:val="clear" w:color="auto" w:fill="AD0101" w:themeFill="accent1"/>
      <w14:ligatures w14:val="standardContextual"/>
    </w:rPr>
  </w:style>
  <w:style w:type="paragraph" w:customStyle="1" w:styleId="afffffe">
    <w:name w:val="заголовок таблицы ссылок"/>
    <w:basedOn w:val="a2"/>
    <w:next w:val="a2"/>
    <w:uiPriority w:val="99"/>
    <w:semiHidden/>
    <w:unhideWhenUsed/>
    <w:pPr>
      <w:spacing w:before="120"/>
    </w:pPr>
    <w:rPr>
      <w:rFonts w:asciiTheme="majorHAnsi" w:eastAsiaTheme="majorEastAsia" w:hAnsiTheme="majorHAnsi" w:cstheme="majorBidi"/>
      <w:b/>
      <w:bCs/>
      <w:sz w:val="24"/>
    </w:rPr>
  </w:style>
  <w:style w:type="paragraph" w:customStyle="1" w:styleId="1f7">
    <w:name w:val="оглавление 1"/>
    <w:basedOn w:val="a2"/>
    <w:next w:val="a2"/>
    <w:autoRedefine/>
    <w:uiPriority w:val="39"/>
    <w:unhideWhenUsed/>
    <w:pPr>
      <w:tabs>
        <w:tab w:val="right" w:leader="underscore" w:pos="9090"/>
      </w:tabs>
      <w:spacing w:after="100"/>
    </w:pPr>
    <w:rPr>
      <w:color w:val="7F7F7F" w:themeColor="text1" w:themeTint="80"/>
      <w:sz w:val="22"/>
    </w:rPr>
  </w:style>
  <w:style w:type="paragraph" w:customStyle="1" w:styleId="2ff0">
    <w:name w:val="оглавление 2"/>
    <w:basedOn w:val="a2"/>
    <w:next w:val="a2"/>
    <w:autoRedefine/>
    <w:uiPriority w:val="39"/>
    <w:unhideWhenUsed/>
    <w:pPr>
      <w:spacing w:after="100"/>
      <w:ind w:left="220"/>
    </w:pPr>
  </w:style>
  <w:style w:type="paragraph" w:customStyle="1" w:styleId="3fb">
    <w:name w:val="оглавление 3"/>
    <w:basedOn w:val="a2"/>
    <w:next w:val="a2"/>
    <w:autoRedefine/>
    <w:uiPriority w:val="39"/>
    <w:semiHidden/>
    <w:unhideWhenUsed/>
    <w:pPr>
      <w:spacing w:after="100"/>
      <w:ind w:left="440"/>
    </w:pPr>
  </w:style>
  <w:style w:type="paragraph" w:customStyle="1" w:styleId="4f1">
    <w:name w:val="оглавление 4"/>
    <w:basedOn w:val="a2"/>
    <w:next w:val="a2"/>
    <w:autoRedefine/>
    <w:uiPriority w:val="39"/>
    <w:semiHidden/>
    <w:unhideWhenUsed/>
    <w:pPr>
      <w:spacing w:after="100"/>
      <w:ind w:left="660"/>
    </w:pPr>
  </w:style>
  <w:style w:type="paragraph" w:customStyle="1" w:styleId="5f0">
    <w:name w:val="оглавление 5"/>
    <w:basedOn w:val="a2"/>
    <w:next w:val="a2"/>
    <w:autoRedefine/>
    <w:uiPriority w:val="39"/>
    <w:semiHidden/>
    <w:unhideWhenUsed/>
    <w:pPr>
      <w:spacing w:after="100"/>
      <w:ind w:left="880"/>
    </w:pPr>
  </w:style>
  <w:style w:type="paragraph" w:customStyle="1" w:styleId="6b">
    <w:name w:val="оглавление 6"/>
    <w:basedOn w:val="a2"/>
    <w:next w:val="a2"/>
    <w:autoRedefine/>
    <w:uiPriority w:val="39"/>
    <w:semiHidden/>
    <w:unhideWhenUsed/>
    <w:pPr>
      <w:spacing w:after="100"/>
      <w:ind w:left="1100"/>
    </w:pPr>
  </w:style>
  <w:style w:type="paragraph" w:customStyle="1" w:styleId="74">
    <w:name w:val="оглавление 7"/>
    <w:basedOn w:val="a2"/>
    <w:next w:val="a2"/>
    <w:autoRedefine/>
    <w:uiPriority w:val="39"/>
    <w:semiHidden/>
    <w:unhideWhenUsed/>
    <w:pPr>
      <w:spacing w:after="100"/>
      <w:ind w:left="1320"/>
    </w:pPr>
  </w:style>
  <w:style w:type="paragraph" w:customStyle="1" w:styleId="84">
    <w:name w:val="оглавление 8"/>
    <w:basedOn w:val="a2"/>
    <w:next w:val="a2"/>
    <w:autoRedefine/>
    <w:uiPriority w:val="39"/>
    <w:semiHidden/>
    <w:unhideWhenUsed/>
    <w:pPr>
      <w:spacing w:after="100"/>
      <w:ind w:left="1540"/>
    </w:pPr>
  </w:style>
  <w:style w:type="paragraph" w:customStyle="1" w:styleId="92">
    <w:name w:val="оглавление 9"/>
    <w:basedOn w:val="a2"/>
    <w:next w:val="a2"/>
    <w:autoRedefine/>
    <w:uiPriority w:val="39"/>
    <w:semiHidden/>
    <w:unhideWhenUsed/>
    <w:pPr>
      <w:spacing w:after="100"/>
      <w:ind w:left="1760"/>
    </w:pPr>
  </w:style>
  <w:style w:type="paragraph" w:styleId="affffff">
    <w:name w:val="TOC Heading"/>
    <w:aliases w:val="Заголовок врезки"/>
    <w:basedOn w:val="11"/>
    <w:next w:val="a2"/>
    <w:uiPriority w:val="39"/>
    <w:unhideWhenUsed/>
    <w:qFormat/>
    <w:pPr>
      <w:outlineLvl w:val="9"/>
    </w:pPr>
  </w:style>
  <w:style w:type="character" w:customStyle="1" w:styleId="ac">
    <w:name w:val="Без интервала Знак"/>
    <w:basedOn w:val="a3"/>
    <w:link w:val="ab"/>
    <w:uiPriority w:val="1"/>
  </w:style>
  <w:style w:type="paragraph" w:customStyle="1" w:styleId="affffff0">
    <w:name w:val="Заголовок таблицы"/>
    <w:basedOn w:val="a2"/>
    <w:uiPriority w:val="1"/>
    <w:qFormat/>
    <w:pPr>
      <w:keepNext/>
      <w:pBdr>
        <w:top w:val="single" w:sz="4" w:space="1" w:color="AD0101" w:themeColor="accent1"/>
        <w:left w:val="single" w:sz="4" w:space="6" w:color="AD0101" w:themeColor="accent1"/>
        <w:bottom w:val="single" w:sz="4" w:space="1" w:color="AD0101" w:themeColor="accent1"/>
        <w:right w:val="single" w:sz="4" w:space="6" w:color="AD0101" w:themeColor="accent1"/>
      </w:pBdr>
      <w:shd w:val="clear" w:color="auto" w:fill="AD0101"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affffff1">
    <w:name w:val="Текст таблицы (десятичные числа)"/>
    <w:basedOn w:val="a2"/>
    <w:uiPriority w:val="1"/>
    <w:qFormat/>
    <w:pPr>
      <w:tabs>
        <w:tab w:val="decimal" w:pos="1252"/>
      </w:tabs>
      <w:spacing w:before="60" w:after="60" w:line="240" w:lineRule="auto"/>
      <w:ind w:left="144" w:right="144"/>
    </w:pPr>
  </w:style>
  <w:style w:type="table" w:customStyle="1" w:styleId="affffff2">
    <w:name w:val="Финансовая таблица"/>
    <w:basedOn w:val="a4"/>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AD0101" w:themeColor="accent1"/>
        <w:sz w:val="22"/>
      </w:rPr>
    </w:tblStylePr>
    <w:tblStylePr w:type="firstCol">
      <w:rPr>
        <w:b/>
      </w:rPr>
    </w:tblStylePr>
  </w:style>
  <w:style w:type="numbering" w:customStyle="1" w:styleId="a0">
    <w:name w:val="Ежегодный отчет"/>
    <w:uiPriority w:val="99"/>
    <w:pPr>
      <w:numPr>
        <w:numId w:val="17"/>
      </w:numPr>
    </w:pPr>
  </w:style>
  <w:style w:type="paragraph" w:customStyle="1" w:styleId="affffff3">
    <w:name w:val="Аннотация"/>
    <w:basedOn w:val="a2"/>
    <w:uiPriority w:val="19"/>
    <w:qFormat/>
    <w:pPr>
      <w:spacing w:before="360" w:after="600"/>
      <w:ind w:left="144" w:right="144"/>
    </w:pPr>
    <w:rPr>
      <w:i/>
      <w:iCs/>
      <w:color w:val="7F7F7F" w:themeColor="text1" w:themeTint="80"/>
      <w:sz w:val="28"/>
    </w:rPr>
  </w:style>
  <w:style w:type="paragraph" w:customStyle="1" w:styleId="affffff4">
    <w:name w:val="Текст таблицы"/>
    <w:basedOn w:val="a2"/>
    <w:uiPriority w:val="9"/>
    <w:qFormat/>
    <w:pPr>
      <w:spacing w:before="60" w:after="60" w:line="240" w:lineRule="auto"/>
      <w:ind w:left="144" w:right="144"/>
    </w:pPr>
  </w:style>
  <w:style w:type="paragraph" w:customStyle="1" w:styleId="affffff5">
    <w:name w:val="Обратный заголовок таблицы"/>
    <w:basedOn w:val="a2"/>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6">
    <w:name w:val="Верхний колонтитул с затенением"/>
    <w:basedOn w:val="a2"/>
    <w:uiPriority w:val="19"/>
    <w:qFormat/>
    <w:pPr>
      <w:pBdr>
        <w:top w:val="single" w:sz="2" w:space="2" w:color="AD0101" w:themeColor="accent1"/>
        <w:left w:val="single" w:sz="2" w:space="6" w:color="AD0101" w:themeColor="accent1"/>
        <w:bottom w:val="single" w:sz="2" w:space="2" w:color="AD0101" w:themeColor="accent1"/>
        <w:right w:val="single" w:sz="2" w:space="6" w:color="AD0101" w:themeColor="accent1"/>
      </w:pBdr>
      <w:shd w:val="clear" w:color="auto" w:fill="AD0101"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1f8">
    <w:name w:val="toc 1"/>
    <w:basedOn w:val="a2"/>
    <w:next w:val="a2"/>
    <w:autoRedefine/>
    <w:uiPriority w:val="39"/>
    <w:unhideWhenUsed/>
    <w:rsid w:val="00F91951"/>
    <w:pPr>
      <w:spacing w:after="100"/>
    </w:pPr>
  </w:style>
  <w:style w:type="paragraph" w:styleId="2ff1">
    <w:name w:val="toc 2"/>
    <w:basedOn w:val="a2"/>
    <w:next w:val="a2"/>
    <w:autoRedefine/>
    <w:uiPriority w:val="39"/>
    <w:unhideWhenUsed/>
    <w:rsid w:val="00F91951"/>
    <w:pPr>
      <w:spacing w:after="100"/>
      <w:ind w:left="200"/>
    </w:pPr>
  </w:style>
  <w:style w:type="paragraph" w:styleId="affffff7">
    <w:name w:val="header"/>
    <w:basedOn w:val="a2"/>
    <w:link w:val="affffff8"/>
    <w:uiPriority w:val="99"/>
    <w:unhideWhenUsed/>
    <w:rsid w:val="00F91951"/>
    <w:pPr>
      <w:tabs>
        <w:tab w:val="center" w:pos="4677"/>
        <w:tab w:val="right" w:pos="9355"/>
      </w:tabs>
      <w:spacing w:before="0" w:after="0" w:line="240" w:lineRule="auto"/>
    </w:pPr>
  </w:style>
  <w:style w:type="character" w:customStyle="1" w:styleId="affffff8">
    <w:name w:val="Верхний колонтитул Знак"/>
    <w:basedOn w:val="a3"/>
    <w:link w:val="affffff7"/>
    <w:uiPriority w:val="99"/>
    <w:rsid w:val="00F91951"/>
    <w:rPr>
      <w:kern w:val="20"/>
    </w:rPr>
  </w:style>
  <w:style w:type="paragraph" w:styleId="affffff9">
    <w:name w:val="footer"/>
    <w:basedOn w:val="a2"/>
    <w:link w:val="affffffa"/>
    <w:uiPriority w:val="99"/>
    <w:unhideWhenUsed/>
    <w:rsid w:val="00F91951"/>
    <w:pPr>
      <w:tabs>
        <w:tab w:val="center" w:pos="4677"/>
        <w:tab w:val="right" w:pos="9355"/>
      </w:tabs>
      <w:spacing w:before="0" w:after="0" w:line="240" w:lineRule="auto"/>
    </w:pPr>
  </w:style>
  <w:style w:type="character" w:customStyle="1" w:styleId="affffffa">
    <w:name w:val="Нижний колонтитул Знак"/>
    <w:basedOn w:val="a3"/>
    <w:link w:val="affffff9"/>
    <w:uiPriority w:val="99"/>
    <w:rsid w:val="00F91951"/>
    <w:rPr>
      <w:kern w:val="20"/>
    </w:rPr>
  </w:style>
  <w:style w:type="character" w:customStyle="1" w:styleId="22">
    <w:name w:val="Заголовок 2 Знак"/>
    <w:basedOn w:val="a3"/>
    <w:link w:val="21"/>
    <w:rsid w:val="00CA0A1A"/>
    <w:rPr>
      <w:rFonts w:asciiTheme="majorHAnsi" w:eastAsiaTheme="majorEastAsia" w:hAnsiTheme="majorHAnsi" w:cstheme="majorBidi"/>
      <w:b/>
      <w:bCs/>
      <w:color w:val="AD0101" w:themeColor="accent1"/>
      <w:kern w:val="20"/>
      <w:sz w:val="26"/>
      <w:szCs w:val="26"/>
    </w:rPr>
  </w:style>
  <w:style w:type="character" w:customStyle="1" w:styleId="10">
    <w:name w:val="Заголовок 1 Знак"/>
    <w:basedOn w:val="a3"/>
    <w:link w:val="1"/>
    <w:rsid w:val="00CA0A1A"/>
    <w:rPr>
      <w:rFonts w:asciiTheme="majorHAnsi" w:eastAsiaTheme="majorEastAsia" w:hAnsiTheme="majorHAnsi" w:cstheme="majorBidi"/>
      <w:b/>
      <w:bCs/>
      <w:color w:val="810000" w:themeColor="accent1" w:themeShade="BF"/>
      <w:kern w:val="20"/>
      <w:sz w:val="28"/>
      <w:szCs w:val="28"/>
    </w:rPr>
  </w:style>
  <w:style w:type="character" w:customStyle="1" w:styleId="32">
    <w:name w:val="Заголовок 3 Знак"/>
    <w:basedOn w:val="a3"/>
    <w:link w:val="31"/>
    <w:rsid w:val="00CA0A1A"/>
    <w:rPr>
      <w:rFonts w:asciiTheme="majorHAnsi" w:eastAsiaTheme="majorEastAsia" w:hAnsiTheme="majorHAnsi" w:cstheme="majorBidi"/>
      <w:b/>
      <w:bCs/>
      <w:color w:val="AD0101" w:themeColor="accent1"/>
      <w:kern w:val="20"/>
    </w:rPr>
  </w:style>
  <w:style w:type="table" w:styleId="-10">
    <w:name w:val="Light List Accent 1"/>
    <w:basedOn w:val="a4"/>
    <w:uiPriority w:val="61"/>
    <w:rsid w:val="00F266B8"/>
    <w:pPr>
      <w:spacing w:before="0" w:after="0" w:line="240" w:lineRule="auto"/>
    </w:pPr>
    <w:rPr>
      <w:rFonts w:ascii="Times" w:eastAsia="Times" w:hAnsi="Times" w:cs="Times New Roman"/>
      <w:color w:val="auto"/>
      <w:lang w:eastAsia="en-US"/>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table" w:styleId="3-1">
    <w:name w:val="Medium Grid 3 Accent 1"/>
    <w:basedOn w:val="a4"/>
    <w:uiPriority w:val="69"/>
    <w:rsid w:val="00E07732"/>
    <w:pPr>
      <w:spacing w:before="0" w:after="0" w:line="240" w:lineRule="auto"/>
    </w:pPr>
    <w:rPr>
      <w:rFonts w:ascii="Times" w:eastAsia="Times" w:hAnsi="Times" w:cs="Times New Roman"/>
      <w:color w:val="auto"/>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customStyle="1" w:styleId="-421">
    <w:name w:val="Таблица-сетка 4 — акцент 21"/>
    <w:basedOn w:val="a4"/>
    <w:uiPriority w:val="49"/>
    <w:rsid w:val="00772D7D"/>
    <w:pPr>
      <w:spacing w:after="0" w:line="240" w:lineRule="auto"/>
    </w:p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insideV w:val="nil"/>
        </w:tcBorders>
        <w:shd w:val="clear" w:color="auto" w:fill="726056" w:themeFill="accent2"/>
      </w:tcPr>
    </w:tblStylePr>
    <w:tblStylePr w:type="lastRow">
      <w:rPr>
        <w:b/>
        <w:bCs/>
      </w:rPr>
      <w:tblPr/>
      <w:tcPr>
        <w:tcBorders>
          <w:top w:val="double" w:sz="4" w:space="0" w:color="726056" w:themeColor="accent2"/>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4210">
    <w:name w:val="Список-таблица 4 — акцент 21"/>
    <w:basedOn w:val="a4"/>
    <w:uiPriority w:val="49"/>
    <w:rsid w:val="00F97371"/>
    <w:pPr>
      <w:spacing w:after="0" w:line="240" w:lineRule="auto"/>
    </w:p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tcBorders>
        <w:shd w:val="clear" w:color="auto" w:fill="726056" w:themeFill="accent2"/>
      </w:tcPr>
    </w:tblStylePr>
    <w:tblStylePr w:type="lastRow">
      <w:rPr>
        <w:b/>
        <w:bCs/>
      </w:rPr>
      <w:tblPr/>
      <w:tcPr>
        <w:tcBorders>
          <w:top w:val="double" w:sz="4" w:space="0" w:color="AF9E94" w:themeColor="accent2" w:themeTint="99"/>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721">
    <w:name w:val="Таблица-сетка 7 цветная — акцент 21"/>
    <w:basedOn w:val="a4"/>
    <w:uiPriority w:val="52"/>
    <w:rsid w:val="00F97371"/>
    <w:pPr>
      <w:spacing w:after="0" w:line="240" w:lineRule="auto"/>
    </w:pPr>
    <w:rPr>
      <w:color w:val="554740" w:themeColor="accent2" w:themeShade="BF"/>
    </w:r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EDB" w:themeFill="accent2" w:themeFillTint="33"/>
      </w:tcPr>
    </w:tblStylePr>
    <w:tblStylePr w:type="band1Horz">
      <w:tblPr/>
      <w:tcPr>
        <w:shd w:val="clear" w:color="auto" w:fill="E4DEDB" w:themeFill="accent2" w:themeFillTint="33"/>
      </w:tcPr>
    </w:tblStylePr>
    <w:tblStylePr w:type="neCell">
      <w:tblPr/>
      <w:tcPr>
        <w:tcBorders>
          <w:bottom w:val="single" w:sz="4" w:space="0" w:color="AF9E94" w:themeColor="accent2" w:themeTint="99"/>
        </w:tcBorders>
      </w:tcPr>
    </w:tblStylePr>
    <w:tblStylePr w:type="nwCell">
      <w:tblPr/>
      <w:tcPr>
        <w:tcBorders>
          <w:bottom w:val="single" w:sz="4" w:space="0" w:color="AF9E94" w:themeColor="accent2" w:themeTint="99"/>
        </w:tcBorders>
      </w:tcPr>
    </w:tblStylePr>
    <w:tblStylePr w:type="seCell">
      <w:tblPr/>
      <w:tcPr>
        <w:tcBorders>
          <w:top w:val="single" w:sz="4" w:space="0" w:color="AF9E94" w:themeColor="accent2" w:themeTint="99"/>
        </w:tcBorders>
      </w:tcPr>
    </w:tblStylePr>
    <w:tblStylePr w:type="swCell">
      <w:tblPr/>
      <w:tcPr>
        <w:tcBorders>
          <w:top w:val="single" w:sz="4" w:space="0" w:color="AF9E94" w:themeColor="accent2" w:themeTint="99"/>
        </w:tcBorders>
      </w:tcPr>
    </w:tblStylePr>
  </w:style>
  <w:style w:type="table" w:customStyle="1" w:styleId="-61">
    <w:name w:val="Таблица-сетка 6 цветная1"/>
    <w:basedOn w:val="a4"/>
    <w:uiPriority w:val="51"/>
    <w:rsid w:val="00F9737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Таблица-сетка 6 цветная — акцент 21"/>
    <w:basedOn w:val="a4"/>
    <w:uiPriority w:val="51"/>
    <w:rsid w:val="00A34D8A"/>
    <w:pPr>
      <w:spacing w:after="0" w:line="240" w:lineRule="auto"/>
    </w:pPr>
    <w:rPr>
      <w:color w:val="554740" w:themeColor="accent2" w:themeShade="BF"/>
    </w:r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CellMar>
        <w:top w:w="0" w:type="dxa"/>
        <w:left w:w="108" w:type="dxa"/>
        <w:bottom w:w="0" w:type="dxa"/>
        <w:right w:w="108" w:type="dxa"/>
      </w:tblCellMar>
    </w:tblPr>
    <w:tblStylePr w:type="firstRow">
      <w:rPr>
        <w:b/>
        <w:bCs/>
      </w:rPr>
      <w:tblPr/>
      <w:tcPr>
        <w:tcBorders>
          <w:bottom w:val="single" w:sz="12" w:space="0" w:color="AF9E94" w:themeColor="accent2" w:themeTint="99"/>
        </w:tcBorders>
      </w:tcPr>
    </w:tblStylePr>
    <w:tblStylePr w:type="lastRow">
      <w:rPr>
        <w:b/>
        <w:bCs/>
      </w:rPr>
      <w:tblPr/>
      <w:tcPr>
        <w:tcBorders>
          <w:top w:val="double" w:sz="4" w:space="0" w:color="AF9E94" w:themeColor="accent2" w:themeTint="99"/>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paragraph" w:styleId="3fc">
    <w:name w:val="toc 3"/>
    <w:basedOn w:val="a2"/>
    <w:next w:val="a2"/>
    <w:autoRedefine/>
    <w:uiPriority w:val="39"/>
    <w:unhideWhenUsed/>
    <w:rsid w:val="00626714"/>
    <w:pPr>
      <w:spacing w:before="0" w:after="100" w:line="259" w:lineRule="auto"/>
      <w:ind w:left="440"/>
    </w:pPr>
    <w:rPr>
      <w:rFonts w:eastAsiaTheme="minorEastAsia" w:cs="Times New Roman"/>
      <w:color w:val="auto"/>
      <w:kern w:val="0"/>
      <w:sz w:val="22"/>
      <w:szCs w:val="22"/>
    </w:rPr>
  </w:style>
  <w:style w:type="table" w:customStyle="1" w:styleId="-611">
    <w:name w:val="Список-таблица 6 цветная — акцент 11"/>
    <w:basedOn w:val="a4"/>
    <w:uiPriority w:val="51"/>
    <w:rsid w:val="00782043"/>
    <w:pPr>
      <w:spacing w:after="0" w:line="240" w:lineRule="auto"/>
    </w:pPr>
    <w:rPr>
      <w:color w:val="810000" w:themeColor="accent1" w:themeShade="BF"/>
    </w:rPr>
    <w:tblPr>
      <w:tblStyleRowBandSize w:val="1"/>
      <w:tblStyleColBandSize w:val="1"/>
      <w:tblInd w:w="0" w:type="dxa"/>
      <w:tblBorders>
        <w:top w:val="single" w:sz="4" w:space="0" w:color="AD0101" w:themeColor="accent1"/>
        <w:bottom w:val="single" w:sz="4" w:space="0" w:color="AD0101" w:themeColor="accent1"/>
      </w:tblBorders>
      <w:tblCellMar>
        <w:top w:w="0" w:type="dxa"/>
        <w:left w:w="108" w:type="dxa"/>
        <w:bottom w:w="0" w:type="dxa"/>
        <w:right w:w="108" w:type="dxa"/>
      </w:tblCellMar>
    </w:tblPr>
    <w:tblStylePr w:type="firstRow">
      <w:rPr>
        <w:b/>
        <w:bCs/>
      </w:rPr>
      <w:tblPr/>
      <w:tcPr>
        <w:tcBorders>
          <w:bottom w:val="single" w:sz="4" w:space="0" w:color="AD0101" w:themeColor="accent1"/>
        </w:tcBorders>
      </w:tcPr>
    </w:tblStylePr>
    <w:tblStylePr w:type="lastRow">
      <w:rPr>
        <w:b/>
        <w:bCs/>
      </w:rPr>
      <w:tblPr/>
      <w:tcPr>
        <w:tcBorders>
          <w:top w:val="double" w:sz="4" w:space="0" w:color="AD0101" w:themeColor="accent1"/>
        </w:tcBorders>
      </w:tcPr>
    </w:tblStylePr>
    <w:tblStylePr w:type="firstCol">
      <w:rPr>
        <w:b/>
        <w:bCs/>
      </w:rPr>
    </w:tblStylePr>
    <w:tblStylePr w:type="lastCol">
      <w:rPr>
        <w:b/>
        <w:bCs/>
      </w:rPr>
    </w:tblStylePr>
    <w:tblStylePr w:type="band1Vert">
      <w:tblPr/>
      <w:tcPr>
        <w:shd w:val="clear" w:color="auto" w:fill="FEBCBC" w:themeFill="accent1" w:themeFillTint="33"/>
      </w:tcPr>
    </w:tblStylePr>
    <w:tblStylePr w:type="band1Horz">
      <w:tblPr/>
      <w:tcPr>
        <w:shd w:val="clear" w:color="auto" w:fill="FEBCBC" w:themeFill="accent1" w:themeFillTint="33"/>
      </w:tcPr>
    </w:tblStylePr>
  </w:style>
  <w:style w:type="table" w:customStyle="1" w:styleId="-321">
    <w:name w:val="Список-таблица 3 — акцент 21"/>
    <w:basedOn w:val="a4"/>
    <w:uiPriority w:val="48"/>
    <w:rsid w:val="00782043"/>
    <w:pPr>
      <w:spacing w:after="0" w:line="240" w:lineRule="auto"/>
    </w:pPr>
    <w:tblPr>
      <w:tblStyleRowBandSize w:val="1"/>
      <w:tblStyleColBandSize w:val="1"/>
      <w:tblInd w:w="0" w:type="dxa"/>
      <w:tblBorders>
        <w:top w:val="single" w:sz="4" w:space="0" w:color="726056" w:themeColor="accent2"/>
        <w:left w:val="single" w:sz="4" w:space="0" w:color="726056" w:themeColor="accent2"/>
        <w:bottom w:val="single" w:sz="4" w:space="0" w:color="726056" w:themeColor="accent2"/>
        <w:right w:val="single" w:sz="4" w:space="0" w:color="726056" w:themeColor="accent2"/>
      </w:tblBorders>
      <w:tblCellMar>
        <w:top w:w="0" w:type="dxa"/>
        <w:left w:w="108" w:type="dxa"/>
        <w:bottom w:w="0" w:type="dxa"/>
        <w:right w:w="108" w:type="dxa"/>
      </w:tblCellMar>
    </w:tblPr>
    <w:tblStylePr w:type="firstRow">
      <w:rPr>
        <w:b/>
        <w:bCs/>
        <w:color w:val="FFFFFF" w:themeColor="background1"/>
      </w:rPr>
      <w:tblPr/>
      <w:tcPr>
        <w:shd w:val="clear" w:color="auto" w:fill="726056" w:themeFill="accent2"/>
      </w:tcPr>
    </w:tblStylePr>
    <w:tblStylePr w:type="lastRow">
      <w:rPr>
        <w:b/>
        <w:bCs/>
      </w:rPr>
      <w:tblPr/>
      <w:tcPr>
        <w:tcBorders>
          <w:top w:val="double" w:sz="4" w:space="0" w:color="7260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6056" w:themeColor="accent2"/>
          <w:right w:val="single" w:sz="4" w:space="0" w:color="726056" w:themeColor="accent2"/>
        </w:tcBorders>
      </w:tcPr>
    </w:tblStylePr>
    <w:tblStylePr w:type="band1Horz">
      <w:tblPr/>
      <w:tcPr>
        <w:tcBorders>
          <w:top w:val="single" w:sz="4" w:space="0" w:color="726056" w:themeColor="accent2"/>
          <w:bottom w:val="single" w:sz="4" w:space="0" w:color="7260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6056" w:themeColor="accent2"/>
          <w:left w:val="nil"/>
        </w:tcBorders>
      </w:tcPr>
    </w:tblStylePr>
    <w:tblStylePr w:type="swCell">
      <w:tblPr/>
      <w:tcPr>
        <w:tcBorders>
          <w:top w:val="double" w:sz="4" w:space="0" w:color="726056" w:themeColor="accent2"/>
          <w:right w:val="nil"/>
        </w:tcBorders>
      </w:tcPr>
    </w:tblStylePr>
  </w:style>
  <w:style w:type="table" w:styleId="-11">
    <w:name w:val="Light Grid Accent 1"/>
    <w:basedOn w:val="a4"/>
    <w:uiPriority w:val="62"/>
    <w:rsid w:val="00C60F91"/>
    <w:pPr>
      <w:spacing w:before="0" w:after="0" w:line="240" w:lineRule="auto"/>
    </w:pPr>
    <w:rPr>
      <w:rFonts w:ascii="Times" w:eastAsia="Times" w:hAnsi="Times" w:cs="Times New Roman"/>
      <w:color w:val="auto"/>
      <w:lang w:eastAsia="en-US"/>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customStyle="1" w:styleId="-221">
    <w:name w:val="Список-таблица 2 — акцент 21"/>
    <w:basedOn w:val="a4"/>
    <w:uiPriority w:val="47"/>
    <w:rsid w:val="00C60F91"/>
    <w:pPr>
      <w:spacing w:after="0" w:line="240" w:lineRule="auto"/>
    </w:pPr>
    <w:tblPr>
      <w:tblStyleRowBandSize w:val="1"/>
      <w:tblStyleColBandSize w:val="1"/>
      <w:tblInd w:w="0" w:type="dxa"/>
      <w:tblBorders>
        <w:top w:val="single" w:sz="4" w:space="0" w:color="AF9E94" w:themeColor="accent2" w:themeTint="99"/>
        <w:bottom w:val="single" w:sz="4" w:space="0" w:color="AF9E94" w:themeColor="accent2" w:themeTint="99"/>
        <w:insideH w:val="single" w:sz="4" w:space="0" w:color="AF9E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ru-RU" w:eastAsia="ru-RU"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qFormat="1"/>
    <w:lsdException w:name="Bibliography" w:uiPriority="37"/>
    <w:lsdException w:name="TOC Heading" w:uiPriority="39" w:qFormat="1"/>
  </w:latentStyles>
  <w:style w:type="paragraph" w:default="1" w:styleId="a2">
    <w:name w:val="Normal"/>
    <w:qFormat/>
    <w:rsid w:val="00191FAC"/>
    <w:rPr>
      <w:kern w:val="20"/>
    </w:rPr>
  </w:style>
  <w:style w:type="paragraph" w:styleId="1">
    <w:name w:val="heading 1"/>
    <w:basedOn w:val="a2"/>
    <w:next w:val="a2"/>
    <w:link w:val="10"/>
    <w:qFormat/>
    <w:rsid w:val="00CA0A1A"/>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21">
    <w:name w:val="heading 2"/>
    <w:basedOn w:val="a2"/>
    <w:next w:val="a2"/>
    <w:link w:val="22"/>
    <w:unhideWhenUsed/>
    <w:qFormat/>
    <w:rsid w:val="00CA0A1A"/>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31">
    <w:name w:val="heading 3"/>
    <w:basedOn w:val="a2"/>
    <w:next w:val="a2"/>
    <w:link w:val="32"/>
    <w:unhideWhenUsed/>
    <w:qFormat/>
    <w:rsid w:val="00CA0A1A"/>
    <w:pPr>
      <w:keepNext/>
      <w:keepLines/>
      <w:spacing w:before="200" w:after="0"/>
      <w:outlineLvl w:val="2"/>
    </w:pPr>
    <w:rPr>
      <w:rFonts w:asciiTheme="majorHAnsi" w:eastAsiaTheme="majorEastAsia" w:hAnsiTheme="majorHAnsi" w:cstheme="majorBidi"/>
      <w:b/>
      <w:bCs/>
      <w:color w:val="AD0101"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a2"/>
    <w:next w:val="a2"/>
    <w:link w:val="12"/>
    <w:uiPriority w:val="1"/>
    <w:qFormat/>
    <w:pPr>
      <w:pageBreakBefore/>
      <w:spacing w:before="0" w:after="360" w:line="240" w:lineRule="auto"/>
      <w:ind w:left="-360" w:right="-360"/>
      <w:outlineLvl w:val="0"/>
    </w:pPr>
    <w:rPr>
      <w:sz w:val="36"/>
    </w:rPr>
  </w:style>
  <w:style w:type="paragraph" w:customStyle="1" w:styleId="23">
    <w:name w:val="заголовок 2"/>
    <w:basedOn w:val="a2"/>
    <w:next w:val="a2"/>
    <w:link w:val="24"/>
    <w:uiPriority w:val="1"/>
    <w:unhideWhenUsed/>
    <w:qFormat/>
    <w:pPr>
      <w:keepNext/>
      <w:keepLines/>
      <w:spacing w:before="360" w:after="60" w:line="240" w:lineRule="auto"/>
      <w:outlineLvl w:val="1"/>
    </w:pPr>
    <w:rPr>
      <w:rFonts w:asciiTheme="majorHAnsi" w:eastAsiaTheme="majorEastAsia" w:hAnsiTheme="majorHAnsi" w:cstheme="majorBidi"/>
      <w:caps/>
      <w:color w:val="810000" w:themeColor="accent1" w:themeShade="BF"/>
      <w:sz w:val="24"/>
      <w14:ligatures w14:val="standardContextual"/>
    </w:rPr>
  </w:style>
  <w:style w:type="paragraph" w:customStyle="1" w:styleId="33">
    <w:name w:val="заголовок 3"/>
    <w:basedOn w:val="a2"/>
    <w:next w:val="a2"/>
    <w:link w:val="34"/>
    <w:uiPriority w:val="1"/>
    <w:unhideWhenUsed/>
    <w:qFormat/>
    <w:pPr>
      <w:keepNext/>
      <w:keepLines/>
      <w:spacing w:before="200" w:after="0"/>
      <w:outlineLvl w:val="2"/>
    </w:pPr>
    <w:rPr>
      <w:rFonts w:asciiTheme="majorHAnsi" w:eastAsiaTheme="majorEastAsia" w:hAnsiTheme="majorHAnsi" w:cstheme="majorBidi"/>
      <w:b/>
      <w:bCs/>
      <w:color w:val="AD0101" w:themeColor="accent1"/>
      <w14:ligatures w14:val="standardContextual"/>
    </w:rPr>
  </w:style>
  <w:style w:type="paragraph" w:customStyle="1" w:styleId="41">
    <w:name w:val="заголовок 4"/>
    <w:basedOn w:val="a2"/>
    <w:next w:val="a2"/>
    <w:link w:val="42"/>
    <w:uiPriority w:val="18"/>
    <w:semiHidden/>
    <w:unhideWhenUsed/>
    <w:qFormat/>
    <w:pPr>
      <w:keepNext/>
      <w:keepLines/>
      <w:spacing w:before="200" w:after="0"/>
      <w:outlineLvl w:val="3"/>
    </w:pPr>
    <w:rPr>
      <w:rFonts w:asciiTheme="majorHAnsi" w:eastAsiaTheme="majorEastAsia" w:hAnsiTheme="majorHAnsi" w:cstheme="majorBidi"/>
      <w:b/>
      <w:bCs/>
      <w:i/>
      <w:iCs/>
      <w:color w:val="AD0101" w:themeColor="accent1"/>
    </w:rPr>
  </w:style>
  <w:style w:type="paragraph" w:customStyle="1" w:styleId="51">
    <w:name w:val="заголовок 5"/>
    <w:basedOn w:val="a2"/>
    <w:next w:val="a2"/>
    <w:link w:val="52"/>
    <w:uiPriority w:val="18"/>
    <w:semiHidden/>
    <w:unhideWhenUsed/>
    <w:qFormat/>
    <w:pPr>
      <w:keepNext/>
      <w:keepLines/>
      <w:spacing w:before="200" w:after="0"/>
      <w:outlineLvl w:val="4"/>
    </w:pPr>
    <w:rPr>
      <w:rFonts w:asciiTheme="majorHAnsi" w:eastAsiaTheme="majorEastAsia" w:hAnsiTheme="majorHAnsi" w:cstheme="majorBidi"/>
      <w:color w:val="550000" w:themeColor="accent1" w:themeShade="7F"/>
    </w:rPr>
  </w:style>
  <w:style w:type="paragraph" w:customStyle="1" w:styleId="6">
    <w:name w:val="заголовок 6"/>
    <w:basedOn w:val="a2"/>
    <w:next w:val="a2"/>
    <w:link w:val="60"/>
    <w:uiPriority w:val="18"/>
    <w:semiHidden/>
    <w:unhideWhenUsed/>
    <w:qFormat/>
    <w:pPr>
      <w:keepNext/>
      <w:keepLines/>
      <w:spacing w:before="200" w:after="0"/>
      <w:outlineLvl w:val="5"/>
    </w:pPr>
    <w:rPr>
      <w:rFonts w:asciiTheme="majorHAnsi" w:eastAsiaTheme="majorEastAsia" w:hAnsiTheme="majorHAnsi" w:cstheme="majorBidi"/>
      <w:i/>
      <w:iCs/>
      <w:color w:val="550000" w:themeColor="accent1" w:themeShade="7F"/>
    </w:rPr>
  </w:style>
  <w:style w:type="paragraph" w:customStyle="1" w:styleId="7">
    <w:name w:val="заголовок 7"/>
    <w:basedOn w:val="a2"/>
    <w:next w:val="a2"/>
    <w:link w:val="70"/>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8">
    <w:name w:val="заголовок 8"/>
    <w:basedOn w:val="a2"/>
    <w:next w:val="a2"/>
    <w:link w:val="80"/>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9">
    <w:name w:val="заголовок 9"/>
    <w:basedOn w:val="a2"/>
    <w:next w:val="a2"/>
    <w:link w:val="90"/>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6">
    <w:name w:val="верхний колонтитул"/>
    <w:basedOn w:val="a2"/>
    <w:link w:val="a7"/>
    <w:uiPriority w:val="99"/>
    <w:unhideWhenUsed/>
    <w:pPr>
      <w:tabs>
        <w:tab w:val="center" w:pos="4680"/>
        <w:tab w:val="right" w:pos="9360"/>
      </w:tabs>
      <w:spacing w:before="0" w:after="0" w:line="240" w:lineRule="auto"/>
    </w:pPr>
  </w:style>
  <w:style w:type="character" w:customStyle="1" w:styleId="a7">
    <w:name w:val="Верхний колонтитул (знак)"/>
    <w:basedOn w:val="a3"/>
    <w:link w:val="a6"/>
    <w:uiPriority w:val="99"/>
    <w:rPr>
      <w:kern w:val="20"/>
    </w:rPr>
  </w:style>
  <w:style w:type="paragraph" w:customStyle="1" w:styleId="a8">
    <w:name w:val="нижний колонтитул"/>
    <w:basedOn w:val="a2"/>
    <w:link w:val="a9"/>
    <w:uiPriority w:val="99"/>
    <w:unhideWhenUsed/>
    <w:pPr>
      <w:pBdr>
        <w:top w:val="single" w:sz="4" w:space="6" w:color="FD3636" w:themeColor="accent1" w:themeTint="99"/>
        <w:left w:val="single" w:sz="2" w:space="4" w:color="FFFFFF" w:themeColor="background1"/>
      </w:pBdr>
      <w:spacing w:after="0" w:line="240" w:lineRule="auto"/>
      <w:ind w:left="-360" w:right="-360"/>
    </w:pPr>
  </w:style>
  <w:style w:type="character" w:customStyle="1" w:styleId="a9">
    <w:name w:val="Нижний колонтитул (знак)"/>
    <w:basedOn w:val="a3"/>
    <w:link w:val="a8"/>
    <w:uiPriority w:val="99"/>
    <w:rPr>
      <w:kern w:val="20"/>
    </w:rPr>
  </w:style>
  <w:style w:type="table" w:styleId="aa">
    <w:name w:val="Table Grid"/>
    <w:basedOn w:val="a4"/>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pPr>
      <w:spacing w:after="0" w:line="240" w:lineRule="auto"/>
    </w:pPr>
  </w:style>
  <w:style w:type="paragraph" w:styleId="ad">
    <w:name w:val="Balloon Text"/>
    <w:basedOn w:val="a2"/>
    <w:link w:val="ae"/>
    <w:uiPriority w:val="99"/>
    <w:semiHidden/>
    <w:unhideWhenUsed/>
    <w:pPr>
      <w:spacing w:after="0" w:line="240" w:lineRule="auto"/>
    </w:pPr>
    <w:rPr>
      <w:rFonts w:ascii="Tahoma" w:hAnsi="Tahoma" w:cs="Tahoma"/>
      <w:sz w:val="16"/>
    </w:rPr>
  </w:style>
  <w:style w:type="character" w:customStyle="1" w:styleId="ae">
    <w:name w:val="Текст выноски Знак"/>
    <w:basedOn w:val="a3"/>
    <w:link w:val="ad"/>
    <w:uiPriority w:val="99"/>
    <w:semiHidden/>
    <w:rPr>
      <w:rFonts w:ascii="Tahoma" w:hAnsi="Tahoma" w:cs="Tahoma"/>
      <w:sz w:val="16"/>
    </w:rPr>
  </w:style>
  <w:style w:type="character" w:customStyle="1" w:styleId="12">
    <w:name w:val="Заголовок 1 (знак)"/>
    <w:basedOn w:val="a3"/>
    <w:link w:val="11"/>
    <w:uiPriority w:val="1"/>
    <w:rPr>
      <w:kern w:val="20"/>
      <w:sz w:val="36"/>
    </w:rPr>
  </w:style>
  <w:style w:type="character" w:customStyle="1" w:styleId="24">
    <w:name w:val="Заголовок 2 (знак)"/>
    <w:basedOn w:val="a3"/>
    <w:link w:val="23"/>
    <w:uiPriority w:val="1"/>
    <w:rPr>
      <w:rFonts w:asciiTheme="majorHAnsi" w:eastAsiaTheme="majorEastAsia" w:hAnsiTheme="majorHAnsi" w:cstheme="majorBidi"/>
      <w:caps/>
      <w:color w:val="810000" w:themeColor="accent1" w:themeShade="BF"/>
      <w:kern w:val="20"/>
      <w:sz w:val="24"/>
      <w14:ligatures w14:val="standardContextual"/>
    </w:rPr>
  </w:style>
  <w:style w:type="character" w:styleId="af">
    <w:name w:val="Placeholder Text"/>
    <w:basedOn w:val="a3"/>
    <w:uiPriority w:val="99"/>
    <w:semiHidden/>
    <w:rPr>
      <w:color w:val="808080"/>
    </w:rPr>
  </w:style>
  <w:style w:type="paragraph" w:styleId="af0">
    <w:name w:val="Block Text"/>
    <w:basedOn w:val="a2"/>
    <w:next w:val="a2"/>
    <w:link w:val="af1"/>
    <w:uiPriority w:val="9"/>
    <w:unhideWhenUsed/>
    <w:qFormat/>
    <w:pPr>
      <w:spacing w:before="240" w:after="240"/>
      <w:ind w:left="720" w:right="720"/>
    </w:pPr>
    <w:rPr>
      <w:i/>
      <w:iCs/>
      <w:color w:val="AD0101" w:themeColor="accent1"/>
      <w:sz w:val="28"/>
    </w:rPr>
  </w:style>
  <w:style w:type="character" w:customStyle="1" w:styleId="af1">
    <w:name w:val="Цитата Знак"/>
    <w:basedOn w:val="a3"/>
    <w:link w:val="af0"/>
    <w:uiPriority w:val="9"/>
    <w:rPr>
      <w:i/>
      <w:iCs/>
      <w:color w:val="AD0101" w:themeColor="accent1"/>
      <w:kern w:val="20"/>
      <w:sz w:val="28"/>
    </w:rPr>
  </w:style>
  <w:style w:type="paragraph" w:styleId="af2">
    <w:name w:val="Bibliography"/>
    <w:basedOn w:val="a2"/>
    <w:next w:val="a2"/>
    <w:uiPriority w:val="37"/>
    <w:semiHidden/>
    <w:unhideWhenUsed/>
  </w:style>
  <w:style w:type="paragraph" w:customStyle="1" w:styleId="af3">
    <w:name w:val="Текст блока"/>
    <w:basedOn w:val="a2"/>
    <w:uiPriority w:val="99"/>
    <w:semiHidden/>
    <w:unhideWhenUsed/>
    <w:pPr>
      <w:pBdr>
        <w:top w:val="single" w:sz="2" w:space="10" w:color="AD0101" w:themeColor="accent1" w:frame="1"/>
        <w:left w:val="single" w:sz="2" w:space="10" w:color="AD0101" w:themeColor="accent1" w:frame="1"/>
        <w:bottom w:val="single" w:sz="2" w:space="10" w:color="AD0101" w:themeColor="accent1" w:frame="1"/>
        <w:right w:val="single" w:sz="2" w:space="10" w:color="AD0101" w:themeColor="accent1" w:frame="1"/>
      </w:pBdr>
      <w:ind w:left="1152" w:right="1152"/>
    </w:pPr>
    <w:rPr>
      <w:i/>
      <w:iCs/>
      <w:color w:val="AD0101" w:themeColor="accent1"/>
    </w:rPr>
  </w:style>
  <w:style w:type="paragraph" w:styleId="af4">
    <w:name w:val="Body Text"/>
    <w:basedOn w:val="a2"/>
    <w:link w:val="af5"/>
    <w:uiPriority w:val="99"/>
    <w:semiHidden/>
    <w:unhideWhenUsed/>
    <w:pPr>
      <w:spacing w:after="120"/>
    </w:pPr>
  </w:style>
  <w:style w:type="character" w:customStyle="1" w:styleId="af5">
    <w:name w:val="Основной текст Знак"/>
    <w:basedOn w:val="a3"/>
    <w:link w:val="af4"/>
    <w:uiPriority w:val="99"/>
    <w:semiHidden/>
  </w:style>
  <w:style w:type="paragraph" w:styleId="25">
    <w:name w:val="Body Text 2"/>
    <w:basedOn w:val="a2"/>
    <w:link w:val="26"/>
    <w:uiPriority w:val="99"/>
    <w:semiHidden/>
    <w:unhideWhenUsed/>
    <w:pPr>
      <w:spacing w:after="120" w:line="480" w:lineRule="auto"/>
    </w:pPr>
  </w:style>
  <w:style w:type="character" w:customStyle="1" w:styleId="26">
    <w:name w:val="Основной текст 2 Знак"/>
    <w:basedOn w:val="a3"/>
    <w:link w:val="25"/>
    <w:uiPriority w:val="99"/>
    <w:semiHidden/>
  </w:style>
  <w:style w:type="paragraph" w:styleId="35">
    <w:name w:val="Body Text 3"/>
    <w:basedOn w:val="a2"/>
    <w:link w:val="36"/>
    <w:uiPriority w:val="99"/>
    <w:semiHidden/>
    <w:unhideWhenUsed/>
    <w:pPr>
      <w:spacing w:after="120"/>
    </w:pPr>
    <w:rPr>
      <w:sz w:val="16"/>
    </w:rPr>
  </w:style>
  <w:style w:type="character" w:customStyle="1" w:styleId="36">
    <w:name w:val="Основной текст 3 Знак"/>
    <w:basedOn w:val="a3"/>
    <w:link w:val="35"/>
    <w:uiPriority w:val="99"/>
    <w:semiHidden/>
    <w:rPr>
      <w:sz w:val="16"/>
    </w:rPr>
  </w:style>
  <w:style w:type="paragraph" w:styleId="af6">
    <w:name w:val="Body Text First Indent"/>
    <w:basedOn w:val="af4"/>
    <w:link w:val="af7"/>
    <w:uiPriority w:val="99"/>
    <w:semiHidden/>
    <w:unhideWhenUsed/>
    <w:pPr>
      <w:spacing w:after="200"/>
      <w:ind w:firstLine="360"/>
    </w:pPr>
  </w:style>
  <w:style w:type="character" w:customStyle="1" w:styleId="af7">
    <w:name w:val="Красная строка Знак"/>
    <w:basedOn w:val="af5"/>
    <w:link w:val="af6"/>
    <w:uiPriority w:val="99"/>
    <w:semiHidden/>
  </w:style>
  <w:style w:type="paragraph" w:styleId="af8">
    <w:name w:val="Body Text Indent"/>
    <w:basedOn w:val="a2"/>
    <w:link w:val="af9"/>
    <w:uiPriority w:val="99"/>
    <w:semiHidden/>
    <w:unhideWhenUsed/>
    <w:pPr>
      <w:spacing w:after="120"/>
      <w:ind w:left="360"/>
    </w:pPr>
  </w:style>
  <w:style w:type="character" w:customStyle="1" w:styleId="af9">
    <w:name w:val="Основной текст с отступом Знак"/>
    <w:basedOn w:val="a3"/>
    <w:link w:val="af8"/>
    <w:uiPriority w:val="99"/>
    <w:semiHidden/>
  </w:style>
  <w:style w:type="paragraph" w:styleId="27">
    <w:name w:val="Body Text First Indent 2"/>
    <w:basedOn w:val="af8"/>
    <w:link w:val="28"/>
    <w:uiPriority w:val="99"/>
    <w:semiHidden/>
    <w:unhideWhenUsed/>
    <w:pPr>
      <w:spacing w:after="200"/>
      <w:ind w:firstLine="360"/>
    </w:pPr>
  </w:style>
  <w:style w:type="character" w:customStyle="1" w:styleId="28">
    <w:name w:val="Красная строка 2 Знак"/>
    <w:basedOn w:val="af9"/>
    <w:link w:val="27"/>
    <w:uiPriority w:val="99"/>
    <w:semiHidden/>
  </w:style>
  <w:style w:type="paragraph" w:styleId="29">
    <w:name w:val="Body Text Indent 2"/>
    <w:basedOn w:val="a2"/>
    <w:link w:val="2a"/>
    <w:uiPriority w:val="99"/>
    <w:semiHidden/>
    <w:unhideWhenUsed/>
    <w:pPr>
      <w:spacing w:after="120" w:line="480" w:lineRule="auto"/>
      <w:ind w:left="360"/>
    </w:pPr>
  </w:style>
  <w:style w:type="character" w:customStyle="1" w:styleId="2a">
    <w:name w:val="Основной текст с отступом 2 Знак"/>
    <w:basedOn w:val="a3"/>
    <w:link w:val="29"/>
    <w:uiPriority w:val="99"/>
    <w:semiHidden/>
  </w:style>
  <w:style w:type="paragraph" w:styleId="37">
    <w:name w:val="Body Text Indent 3"/>
    <w:basedOn w:val="a2"/>
    <w:link w:val="38"/>
    <w:uiPriority w:val="99"/>
    <w:semiHidden/>
    <w:unhideWhenUsed/>
    <w:pPr>
      <w:spacing w:after="120"/>
      <w:ind w:left="360"/>
    </w:pPr>
    <w:rPr>
      <w:sz w:val="16"/>
    </w:rPr>
  </w:style>
  <w:style w:type="character" w:customStyle="1" w:styleId="38">
    <w:name w:val="Основной текст с отступом 3 Знак"/>
    <w:basedOn w:val="a3"/>
    <w:link w:val="37"/>
    <w:uiPriority w:val="99"/>
    <w:semiHidden/>
    <w:rPr>
      <w:sz w:val="16"/>
    </w:rPr>
  </w:style>
  <w:style w:type="character" w:styleId="afa">
    <w:name w:val="Book Title"/>
    <w:basedOn w:val="a3"/>
    <w:uiPriority w:val="33"/>
    <w:unhideWhenUsed/>
    <w:qFormat/>
    <w:rPr>
      <w:b/>
      <w:bCs/>
      <w:smallCaps/>
      <w:spacing w:val="5"/>
    </w:rPr>
  </w:style>
  <w:style w:type="paragraph" w:customStyle="1" w:styleId="afb">
    <w:name w:val="подпись"/>
    <w:basedOn w:val="a2"/>
    <w:next w:val="a2"/>
    <w:uiPriority w:val="35"/>
    <w:semiHidden/>
    <w:unhideWhenUsed/>
    <w:qFormat/>
    <w:pPr>
      <w:spacing w:line="240" w:lineRule="auto"/>
    </w:pPr>
    <w:rPr>
      <w:b/>
      <w:bCs/>
      <w:color w:val="AD0101" w:themeColor="accent1"/>
      <w:sz w:val="18"/>
    </w:rPr>
  </w:style>
  <w:style w:type="paragraph" w:customStyle="1" w:styleId="afc">
    <w:name w:val="Заключение"/>
    <w:basedOn w:val="a2"/>
    <w:link w:val="afd"/>
    <w:uiPriority w:val="99"/>
    <w:semiHidden/>
    <w:unhideWhenUsed/>
    <w:pPr>
      <w:spacing w:after="0" w:line="240" w:lineRule="auto"/>
      <w:ind w:left="4320"/>
    </w:pPr>
  </w:style>
  <w:style w:type="character" w:customStyle="1" w:styleId="afd">
    <w:name w:val="Заключение (знак)"/>
    <w:basedOn w:val="a3"/>
    <w:link w:val="afc"/>
    <w:uiPriority w:val="99"/>
    <w:semiHidden/>
  </w:style>
  <w:style w:type="table" w:styleId="afe">
    <w:name w:val="Colorful Grid"/>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
    <w:name w:val="Цветная сетка — акцент 1"/>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BCBC" w:themeFill="accent1" w:themeFillTint="33"/>
    </w:tcPr>
    <w:tblStylePr w:type="firstRow">
      <w:rPr>
        <w:b/>
        <w:bCs/>
      </w:rPr>
      <w:tblPr/>
      <w:tcPr>
        <w:shd w:val="clear" w:color="auto" w:fill="FE7979" w:themeFill="accent1" w:themeFillTint="66"/>
      </w:tcPr>
    </w:tblStylePr>
    <w:tblStylePr w:type="lastRow">
      <w:rPr>
        <w:b/>
        <w:bCs/>
        <w:color w:val="000000" w:themeColor="text1"/>
      </w:rPr>
      <w:tblPr/>
      <w:tcPr>
        <w:shd w:val="clear" w:color="auto" w:fill="FE7979" w:themeFill="accent1" w:themeFillTint="66"/>
      </w:tcPr>
    </w:tblStylePr>
    <w:tblStylePr w:type="firstCol">
      <w:rPr>
        <w:color w:val="FFFFFF" w:themeColor="background1"/>
      </w:rPr>
      <w:tblPr/>
      <w:tcPr>
        <w:shd w:val="clear" w:color="auto" w:fill="810000" w:themeFill="accent1" w:themeFillShade="BF"/>
      </w:tcPr>
    </w:tblStylePr>
    <w:tblStylePr w:type="lastCol">
      <w:rPr>
        <w:color w:val="FFFFFF" w:themeColor="background1"/>
      </w:rPr>
      <w:tblPr/>
      <w:tcPr>
        <w:shd w:val="clear" w:color="auto" w:fill="810000" w:themeFill="accent1" w:themeFillShade="BF"/>
      </w:tcPr>
    </w:tblStylePr>
    <w:tblStylePr w:type="band1Vert">
      <w:tblPr/>
      <w:tcPr>
        <w:shd w:val="clear" w:color="auto" w:fill="FE5858" w:themeFill="accent1" w:themeFillTint="7F"/>
      </w:tcPr>
    </w:tblStylePr>
    <w:tblStylePr w:type="band1Horz">
      <w:tblPr/>
      <w:tcPr>
        <w:shd w:val="clear" w:color="auto" w:fill="FE5858" w:themeFill="accent1" w:themeFillTint="7F"/>
      </w:tcPr>
    </w:tblStylePr>
  </w:style>
  <w:style w:type="table" w:customStyle="1" w:styleId="2b">
    <w:name w:val="Цветная сетка — акцент 2"/>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DEDB" w:themeFill="accent2" w:themeFillTint="33"/>
    </w:tcPr>
    <w:tblStylePr w:type="firstRow">
      <w:rPr>
        <w:b/>
        <w:bCs/>
      </w:rPr>
      <w:tblPr/>
      <w:tcPr>
        <w:shd w:val="clear" w:color="auto" w:fill="C9BEB8" w:themeFill="accent2" w:themeFillTint="66"/>
      </w:tcPr>
    </w:tblStylePr>
    <w:tblStylePr w:type="lastRow">
      <w:rPr>
        <w:b/>
        <w:bCs/>
        <w:color w:val="000000" w:themeColor="text1"/>
      </w:rPr>
      <w:tblPr/>
      <w:tcPr>
        <w:shd w:val="clear" w:color="auto" w:fill="C9BEB8" w:themeFill="accent2" w:themeFillTint="66"/>
      </w:tcPr>
    </w:tblStylePr>
    <w:tblStylePr w:type="firstCol">
      <w:rPr>
        <w:color w:val="FFFFFF" w:themeColor="background1"/>
      </w:rPr>
      <w:tblPr/>
      <w:tcPr>
        <w:shd w:val="clear" w:color="auto" w:fill="554740" w:themeFill="accent2" w:themeFillShade="BF"/>
      </w:tcPr>
    </w:tblStylePr>
    <w:tblStylePr w:type="lastCol">
      <w:rPr>
        <w:color w:val="FFFFFF" w:themeColor="background1"/>
      </w:rPr>
      <w:tblPr/>
      <w:tcPr>
        <w:shd w:val="clear" w:color="auto" w:fill="554740" w:themeFill="accent2" w:themeFillShade="BF"/>
      </w:tc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customStyle="1" w:styleId="39">
    <w:name w:val="Цветная сетка — акцент 3"/>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customStyle="1" w:styleId="43">
    <w:name w:val="Цветная сетка — акцент 4"/>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8ED" w:themeFill="accent4" w:themeFillTint="33"/>
    </w:tcPr>
    <w:tblStylePr w:type="firstRow">
      <w:rPr>
        <w:b/>
        <w:bCs/>
      </w:rPr>
      <w:tblPr/>
      <w:tcPr>
        <w:shd w:val="clear" w:color="auto" w:fill="CCD1DC" w:themeFill="accent4" w:themeFillTint="66"/>
      </w:tcPr>
    </w:tblStylePr>
    <w:tblStylePr w:type="lastRow">
      <w:rPr>
        <w:b/>
        <w:bCs/>
        <w:color w:val="000000" w:themeColor="text1"/>
      </w:rPr>
      <w:tblPr/>
      <w:tcPr>
        <w:shd w:val="clear" w:color="auto" w:fill="CCD1DC" w:themeFill="accent4" w:themeFillTint="66"/>
      </w:tcPr>
    </w:tblStylePr>
    <w:tblStylePr w:type="firstCol">
      <w:rPr>
        <w:color w:val="FFFFFF" w:themeColor="background1"/>
      </w:rPr>
      <w:tblPr/>
      <w:tcPr>
        <w:shd w:val="clear" w:color="auto" w:fill="596784" w:themeFill="accent4" w:themeFillShade="BF"/>
      </w:tcPr>
    </w:tblStylePr>
    <w:tblStylePr w:type="lastCol">
      <w:rPr>
        <w:color w:val="FFFFFF" w:themeColor="background1"/>
      </w:rPr>
      <w:tblPr/>
      <w:tcPr>
        <w:shd w:val="clear" w:color="auto" w:fill="596784" w:themeFill="accent4" w:themeFillShade="BF"/>
      </w:tc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table" w:customStyle="1" w:styleId="53">
    <w:name w:val="Цветная сетка — акцент 5"/>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DBE1" w:themeFill="accent5" w:themeFillTint="33"/>
    </w:tcPr>
    <w:tblStylePr w:type="firstRow">
      <w:rPr>
        <w:b/>
        <w:bCs/>
      </w:rPr>
      <w:tblPr/>
      <w:tcPr>
        <w:shd w:val="clear" w:color="auto" w:fill="ADB7C3" w:themeFill="accent5" w:themeFillTint="66"/>
      </w:tcPr>
    </w:tblStylePr>
    <w:tblStylePr w:type="lastRow">
      <w:rPr>
        <w:b/>
        <w:bCs/>
        <w:color w:val="000000" w:themeColor="text1"/>
      </w:rPr>
      <w:tblPr/>
      <w:tcPr>
        <w:shd w:val="clear" w:color="auto" w:fill="ADB7C3" w:themeFill="accent5" w:themeFillTint="66"/>
      </w:tcPr>
    </w:tblStylePr>
    <w:tblStylePr w:type="firstCol">
      <w:rPr>
        <w:color w:val="FFFFFF" w:themeColor="background1"/>
      </w:rPr>
      <w:tblPr/>
      <w:tcPr>
        <w:shd w:val="clear" w:color="auto" w:fill="313A43" w:themeFill="accent5" w:themeFillShade="BF"/>
      </w:tcPr>
    </w:tblStylePr>
    <w:tblStylePr w:type="lastCol">
      <w:rPr>
        <w:color w:val="FFFFFF" w:themeColor="background1"/>
      </w:rPr>
      <w:tblPr/>
      <w:tcPr>
        <w:shd w:val="clear" w:color="auto" w:fill="313A43" w:themeFill="accent5" w:themeFillShade="BF"/>
      </w:tcPr>
    </w:tblStylePr>
    <w:tblStylePr w:type="band1Vert">
      <w:tblPr/>
      <w:tcPr>
        <w:shd w:val="clear" w:color="auto" w:fill="99A6B5" w:themeFill="accent5" w:themeFillTint="7F"/>
      </w:tcPr>
    </w:tblStylePr>
    <w:tblStylePr w:type="band1Horz">
      <w:tblPr/>
      <w:tcPr>
        <w:shd w:val="clear" w:color="auto" w:fill="99A6B5" w:themeFill="accent5" w:themeFillTint="7F"/>
      </w:tcPr>
    </w:tblStylePr>
  </w:style>
  <w:style w:type="table" w:customStyle="1" w:styleId="61">
    <w:name w:val="Цветная сетка — акцент 6"/>
    <w:basedOn w:val="a4"/>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9B0" w:themeFill="accent6" w:themeFillTint="33"/>
    </w:tcPr>
    <w:tblStylePr w:type="firstRow">
      <w:rPr>
        <w:b/>
        <w:bCs/>
      </w:rPr>
      <w:tblPr/>
      <w:tcPr>
        <w:shd w:val="clear" w:color="auto" w:fill="FF7461" w:themeFill="accent6" w:themeFillTint="66"/>
      </w:tcPr>
    </w:tblStylePr>
    <w:tblStylePr w:type="lastRow">
      <w:rPr>
        <w:b/>
        <w:bCs/>
        <w:color w:val="000000" w:themeColor="text1"/>
      </w:rPr>
      <w:tblPr/>
      <w:tcPr>
        <w:shd w:val="clear" w:color="auto" w:fill="FF7461" w:themeFill="accent6" w:themeFillTint="66"/>
      </w:tcPr>
    </w:tblStylePr>
    <w:tblStylePr w:type="firstCol">
      <w:rPr>
        <w:color w:val="FFFFFF" w:themeColor="background1"/>
      </w:rPr>
      <w:tblPr/>
      <w:tcPr>
        <w:shd w:val="clear" w:color="auto" w:fill="560A00" w:themeFill="accent6" w:themeFillShade="BF"/>
      </w:tcPr>
    </w:tblStylePr>
    <w:tblStylePr w:type="lastCol">
      <w:rPr>
        <w:color w:val="FFFFFF" w:themeColor="background1"/>
      </w:rPr>
      <w:tblPr/>
      <w:tcPr>
        <w:shd w:val="clear" w:color="auto" w:fill="560A00" w:themeFill="accent6" w:themeFillShade="BF"/>
      </w:tcPr>
    </w:tblStylePr>
    <w:tblStylePr w:type="band1Vert">
      <w:tblPr/>
      <w:tcPr>
        <w:shd w:val="clear" w:color="auto" w:fill="FF513A" w:themeFill="accent6" w:themeFillTint="7F"/>
      </w:tcPr>
    </w:tblStylePr>
    <w:tblStylePr w:type="band1Horz">
      <w:tblPr/>
      <w:tcPr>
        <w:shd w:val="clear" w:color="auto" w:fill="FF513A" w:themeFill="accent6" w:themeFillTint="7F"/>
      </w:tcPr>
    </w:tblStylePr>
  </w:style>
  <w:style w:type="table" w:styleId="aff">
    <w:name w:val="Colorful List"/>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4">
    <w:name w:val="Цветной список — акцент 1"/>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customStyle="1" w:styleId="2c">
    <w:name w:val="Цветной список — акцент 2"/>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EFED" w:themeFill="accent2"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7D3" w:themeFill="accent2" w:themeFillTint="3F"/>
      </w:tcPr>
    </w:tblStylePr>
    <w:tblStylePr w:type="band1Horz">
      <w:tblPr/>
      <w:tcPr>
        <w:shd w:val="clear" w:color="auto" w:fill="E4DEDB" w:themeFill="accent2" w:themeFillTint="33"/>
      </w:tcPr>
    </w:tblStylePr>
  </w:style>
  <w:style w:type="table" w:customStyle="1" w:styleId="3a">
    <w:name w:val="Цветной список — акцент 3"/>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4F0" w:themeFill="accent3" w:themeFillTint="19"/>
    </w:tcPr>
    <w:tblStylePr w:type="firstRow">
      <w:rPr>
        <w:b/>
        <w:bCs/>
        <w:color w:val="FFFFFF" w:themeColor="background1"/>
      </w:rPr>
      <w:tblPr/>
      <w:tcPr>
        <w:tcBorders>
          <w:bottom w:val="single" w:sz="12" w:space="0" w:color="FFFFFF" w:themeColor="background1"/>
        </w:tcBorders>
        <w:shd w:val="clear" w:color="auto" w:fill="606E8D" w:themeFill="accent4" w:themeFillShade="CC"/>
      </w:tcPr>
    </w:tblStylePr>
    <w:tblStylePr w:type="lastRow">
      <w:rPr>
        <w:b/>
        <w:bCs/>
        <w:color w:val="606E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4DB" w:themeFill="accent3" w:themeFillTint="3F"/>
      </w:tcPr>
    </w:tblStylePr>
    <w:tblStylePr w:type="band1Horz">
      <w:tblPr/>
      <w:tcPr>
        <w:shd w:val="clear" w:color="auto" w:fill="EEE9E1" w:themeFill="accent3" w:themeFillTint="33"/>
      </w:tcPr>
    </w:tblStylePr>
  </w:style>
  <w:style w:type="table" w:customStyle="1" w:styleId="44">
    <w:name w:val="Цветной список — акцент 4"/>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8F7852" w:themeFill="accent3" w:themeFillShade="CC"/>
      </w:tcPr>
    </w:tblStylePr>
    <w:tblStylePr w:type="lastRow">
      <w:rPr>
        <w:b/>
        <w:bCs/>
        <w:color w:val="8F78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2E9" w:themeFill="accent4" w:themeFillTint="3F"/>
      </w:tcPr>
    </w:tblStylePr>
    <w:tblStylePr w:type="band1Horz">
      <w:tblPr/>
      <w:tcPr>
        <w:shd w:val="clear" w:color="auto" w:fill="E5E8ED" w:themeFill="accent4" w:themeFillTint="33"/>
      </w:tcPr>
    </w:tblStylePr>
  </w:style>
  <w:style w:type="table" w:customStyle="1" w:styleId="54">
    <w:name w:val="Цветной список — акцент 5"/>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EDF0" w:themeFill="accent5" w:themeFillTint="19"/>
    </w:tcPr>
    <w:tblStylePr w:type="firstRow">
      <w:rPr>
        <w:b/>
        <w:bCs/>
        <w:color w:val="FFFFFF" w:themeColor="background1"/>
      </w:rPr>
      <w:tblPr/>
      <w:tcPr>
        <w:tcBorders>
          <w:bottom w:val="single" w:sz="12" w:space="0" w:color="FFFFFF" w:themeColor="background1"/>
        </w:tcBorders>
        <w:shd w:val="clear" w:color="auto" w:fill="5C0B00" w:themeFill="accent6" w:themeFillShade="CC"/>
      </w:tcPr>
    </w:tblStylePr>
    <w:tblStylePr w:type="lastRow">
      <w:rPr>
        <w:b/>
        <w:bCs/>
        <w:color w:val="5C0B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D3DA" w:themeFill="accent5" w:themeFillTint="3F"/>
      </w:tcPr>
    </w:tblStylePr>
    <w:tblStylePr w:type="band1Horz">
      <w:tblPr/>
      <w:tcPr>
        <w:shd w:val="clear" w:color="auto" w:fill="D6DBE1" w:themeFill="accent5" w:themeFillTint="33"/>
      </w:tcPr>
    </w:tblStylePr>
  </w:style>
  <w:style w:type="table" w:customStyle="1" w:styleId="62">
    <w:name w:val="Цветной список — акцент 6"/>
    <w:basedOn w:val="a4"/>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CD8" w:themeFill="accent6" w:themeFillTint="19"/>
    </w:tcPr>
    <w:tblStylePr w:type="firstRow">
      <w:rPr>
        <w:b/>
        <w:bCs/>
        <w:color w:val="FFFFFF" w:themeColor="background1"/>
      </w:rPr>
      <w:tblPr/>
      <w:tcPr>
        <w:tcBorders>
          <w:bottom w:val="single" w:sz="12" w:space="0" w:color="FFFFFF" w:themeColor="background1"/>
        </w:tcBorders>
        <w:shd w:val="clear" w:color="auto" w:fill="343E48" w:themeFill="accent5" w:themeFillShade="CC"/>
      </w:tcPr>
    </w:tblStylePr>
    <w:tblStylePr w:type="lastRow">
      <w:rPr>
        <w:b/>
        <w:bCs/>
        <w:color w:val="343E4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99D" w:themeFill="accent6" w:themeFillTint="3F"/>
      </w:tcPr>
    </w:tblStylePr>
    <w:tblStylePr w:type="band1Horz">
      <w:tblPr/>
      <w:tcPr>
        <w:shd w:val="clear" w:color="auto" w:fill="FFB9B0" w:themeFill="accent6" w:themeFillTint="33"/>
      </w:tcPr>
    </w:tblStylePr>
  </w:style>
  <w:style w:type="table" w:styleId="aff0">
    <w:name w:val="Colorful Shading"/>
    <w:basedOn w:val="a4"/>
    <w:uiPriority w:val="71"/>
    <w:pPr>
      <w:spacing w:after="0" w:line="240" w:lineRule="auto"/>
    </w:pPr>
    <w:rPr>
      <w:color w:val="000000" w:themeColor="text1"/>
    </w:rPr>
    <w:tblPr>
      <w:tblStyleRowBandSize w:val="1"/>
      <w:tblStyleColBandSize w:val="1"/>
      <w:tblInd w:w="0" w:type="dxa"/>
      <w:tblBorders>
        <w:top w:val="single" w:sz="24" w:space="0" w:color="7260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5">
    <w:name w:val="Цветная заливка — акцент 1"/>
    <w:basedOn w:val="a4"/>
    <w:uiPriority w:val="71"/>
    <w:pPr>
      <w:spacing w:after="0" w:line="240" w:lineRule="auto"/>
    </w:pPr>
    <w:rPr>
      <w:color w:val="000000" w:themeColor="text1"/>
    </w:rPr>
    <w:tblPr>
      <w:tblStyleRowBandSize w:val="1"/>
      <w:tblStyleColBandSize w:val="1"/>
      <w:tblInd w:w="0" w:type="dxa"/>
      <w:tblBorders>
        <w:top w:val="single" w:sz="24" w:space="0" w:color="726056" w:themeColor="accent2"/>
        <w:left w:val="single" w:sz="4" w:space="0" w:color="AD0101" w:themeColor="accent1"/>
        <w:bottom w:val="single" w:sz="4" w:space="0" w:color="AD0101" w:themeColor="accent1"/>
        <w:right w:val="single" w:sz="4" w:space="0" w:color="AD0101"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DEDE" w:themeFill="accent1"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0000" w:themeFill="accent1" w:themeFillShade="99"/>
      </w:tcPr>
    </w:tblStylePr>
    <w:tblStylePr w:type="firstCol">
      <w:rPr>
        <w:color w:val="FFFFFF" w:themeColor="background1"/>
      </w:rPr>
      <w:tblPr/>
      <w:tcPr>
        <w:tcBorders>
          <w:top w:val="nil"/>
          <w:left w:val="nil"/>
          <w:bottom w:val="nil"/>
          <w:right w:val="nil"/>
          <w:insideH w:val="single" w:sz="4" w:space="0" w:color="670000" w:themeColor="accent1" w:themeShade="99"/>
          <w:insideV w:val="nil"/>
        </w:tcBorders>
        <w:shd w:val="clear" w:color="auto" w:fill="67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70000" w:themeFill="accent1" w:themeFillShade="99"/>
      </w:tcPr>
    </w:tblStylePr>
    <w:tblStylePr w:type="band1Vert">
      <w:tblPr/>
      <w:tcPr>
        <w:shd w:val="clear" w:color="auto" w:fill="FE7979" w:themeFill="accent1" w:themeFillTint="66"/>
      </w:tcPr>
    </w:tblStylePr>
    <w:tblStylePr w:type="band1Horz">
      <w:tblPr/>
      <w:tcPr>
        <w:shd w:val="clear" w:color="auto" w:fill="FE5858" w:themeFill="accent1" w:themeFillTint="7F"/>
      </w:tcPr>
    </w:tblStylePr>
    <w:tblStylePr w:type="neCell">
      <w:rPr>
        <w:color w:val="000000" w:themeColor="text1"/>
      </w:rPr>
    </w:tblStylePr>
    <w:tblStylePr w:type="nwCell">
      <w:rPr>
        <w:color w:val="000000" w:themeColor="text1"/>
      </w:rPr>
    </w:tblStylePr>
  </w:style>
  <w:style w:type="table" w:customStyle="1" w:styleId="2d">
    <w:name w:val="Цветная заливка — акцент 2"/>
    <w:basedOn w:val="a4"/>
    <w:uiPriority w:val="71"/>
    <w:pPr>
      <w:spacing w:after="0" w:line="240" w:lineRule="auto"/>
    </w:pPr>
    <w:rPr>
      <w:color w:val="000000" w:themeColor="text1"/>
    </w:rPr>
    <w:tblPr>
      <w:tblStyleRowBandSize w:val="1"/>
      <w:tblStyleColBandSize w:val="1"/>
      <w:tblInd w:w="0" w:type="dxa"/>
      <w:tblBorders>
        <w:top w:val="single" w:sz="24" w:space="0" w:color="726056" w:themeColor="accent2"/>
        <w:left w:val="single" w:sz="4" w:space="0" w:color="726056" w:themeColor="accent2"/>
        <w:bottom w:val="single" w:sz="4" w:space="0" w:color="726056" w:themeColor="accent2"/>
        <w:right w:val="single" w:sz="4" w:space="0" w:color="72605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EFED" w:themeFill="accent2"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3933" w:themeFill="accent2" w:themeFillShade="99"/>
      </w:tcPr>
    </w:tblStylePr>
    <w:tblStylePr w:type="firstCol">
      <w:rPr>
        <w:color w:val="FFFFFF" w:themeColor="background1"/>
      </w:rPr>
      <w:tblPr/>
      <w:tcPr>
        <w:tcBorders>
          <w:top w:val="nil"/>
          <w:left w:val="nil"/>
          <w:bottom w:val="nil"/>
          <w:right w:val="nil"/>
          <w:insideH w:val="single" w:sz="4" w:space="0" w:color="443933" w:themeColor="accent2" w:themeShade="99"/>
          <w:insideV w:val="nil"/>
        </w:tcBorders>
        <w:shd w:val="clear" w:color="auto" w:fill="4439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43933" w:themeFill="accent2" w:themeFillShade="99"/>
      </w:tcPr>
    </w:tblStylePr>
    <w:tblStylePr w:type="band1Vert">
      <w:tblPr/>
      <w:tcPr>
        <w:shd w:val="clear" w:color="auto" w:fill="C9BEB8" w:themeFill="accent2" w:themeFillTint="66"/>
      </w:tcPr>
    </w:tblStylePr>
    <w:tblStylePr w:type="band1Horz">
      <w:tblPr/>
      <w:tcPr>
        <w:shd w:val="clear" w:color="auto" w:fill="BCAEA6" w:themeFill="accent2" w:themeFillTint="7F"/>
      </w:tcPr>
    </w:tblStylePr>
    <w:tblStylePr w:type="neCell">
      <w:rPr>
        <w:color w:val="000000" w:themeColor="text1"/>
      </w:rPr>
    </w:tblStylePr>
    <w:tblStylePr w:type="nwCell">
      <w:rPr>
        <w:color w:val="000000" w:themeColor="text1"/>
      </w:rPr>
    </w:tblStylePr>
  </w:style>
  <w:style w:type="table" w:customStyle="1" w:styleId="3b">
    <w:name w:val="Цветная заливка — акцент 3"/>
    <w:basedOn w:val="a4"/>
    <w:uiPriority w:val="71"/>
    <w:pPr>
      <w:spacing w:after="0" w:line="240" w:lineRule="auto"/>
    </w:pPr>
    <w:rPr>
      <w:color w:val="000000" w:themeColor="text1"/>
    </w:rPr>
    <w:tblPr>
      <w:tblStyleRowBandSize w:val="1"/>
      <w:tblStyleColBandSize w:val="1"/>
      <w:tblInd w:w="0" w:type="dxa"/>
      <w:tblBorders>
        <w:top w:val="single" w:sz="24" w:space="0" w:color="808DA9" w:themeColor="accent4"/>
        <w:left w:val="single" w:sz="4" w:space="0" w:color="AC956E" w:themeColor="accent3"/>
        <w:bottom w:val="single" w:sz="4" w:space="0" w:color="AC956E" w:themeColor="accent3"/>
        <w:right w:val="single" w:sz="4" w:space="0" w:color="AC956E"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4F0" w:themeFill="accent3" w:themeFillTint="19"/>
    </w:tcPr>
    <w:tblStylePr w:type="firstRow">
      <w:rPr>
        <w:b/>
        <w:bCs/>
      </w:rPr>
      <w:tblPr/>
      <w:tcPr>
        <w:tcBorders>
          <w:top w:val="nil"/>
          <w:left w:val="nil"/>
          <w:bottom w:val="single" w:sz="24" w:space="0" w:color="808D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5A3D" w:themeFill="accent3" w:themeFillShade="99"/>
      </w:tcPr>
    </w:tblStylePr>
    <w:tblStylePr w:type="firstCol">
      <w:rPr>
        <w:color w:val="FFFFFF" w:themeColor="background1"/>
      </w:rPr>
      <w:tblPr/>
      <w:tcPr>
        <w:tcBorders>
          <w:top w:val="nil"/>
          <w:left w:val="nil"/>
          <w:bottom w:val="nil"/>
          <w:right w:val="nil"/>
          <w:insideH w:val="single" w:sz="4" w:space="0" w:color="6B5A3D" w:themeColor="accent3" w:themeShade="99"/>
          <w:insideV w:val="nil"/>
        </w:tcBorders>
        <w:shd w:val="clear" w:color="auto" w:fill="6B5A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B5A3D" w:themeFill="accent3" w:themeFillShade="99"/>
      </w:tcPr>
    </w:tblStylePr>
    <w:tblStylePr w:type="band1Vert">
      <w:tblPr/>
      <w:tcPr>
        <w:shd w:val="clear" w:color="auto" w:fill="DDD4C4" w:themeFill="accent3" w:themeFillTint="66"/>
      </w:tcPr>
    </w:tblStylePr>
    <w:tblStylePr w:type="band1Horz">
      <w:tblPr/>
      <w:tcPr>
        <w:shd w:val="clear" w:color="auto" w:fill="D5CAB6" w:themeFill="accent3" w:themeFillTint="7F"/>
      </w:tcPr>
    </w:tblStylePr>
  </w:style>
  <w:style w:type="table" w:customStyle="1" w:styleId="45">
    <w:name w:val="Цветная заливка — акцент 4"/>
    <w:basedOn w:val="a4"/>
    <w:uiPriority w:val="71"/>
    <w:pPr>
      <w:spacing w:after="0" w:line="240" w:lineRule="auto"/>
    </w:pPr>
    <w:rPr>
      <w:color w:val="000000" w:themeColor="text1"/>
    </w:rPr>
    <w:tblPr>
      <w:tblStyleRowBandSize w:val="1"/>
      <w:tblStyleColBandSize w:val="1"/>
      <w:tblInd w:w="0" w:type="dxa"/>
      <w:tblBorders>
        <w:top w:val="single" w:sz="24" w:space="0" w:color="AC956E" w:themeColor="accent3"/>
        <w:left w:val="single" w:sz="4" w:space="0" w:color="808DA9" w:themeColor="accent4"/>
        <w:bottom w:val="single" w:sz="4" w:space="0" w:color="808DA9" w:themeColor="accent4"/>
        <w:right w:val="single" w:sz="4" w:space="0" w:color="808DA9"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3F6" w:themeFill="accent4" w:themeFillTint="19"/>
    </w:tcPr>
    <w:tblStylePr w:type="firstRow">
      <w:rPr>
        <w:b/>
        <w:bCs/>
      </w:rPr>
      <w:tblPr/>
      <w:tcPr>
        <w:tcBorders>
          <w:top w:val="nil"/>
          <w:left w:val="nil"/>
          <w:bottom w:val="single" w:sz="24" w:space="0" w:color="AC95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26A" w:themeFill="accent4" w:themeFillShade="99"/>
      </w:tcPr>
    </w:tblStylePr>
    <w:tblStylePr w:type="firstCol">
      <w:rPr>
        <w:color w:val="FFFFFF" w:themeColor="background1"/>
      </w:rPr>
      <w:tblPr/>
      <w:tcPr>
        <w:tcBorders>
          <w:top w:val="nil"/>
          <w:left w:val="nil"/>
          <w:bottom w:val="nil"/>
          <w:right w:val="nil"/>
          <w:insideH w:val="single" w:sz="4" w:space="0" w:color="48526A" w:themeColor="accent4" w:themeShade="99"/>
          <w:insideV w:val="nil"/>
        </w:tcBorders>
        <w:shd w:val="clear" w:color="auto" w:fill="4852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26A" w:themeFill="accent4" w:themeFillShade="99"/>
      </w:tcPr>
    </w:tblStylePr>
    <w:tblStylePr w:type="band1Vert">
      <w:tblPr/>
      <w:tcPr>
        <w:shd w:val="clear" w:color="auto" w:fill="CCD1DC" w:themeFill="accent4" w:themeFillTint="66"/>
      </w:tcPr>
    </w:tblStylePr>
    <w:tblStylePr w:type="band1Horz">
      <w:tblPr/>
      <w:tcPr>
        <w:shd w:val="clear" w:color="auto" w:fill="BFC5D4" w:themeFill="accent4" w:themeFillTint="7F"/>
      </w:tcPr>
    </w:tblStylePr>
    <w:tblStylePr w:type="neCell">
      <w:rPr>
        <w:color w:val="000000" w:themeColor="text1"/>
      </w:rPr>
    </w:tblStylePr>
    <w:tblStylePr w:type="nwCell">
      <w:rPr>
        <w:color w:val="000000" w:themeColor="text1"/>
      </w:rPr>
    </w:tblStylePr>
  </w:style>
  <w:style w:type="table" w:customStyle="1" w:styleId="55">
    <w:name w:val="Цветная заливка — акцент 5"/>
    <w:basedOn w:val="a4"/>
    <w:uiPriority w:val="71"/>
    <w:pPr>
      <w:spacing w:after="0" w:line="240" w:lineRule="auto"/>
    </w:pPr>
    <w:rPr>
      <w:color w:val="000000" w:themeColor="text1"/>
    </w:rPr>
    <w:tblPr>
      <w:tblStyleRowBandSize w:val="1"/>
      <w:tblStyleColBandSize w:val="1"/>
      <w:tblInd w:w="0" w:type="dxa"/>
      <w:tblBorders>
        <w:top w:val="single" w:sz="24" w:space="0" w:color="730E00" w:themeColor="accent6"/>
        <w:left w:val="single" w:sz="4" w:space="0" w:color="424E5B" w:themeColor="accent5"/>
        <w:bottom w:val="single" w:sz="4" w:space="0" w:color="424E5B" w:themeColor="accent5"/>
        <w:right w:val="single" w:sz="4" w:space="0" w:color="424E5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DF0" w:themeFill="accent5" w:themeFillTint="19"/>
    </w:tcPr>
    <w:tblStylePr w:type="firstRow">
      <w:rPr>
        <w:b/>
        <w:bCs/>
      </w:rPr>
      <w:tblPr/>
      <w:tcPr>
        <w:tcBorders>
          <w:top w:val="nil"/>
          <w:left w:val="nil"/>
          <w:bottom w:val="single" w:sz="24" w:space="0" w:color="730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2E36" w:themeFill="accent5" w:themeFillShade="99"/>
      </w:tcPr>
    </w:tblStylePr>
    <w:tblStylePr w:type="firstCol">
      <w:rPr>
        <w:color w:val="FFFFFF" w:themeColor="background1"/>
      </w:rPr>
      <w:tblPr/>
      <w:tcPr>
        <w:tcBorders>
          <w:top w:val="nil"/>
          <w:left w:val="nil"/>
          <w:bottom w:val="nil"/>
          <w:right w:val="nil"/>
          <w:insideH w:val="single" w:sz="4" w:space="0" w:color="272E36" w:themeColor="accent5" w:themeShade="99"/>
          <w:insideV w:val="nil"/>
        </w:tcBorders>
        <w:shd w:val="clear" w:color="auto" w:fill="272E3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2E36" w:themeFill="accent5" w:themeFillShade="99"/>
      </w:tcPr>
    </w:tblStylePr>
    <w:tblStylePr w:type="band1Vert">
      <w:tblPr/>
      <w:tcPr>
        <w:shd w:val="clear" w:color="auto" w:fill="ADB7C3" w:themeFill="accent5" w:themeFillTint="66"/>
      </w:tcPr>
    </w:tblStylePr>
    <w:tblStylePr w:type="band1Horz">
      <w:tblPr/>
      <w:tcPr>
        <w:shd w:val="clear" w:color="auto" w:fill="99A6B5" w:themeFill="accent5" w:themeFillTint="7F"/>
      </w:tcPr>
    </w:tblStylePr>
    <w:tblStylePr w:type="neCell">
      <w:rPr>
        <w:color w:val="000000" w:themeColor="text1"/>
      </w:rPr>
    </w:tblStylePr>
    <w:tblStylePr w:type="nwCell">
      <w:rPr>
        <w:color w:val="000000" w:themeColor="text1"/>
      </w:rPr>
    </w:tblStylePr>
  </w:style>
  <w:style w:type="table" w:customStyle="1" w:styleId="63">
    <w:name w:val="Цветная заливка — акцент 6"/>
    <w:basedOn w:val="a4"/>
    <w:uiPriority w:val="71"/>
    <w:pPr>
      <w:spacing w:after="0" w:line="240" w:lineRule="auto"/>
    </w:pPr>
    <w:rPr>
      <w:color w:val="000000" w:themeColor="text1"/>
    </w:rPr>
    <w:tblPr>
      <w:tblStyleRowBandSize w:val="1"/>
      <w:tblStyleColBandSize w:val="1"/>
      <w:tblInd w:w="0" w:type="dxa"/>
      <w:tblBorders>
        <w:top w:val="single" w:sz="24" w:space="0" w:color="424E5B" w:themeColor="accent5"/>
        <w:left w:val="single" w:sz="4" w:space="0" w:color="730E00" w:themeColor="accent6"/>
        <w:bottom w:val="single" w:sz="4" w:space="0" w:color="730E00" w:themeColor="accent6"/>
        <w:right w:val="single" w:sz="4" w:space="0" w:color="730E0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CD8" w:themeFill="accent6" w:themeFillTint="19"/>
    </w:tcPr>
    <w:tblStylePr w:type="firstRow">
      <w:rPr>
        <w:b/>
        <w:bCs/>
      </w:rPr>
      <w:tblPr/>
      <w:tcPr>
        <w:tcBorders>
          <w:top w:val="nil"/>
          <w:left w:val="nil"/>
          <w:bottom w:val="single" w:sz="24" w:space="0" w:color="424E5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0800" w:themeFill="accent6" w:themeFillShade="99"/>
      </w:tcPr>
    </w:tblStylePr>
    <w:tblStylePr w:type="firstCol">
      <w:rPr>
        <w:color w:val="FFFFFF" w:themeColor="background1"/>
      </w:rPr>
      <w:tblPr/>
      <w:tcPr>
        <w:tcBorders>
          <w:top w:val="nil"/>
          <w:left w:val="nil"/>
          <w:bottom w:val="nil"/>
          <w:right w:val="nil"/>
          <w:insideH w:val="single" w:sz="4" w:space="0" w:color="450800" w:themeColor="accent6" w:themeShade="99"/>
          <w:insideV w:val="nil"/>
        </w:tcBorders>
        <w:shd w:val="clear" w:color="auto" w:fill="4508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50800" w:themeFill="accent6" w:themeFillShade="99"/>
      </w:tcPr>
    </w:tblStylePr>
    <w:tblStylePr w:type="band1Vert">
      <w:tblPr/>
      <w:tcPr>
        <w:shd w:val="clear" w:color="auto" w:fill="FF7461" w:themeFill="accent6" w:themeFillTint="66"/>
      </w:tcPr>
    </w:tblStylePr>
    <w:tblStylePr w:type="band1Horz">
      <w:tblPr/>
      <w:tcPr>
        <w:shd w:val="clear" w:color="auto" w:fill="FF513A" w:themeFill="accent6" w:themeFillTint="7F"/>
      </w:tcPr>
    </w:tblStylePr>
    <w:tblStylePr w:type="neCell">
      <w:rPr>
        <w:color w:val="000000" w:themeColor="text1"/>
      </w:rPr>
    </w:tblStylePr>
    <w:tblStylePr w:type="nwCell">
      <w:rPr>
        <w:color w:val="000000" w:themeColor="text1"/>
      </w:rPr>
    </w:tblStylePr>
  </w:style>
  <w:style w:type="character" w:customStyle="1" w:styleId="aff1">
    <w:name w:val="ссылка на заметку"/>
    <w:basedOn w:val="a3"/>
    <w:uiPriority w:val="99"/>
    <w:semiHidden/>
    <w:unhideWhenUsed/>
    <w:rPr>
      <w:sz w:val="16"/>
    </w:rPr>
  </w:style>
  <w:style w:type="paragraph" w:customStyle="1" w:styleId="aff2">
    <w:name w:val="текст заметки"/>
    <w:basedOn w:val="a2"/>
    <w:link w:val="aff3"/>
    <w:uiPriority w:val="99"/>
    <w:semiHidden/>
    <w:unhideWhenUsed/>
    <w:pPr>
      <w:spacing w:line="240" w:lineRule="auto"/>
    </w:pPr>
  </w:style>
  <w:style w:type="character" w:customStyle="1" w:styleId="aff3">
    <w:name w:val="Текст примечания (знак)"/>
    <w:basedOn w:val="a3"/>
    <w:link w:val="aff2"/>
    <w:uiPriority w:val="99"/>
    <w:semiHidden/>
    <w:rPr>
      <w:sz w:val="20"/>
    </w:rPr>
  </w:style>
  <w:style w:type="paragraph" w:customStyle="1" w:styleId="aff4">
    <w:name w:val="тема заметки"/>
    <w:basedOn w:val="aff2"/>
    <w:next w:val="aff2"/>
    <w:link w:val="aff5"/>
    <w:uiPriority w:val="99"/>
    <w:semiHidden/>
    <w:unhideWhenUsed/>
    <w:rPr>
      <w:b/>
      <w:bCs/>
    </w:rPr>
  </w:style>
  <w:style w:type="character" w:customStyle="1" w:styleId="aff5">
    <w:name w:val="Тема примечания (знак)"/>
    <w:basedOn w:val="aff3"/>
    <w:link w:val="aff4"/>
    <w:uiPriority w:val="99"/>
    <w:semiHidden/>
    <w:rPr>
      <w:b/>
      <w:bCs/>
      <w:sz w:val="20"/>
    </w:rPr>
  </w:style>
  <w:style w:type="table" w:styleId="aff6">
    <w:name w:val="Dark List"/>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6">
    <w:name w:val="Темный список — акцент 1"/>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D010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1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10000" w:themeFill="accent1" w:themeFillShade="BF"/>
      </w:tcPr>
    </w:tblStylePr>
    <w:tblStylePr w:type="band1Vert">
      <w:tblPr/>
      <w:tcPr>
        <w:tcBorders>
          <w:top w:val="nil"/>
          <w:left w:val="nil"/>
          <w:bottom w:val="nil"/>
          <w:right w:val="nil"/>
          <w:insideH w:val="nil"/>
          <w:insideV w:val="nil"/>
        </w:tcBorders>
        <w:shd w:val="clear" w:color="auto" w:fill="810000" w:themeFill="accent1" w:themeFillShade="BF"/>
      </w:tcPr>
    </w:tblStylePr>
    <w:tblStylePr w:type="band1Horz">
      <w:tblPr/>
      <w:tcPr>
        <w:tcBorders>
          <w:top w:val="nil"/>
          <w:left w:val="nil"/>
          <w:bottom w:val="nil"/>
          <w:right w:val="nil"/>
          <w:insideH w:val="nil"/>
          <w:insideV w:val="nil"/>
        </w:tcBorders>
        <w:shd w:val="clear" w:color="auto" w:fill="810000" w:themeFill="accent1" w:themeFillShade="BF"/>
      </w:tcPr>
    </w:tblStylePr>
  </w:style>
  <w:style w:type="table" w:customStyle="1" w:styleId="2e">
    <w:name w:val="Темный список — акцент 2"/>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260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2F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547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54740" w:themeFill="accent2" w:themeFillShade="BF"/>
      </w:tcPr>
    </w:tblStylePr>
    <w:tblStylePr w:type="band1Vert">
      <w:tblPr/>
      <w:tcPr>
        <w:tcBorders>
          <w:top w:val="nil"/>
          <w:left w:val="nil"/>
          <w:bottom w:val="nil"/>
          <w:right w:val="nil"/>
          <w:insideH w:val="nil"/>
          <w:insideV w:val="nil"/>
        </w:tcBorders>
        <w:shd w:val="clear" w:color="auto" w:fill="554740" w:themeFill="accent2" w:themeFillShade="BF"/>
      </w:tcPr>
    </w:tblStylePr>
    <w:tblStylePr w:type="band1Horz">
      <w:tblPr/>
      <w:tcPr>
        <w:tcBorders>
          <w:top w:val="nil"/>
          <w:left w:val="nil"/>
          <w:bottom w:val="nil"/>
          <w:right w:val="nil"/>
          <w:insideH w:val="nil"/>
          <w:insideV w:val="nil"/>
        </w:tcBorders>
        <w:shd w:val="clear" w:color="auto" w:fill="554740" w:themeFill="accent2" w:themeFillShade="BF"/>
      </w:tcPr>
    </w:tblStylePr>
  </w:style>
  <w:style w:type="table" w:customStyle="1" w:styleId="3c">
    <w:name w:val="Темный список — акцент 3"/>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C95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4B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670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6704C" w:themeFill="accent3" w:themeFillShade="BF"/>
      </w:tcPr>
    </w:tblStylePr>
    <w:tblStylePr w:type="band1Vert">
      <w:tblPr/>
      <w:tcPr>
        <w:tcBorders>
          <w:top w:val="nil"/>
          <w:left w:val="nil"/>
          <w:bottom w:val="nil"/>
          <w:right w:val="nil"/>
          <w:insideH w:val="nil"/>
          <w:insideV w:val="nil"/>
        </w:tcBorders>
        <w:shd w:val="clear" w:color="auto" w:fill="86704C" w:themeFill="accent3" w:themeFillShade="BF"/>
      </w:tcPr>
    </w:tblStylePr>
    <w:tblStylePr w:type="band1Horz">
      <w:tblPr/>
      <w:tcPr>
        <w:tcBorders>
          <w:top w:val="nil"/>
          <w:left w:val="nil"/>
          <w:bottom w:val="nil"/>
          <w:right w:val="nil"/>
          <w:insideH w:val="nil"/>
          <w:insideV w:val="nil"/>
        </w:tcBorders>
        <w:shd w:val="clear" w:color="auto" w:fill="86704C" w:themeFill="accent3" w:themeFillShade="BF"/>
      </w:tcPr>
    </w:tblStylePr>
  </w:style>
  <w:style w:type="table" w:customStyle="1" w:styleId="46">
    <w:name w:val="Темный список — акцент 4"/>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D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4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7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784" w:themeFill="accent4" w:themeFillShade="BF"/>
      </w:tcPr>
    </w:tblStylePr>
    <w:tblStylePr w:type="band1Vert">
      <w:tblPr/>
      <w:tcPr>
        <w:tcBorders>
          <w:top w:val="nil"/>
          <w:left w:val="nil"/>
          <w:bottom w:val="nil"/>
          <w:right w:val="nil"/>
          <w:insideH w:val="nil"/>
          <w:insideV w:val="nil"/>
        </w:tcBorders>
        <w:shd w:val="clear" w:color="auto" w:fill="596784" w:themeFill="accent4" w:themeFillShade="BF"/>
      </w:tcPr>
    </w:tblStylePr>
    <w:tblStylePr w:type="band1Horz">
      <w:tblPr/>
      <w:tcPr>
        <w:tcBorders>
          <w:top w:val="nil"/>
          <w:left w:val="nil"/>
          <w:bottom w:val="nil"/>
          <w:right w:val="nil"/>
          <w:insideH w:val="nil"/>
          <w:insideV w:val="nil"/>
        </w:tcBorders>
        <w:shd w:val="clear" w:color="auto" w:fill="596784" w:themeFill="accent4" w:themeFillShade="BF"/>
      </w:tcPr>
    </w:tblStylePr>
  </w:style>
  <w:style w:type="table" w:customStyle="1" w:styleId="56">
    <w:name w:val="Темный список — акцент 5"/>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24E5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62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3A4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3A43" w:themeFill="accent5" w:themeFillShade="BF"/>
      </w:tcPr>
    </w:tblStylePr>
    <w:tblStylePr w:type="band1Vert">
      <w:tblPr/>
      <w:tcPr>
        <w:tcBorders>
          <w:top w:val="nil"/>
          <w:left w:val="nil"/>
          <w:bottom w:val="nil"/>
          <w:right w:val="nil"/>
          <w:insideH w:val="nil"/>
          <w:insideV w:val="nil"/>
        </w:tcBorders>
        <w:shd w:val="clear" w:color="auto" w:fill="313A43" w:themeFill="accent5" w:themeFillShade="BF"/>
      </w:tcPr>
    </w:tblStylePr>
    <w:tblStylePr w:type="band1Horz">
      <w:tblPr/>
      <w:tcPr>
        <w:tcBorders>
          <w:top w:val="nil"/>
          <w:left w:val="nil"/>
          <w:bottom w:val="nil"/>
          <w:right w:val="nil"/>
          <w:insideH w:val="nil"/>
          <w:insideV w:val="nil"/>
        </w:tcBorders>
        <w:shd w:val="clear" w:color="auto" w:fill="313A43" w:themeFill="accent5" w:themeFillShade="BF"/>
      </w:tcPr>
    </w:tblStylePr>
  </w:style>
  <w:style w:type="table" w:customStyle="1" w:styleId="64">
    <w:name w:val="Темный список — акцент 6"/>
    <w:basedOn w:val="a4"/>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0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60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60A00" w:themeFill="accent6" w:themeFillShade="BF"/>
      </w:tcPr>
    </w:tblStylePr>
    <w:tblStylePr w:type="band1Vert">
      <w:tblPr/>
      <w:tcPr>
        <w:tcBorders>
          <w:top w:val="nil"/>
          <w:left w:val="nil"/>
          <w:bottom w:val="nil"/>
          <w:right w:val="nil"/>
          <w:insideH w:val="nil"/>
          <w:insideV w:val="nil"/>
        </w:tcBorders>
        <w:shd w:val="clear" w:color="auto" w:fill="560A00" w:themeFill="accent6" w:themeFillShade="BF"/>
      </w:tcPr>
    </w:tblStylePr>
    <w:tblStylePr w:type="band1Horz">
      <w:tblPr/>
      <w:tcPr>
        <w:tcBorders>
          <w:top w:val="nil"/>
          <w:left w:val="nil"/>
          <w:bottom w:val="nil"/>
          <w:right w:val="nil"/>
          <w:insideH w:val="nil"/>
          <w:insideV w:val="nil"/>
        </w:tcBorders>
        <w:shd w:val="clear" w:color="auto" w:fill="560A00" w:themeFill="accent6" w:themeFillShade="BF"/>
      </w:tcPr>
    </w:tblStylePr>
  </w:style>
  <w:style w:type="paragraph" w:styleId="aff7">
    <w:name w:val="Date"/>
    <w:basedOn w:val="a2"/>
    <w:next w:val="a2"/>
    <w:link w:val="aff8"/>
    <w:uiPriority w:val="99"/>
    <w:semiHidden/>
    <w:unhideWhenUsed/>
  </w:style>
  <w:style w:type="character" w:customStyle="1" w:styleId="aff8">
    <w:name w:val="Дата Знак"/>
    <w:basedOn w:val="a3"/>
    <w:link w:val="aff7"/>
    <w:uiPriority w:val="99"/>
    <w:semiHidden/>
  </w:style>
  <w:style w:type="paragraph" w:styleId="aff9">
    <w:name w:val="Document Map"/>
    <w:basedOn w:val="a2"/>
    <w:link w:val="affa"/>
    <w:uiPriority w:val="99"/>
    <w:semiHidden/>
    <w:unhideWhenUsed/>
    <w:pPr>
      <w:spacing w:after="0" w:line="240" w:lineRule="auto"/>
    </w:pPr>
    <w:rPr>
      <w:rFonts w:ascii="Tahoma" w:hAnsi="Tahoma" w:cs="Tahoma"/>
      <w:sz w:val="16"/>
    </w:rPr>
  </w:style>
  <w:style w:type="character" w:customStyle="1" w:styleId="affa">
    <w:name w:val="Схема документа Знак"/>
    <w:basedOn w:val="a3"/>
    <w:link w:val="aff9"/>
    <w:uiPriority w:val="99"/>
    <w:semiHidden/>
    <w:rPr>
      <w:rFonts w:ascii="Tahoma" w:hAnsi="Tahoma" w:cs="Tahoma"/>
      <w:sz w:val="16"/>
    </w:rPr>
  </w:style>
  <w:style w:type="paragraph" w:styleId="affb">
    <w:name w:val="Signature"/>
    <w:basedOn w:val="a2"/>
    <w:link w:val="affc"/>
    <w:uiPriority w:val="9"/>
    <w:unhideWhenUsed/>
    <w:qFormat/>
    <w:pPr>
      <w:spacing w:before="720" w:after="0" w:line="312" w:lineRule="auto"/>
      <w:contextualSpacing/>
    </w:pPr>
  </w:style>
  <w:style w:type="character" w:customStyle="1" w:styleId="affd">
    <w:name w:val="Подпись (знак)"/>
    <w:basedOn w:val="a3"/>
    <w:uiPriority w:val="99"/>
    <w:semiHidden/>
  </w:style>
  <w:style w:type="character" w:styleId="affe">
    <w:name w:val="Emphasis"/>
    <w:basedOn w:val="a3"/>
    <w:uiPriority w:val="20"/>
    <w:semiHidden/>
    <w:unhideWhenUsed/>
    <w:rPr>
      <w:i/>
      <w:iCs/>
    </w:rPr>
  </w:style>
  <w:style w:type="character" w:customStyle="1" w:styleId="afff">
    <w:name w:val="знак концевой сноски"/>
    <w:basedOn w:val="a3"/>
    <w:uiPriority w:val="99"/>
    <w:semiHidden/>
    <w:unhideWhenUsed/>
    <w:rPr>
      <w:vertAlign w:val="superscript"/>
    </w:rPr>
  </w:style>
  <w:style w:type="paragraph" w:customStyle="1" w:styleId="afff0">
    <w:name w:val="текст концевой сноски"/>
    <w:basedOn w:val="a2"/>
    <w:link w:val="afff1"/>
    <w:uiPriority w:val="99"/>
    <w:semiHidden/>
    <w:unhideWhenUsed/>
    <w:pPr>
      <w:spacing w:after="0" w:line="240" w:lineRule="auto"/>
    </w:pPr>
  </w:style>
  <w:style w:type="character" w:customStyle="1" w:styleId="afff1">
    <w:name w:val="Текст концевой сноски (знак)"/>
    <w:basedOn w:val="a3"/>
    <w:link w:val="afff0"/>
    <w:uiPriority w:val="99"/>
    <w:semiHidden/>
    <w:rPr>
      <w:sz w:val="20"/>
    </w:rPr>
  </w:style>
  <w:style w:type="paragraph" w:customStyle="1" w:styleId="afff2">
    <w:name w:val="адрес на конверте"/>
    <w:basedOn w:val="a2"/>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afff3">
    <w:name w:val="обратный адрес на конверте"/>
    <w:basedOn w:val="a2"/>
    <w:uiPriority w:val="99"/>
    <w:semiHidden/>
    <w:unhideWhenUsed/>
    <w:pPr>
      <w:spacing w:after="0" w:line="240" w:lineRule="auto"/>
    </w:pPr>
    <w:rPr>
      <w:rFonts w:asciiTheme="majorHAnsi" w:eastAsiaTheme="majorEastAsia" w:hAnsiTheme="majorHAnsi" w:cstheme="majorBidi"/>
    </w:rPr>
  </w:style>
  <w:style w:type="character" w:styleId="afff4">
    <w:name w:val="FollowedHyperlink"/>
    <w:basedOn w:val="a3"/>
    <w:uiPriority w:val="99"/>
    <w:semiHidden/>
    <w:unhideWhenUsed/>
    <w:rPr>
      <w:color w:val="D89243" w:themeColor="followedHyperlink"/>
      <w:u w:val="single"/>
    </w:rPr>
  </w:style>
  <w:style w:type="character" w:customStyle="1" w:styleId="afff5">
    <w:name w:val="знак сноски"/>
    <w:basedOn w:val="a3"/>
    <w:uiPriority w:val="99"/>
    <w:semiHidden/>
    <w:unhideWhenUsed/>
    <w:rPr>
      <w:vertAlign w:val="superscript"/>
    </w:rPr>
  </w:style>
  <w:style w:type="paragraph" w:customStyle="1" w:styleId="afff6">
    <w:name w:val="текст сноски"/>
    <w:basedOn w:val="a2"/>
    <w:link w:val="afff7"/>
    <w:uiPriority w:val="99"/>
    <w:semiHidden/>
    <w:unhideWhenUsed/>
    <w:pPr>
      <w:spacing w:after="0" w:line="240" w:lineRule="auto"/>
    </w:pPr>
  </w:style>
  <w:style w:type="character" w:customStyle="1" w:styleId="afff7">
    <w:name w:val="Текст сноски (знак)"/>
    <w:basedOn w:val="a3"/>
    <w:link w:val="afff6"/>
    <w:uiPriority w:val="99"/>
    <w:semiHidden/>
    <w:rPr>
      <w:sz w:val="20"/>
    </w:rPr>
  </w:style>
  <w:style w:type="character" w:customStyle="1" w:styleId="34">
    <w:name w:val="Заголовок 3 (знак)"/>
    <w:basedOn w:val="a3"/>
    <w:link w:val="33"/>
    <w:uiPriority w:val="1"/>
    <w:rPr>
      <w:rFonts w:asciiTheme="majorHAnsi" w:eastAsiaTheme="majorEastAsia" w:hAnsiTheme="majorHAnsi" w:cstheme="majorBidi"/>
      <w:b/>
      <w:bCs/>
      <w:color w:val="AD0101" w:themeColor="accent1"/>
      <w:kern w:val="20"/>
      <w14:ligatures w14:val="standardContextual"/>
    </w:rPr>
  </w:style>
  <w:style w:type="character" w:customStyle="1" w:styleId="42">
    <w:name w:val="Заголовок 4 (знак)"/>
    <w:basedOn w:val="a3"/>
    <w:link w:val="41"/>
    <w:uiPriority w:val="18"/>
    <w:semiHidden/>
    <w:rPr>
      <w:rFonts w:asciiTheme="majorHAnsi" w:eastAsiaTheme="majorEastAsia" w:hAnsiTheme="majorHAnsi" w:cstheme="majorBidi"/>
      <w:b/>
      <w:bCs/>
      <w:i/>
      <w:iCs/>
      <w:color w:val="AD0101" w:themeColor="accent1"/>
      <w:kern w:val="20"/>
    </w:rPr>
  </w:style>
  <w:style w:type="character" w:customStyle="1" w:styleId="52">
    <w:name w:val="Заголовок 5 (знак)"/>
    <w:basedOn w:val="a3"/>
    <w:link w:val="51"/>
    <w:uiPriority w:val="18"/>
    <w:semiHidden/>
    <w:rPr>
      <w:rFonts w:asciiTheme="majorHAnsi" w:eastAsiaTheme="majorEastAsia" w:hAnsiTheme="majorHAnsi" w:cstheme="majorBidi"/>
      <w:color w:val="550000" w:themeColor="accent1" w:themeShade="7F"/>
      <w:kern w:val="20"/>
    </w:rPr>
  </w:style>
  <w:style w:type="character" w:customStyle="1" w:styleId="60">
    <w:name w:val="Заголовок 6 (знак)"/>
    <w:basedOn w:val="a3"/>
    <w:link w:val="6"/>
    <w:uiPriority w:val="18"/>
    <w:semiHidden/>
    <w:rPr>
      <w:rFonts w:asciiTheme="majorHAnsi" w:eastAsiaTheme="majorEastAsia" w:hAnsiTheme="majorHAnsi" w:cstheme="majorBidi"/>
      <w:i/>
      <w:iCs/>
      <w:color w:val="550000" w:themeColor="accent1" w:themeShade="7F"/>
      <w:kern w:val="20"/>
    </w:rPr>
  </w:style>
  <w:style w:type="character" w:customStyle="1" w:styleId="70">
    <w:name w:val="Заголовок 7 (знак)"/>
    <w:basedOn w:val="a3"/>
    <w:link w:val="7"/>
    <w:uiPriority w:val="18"/>
    <w:semiHidden/>
    <w:rPr>
      <w:rFonts w:asciiTheme="majorHAnsi" w:eastAsiaTheme="majorEastAsia" w:hAnsiTheme="majorHAnsi" w:cstheme="majorBidi"/>
      <w:i/>
      <w:iCs/>
      <w:color w:val="404040" w:themeColor="text1" w:themeTint="BF"/>
      <w:kern w:val="20"/>
    </w:rPr>
  </w:style>
  <w:style w:type="character" w:customStyle="1" w:styleId="80">
    <w:name w:val="Заголовок 8 (знак)"/>
    <w:basedOn w:val="a3"/>
    <w:link w:val="8"/>
    <w:uiPriority w:val="18"/>
    <w:semiHidden/>
    <w:rPr>
      <w:rFonts w:asciiTheme="majorHAnsi" w:eastAsiaTheme="majorEastAsia" w:hAnsiTheme="majorHAnsi" w:cstheme="majorBidi"/>
      <w:color w:val="404040" w:themeColor="text1" w:themeTint="BF"/>
      <w:kern w:val="20"/>
    </w:rPr>
  </w:style>
  <w:style w:type="character" w:customStyle="1" w:styleId="90">
    <w:name w:val="Заголовок 9 (знак)"/>
    <w:basedOn w:val="a3"/>
    <w:link w:val="9"/>
    <w:uiPriority w:val="18"/>
    <w:semiHidden/>
    <w:rPr>
      <w:rFonts w:asciiTheme="majorHAnsi" w:eastAsiaTheme="majorEastAsia" w:hAnsiTheme="majorHAnsi" w:cstheme="majorBidi"/>
      <w:i/>
      <w:iCs/>
      <w:color w:val="404040" w:themeColor="text1" w:themeTint="BF"/>
      <w:kern w:val="20"/>
    </w:r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line="240" w:lineRule="auto"/>
    </w:pPr>
    <w:rPr>
      <w:i/>
      <w:iCs/>
    </w:rPr>
  </w:style>
  <w:style w:type="character" w:customStyle="1" w:styleId="HTML1">
    <w:name w:val="Адрес HTML Знак"/>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rPr>
  </w:style>
  <w:style w:type="paragraph" w:styleId="HTML6">
    <w:name w:val="HTML Preformatted"/>
    <w:basedOn w:val="a2"/>
    <w:link w:val="HTML7"/>
    <w:uiPriority w:val="99"/>
    <w:semiHidden/>
    <w:unhideWhenUsed/>
    <w:pPr>
      <w:spacing w:after="0" w:line="240" w:lineRule="auto"/>
    </w:pPr>
    <w:rPr>
      <w:rFonts w:ascii="Consolas" w:hAnsi="Consolas" w:cs="Consolas"/>
    </w:rPr>
  </w:style>
  <w:style w:type="character" w:customStyle="1" w:styleId="HTML7">
    <w:name w:val="Стандартный HTML Знак"/>
    <w:basedOn w:val="a3"/>
    <w:link w:val="HTML6"/>
    <w:uiPriority w:val="99"/>
    <w:semiHidden/>
    <w:rPr>
      <w:rFonts w:ascii="Consolas" w:hAnsi="Consolas" w:cs="Consolas"/>
      <w:sz w:val="20"/>
    </w:rPr>
  </w:style>
  <w:style w:type="character" w:styleId="HTML8">
    <w:name w:val="HTML Sample"/>
    <w:basedOn w:val="a3"/>
    <w:uiPriority w:val="99"/>
    <w:semiHidden/>
    <w:unhideWhenUsed/>
    <w:rPr>
      <w:rFonts w:ascii="Consolas" w:hAnsi="Consolas" w:cs="Consolas"/>
      <w:sz w:val="24"/>
    </w:rPr>
  </w:style>
  <w:style w:type="character" w:styleId="HTML9">
    <w:name w:val="HTML Typewriter"/>
    <w:basedOn w:val="a3"/>
    <w:uiPriority w:val="99"/>
    <w:semiHidden/>
    <w:unhideWhenUsed/>
    <w:rPr>
      <w:rFonts w:ascii="Consolas" w:hAnsi="Consolas" w:cs="Consolas"/>
      <w:sz w:val="20"/>
    </w:rPr>
  </w:style>
  <w:style w:type="character" w:styleId="HTMLa">
    <w:name w:val="HTML Variable"/>
    <w:basedOn w:val="a3"/>
    <w:uiPriority w:val="99"/>
    <w:semiHidden/>
    <w:unhideWhenUsed/>
    <w:rPr>
      <w:i/>
      <w:iCs/>
    </w:rPr>
  </w:style>
  <w:style w:type="character" w:styleId="afff8">
    <w:name w:val="Hyperlink"/>
    <w:basedOn w:val="a3"/>
    <w:uiPriority w:val="99"/>
    <w:unhideWhenUsed/>
    <w:rPr>
      <w:color w:val="D26900" w:themeColor="hyperlink"/>
      <w:u w:val="single"/>
    </w:rPr>
  </w:style>
  <w:style w:type="paragraph" w:customStyle="1" w:styleId="17">
    <w:name w:val="индекс 1"/>
    <w:basedOn w:val="a2"/>
    <w:next w:val="a2"/>
    <w:autoRedefine/>
    <w:uiPriority w:val="99"/>
    <w:semiHidden/>
    <w:unhideWhenUsed/>
    <w:pPr>
      <w:spacing w:after="0" w:line="240" w:lineRule="auto"/>
      <w:ind w:left="220" w:hanging="220"/>
    </w:pPr>
  </w:style>
  <w:style w:type="paragraph" w:customStyle="1" w:styleId="2f">
    <w:name w:val="индекс 2"/>
    <w:basedOn w:val="a2"/>
    <w:next w:val="a2"/>
    <w:autoRedefine/>
    <w:uiPriority w:val="99"/>
    <w:semiHidden/>
    <w:unhideWhenUsed/>
    <w:pPr>
      <w:spacing w:after="0" w:line="240" w:lineRule="auto"/>
      <w:ind w:left="440" w:hanging="220"/>
    </w:pPr>
  </w:style>
  <w:style w:type="paragraph" w:customStyle="1" w:styleId="3d">
    <w:name w:val="индекс 3"/>
    <w:basedOn w:val="a2"/>
    <w:next w:val="a2"/>
    <w:autoRedefine/>
    <w:uiPriority w:val="99"/>
    <w:semiHidden/>
    <w:unhideWhenUsed/>
    <w:pPr>
      <w:spacing w:after="0" w:line="240" w:lineRule="auto"/>
      <w:ind w:left="660" w:hanging="220"/>
    </w:pPr>
  </w:style>
  <w:style w:type="paragraph" w:customStyle="1" w:styleId="47">
    <w:name w:val="индекс 4"/>
    <w:basedOn w:val="a2"/>
    <w:next w:val="a2"/>
    <w:autoRedefine/>
    <w:uiPriority w:val="99"/>
    <w:semiHidden/>
    <w:unhideWhenUsed/>
    <w:pPr>
      <w:spacing w:after="0" w:line="240" w:lineRule="auto"/>
      <w:ind w:left="880" w:hanging="220"/>
    </w:pPr>
  </w:style>
  <w:style w:type="paragraph" w:customStyle="1" w:styleId="57">
    <w:name w:val="индекс 5"/>
    <w:basedOn w:val="a2"/>
    <w:next w:val="a2"/>
    <w:autoRedefine/>
    <w:uiPriority w:val="99"/>
    <w:semiHidden/>
    <w:unhideWhenUsed/>
    <w:pPr>
      <w:spacing w:after="0" w:line="240" w:lineRule="auto"/>
      <w:ind w:left="1100" w:hanging="220"/>
    </w:pPr>
  </w:style>
  <w:style w:type="paragraph" w:customStyle="1" w:styleId="65">
    <w:name w:val="индекс 6"/>
    <w:basedOn w:val="a2"/>
    <w:next w:val="a2"/>
    <w:autoRedefine/>
    <w:uiPriority w:val="99"/>
    <w:semiHidden/>
    <w:unhideWhenUsed/>
    <w:pPr>
      <w:spacing w:after="0" w:line="240" w:lineRule="auto"/>
      <w:ind w:left="1320" w:hanging="220"/>
    </w:pPr>
  </w:style>
  <w:style w:type="paragraph" w:customStyle="1" w:styleId="71">
    <w:name w:val="индекс 7"/>
    <w:basedOn w:val="a2"/>
    <w:next w:val="a2"/>
    <w:autoRedefine/>
    <w:uiPriority w:val="99"/>
    <w:semiHidden/>
    <w:unhideWhenUsed/>
    <w:pPr>
      <w:spacing w:after="0" w:line="240" w:lineRule="auto"/>
      <w:ind w:left="1540" w:hanging="220"/>
    </w:pPr>
  </w:style>
  <w:style w:type="paragraph" w:customStyle="1" w:styleId="81">
    <w:name w:val="индекс 8"/>
    <w:basedOn w:val="a2"/>
    <w:next w:val="a2"/>
    <w:autoRedefine/>
    <w:uiPriority w:val="99"/>
    <w:semiHidden/>
    <w:unhideWhenUsed/>
    <w:pPr>
      <w:spacing w:after="0" w:line="240" w:lineRule="auto"/>
      <w:ind w:left="1760" w:hanging="220"/>
    </w:pPr>
  </w:style>
  <w:style w:type="paragraph" w:customStyle="1" w:styleId="91">
    <w:name w:val="индекс 9"/>
    <w:basedOn w:val="a2"/>
    <w:next w:val="a2"/>
    <w:autoRedefine/>
    <w:uiPriority w:val="99"/>
    <w:semiHidden/>
    <w:unhideWhenUsed/>
    <w:pPr>
      <w:spacing w:after="0" w:line="240" w:lineRule="auto"/>
      <w:ind w:left="1980" w:hanging="220"/>
    </w:pPr>
  </w:style>
  <w:style w:type="paragraph" w:customStyle="1" w:styleId="afff9">
    <w:name w:val="указатель"/>
    <w:basedOn w:val="a2"/>
    <w:next w:val="17"/>
    <w:uiPriority w:val="99"/>
    <w:semiHidden/>
    <w:unhideWhenUsed/>
    <w:rPr>
      <w:rFonts w:asciiTheme="majorHAnsi" w:eastAsiaTheme="majorEastAsia" w:hAnsiTheme="majorHAnsi" w:cstheme="majorBidi"/>
      <w:b/>
      <w:bCs/>
    </w:rPr>
  </w:style>
  <w:style w:type="character" w:styleId="afffa">
    <w:name w:val="Intense Emphasis"/>
    <w:basedOn w:val="a3"/>
    <w:uiPriority w:val="21"/>
    <w:semiHidden/>
    <w:unhideWhenUsed/>
    <w:rPr>
      <w:b/>
      <w:bCs/>
      <w:i/>
      <w:iCs/>
      <w:color w:val="AD0101" w:themeColor="accent1"/>
    </w:rPr>
  </w:style>
  <w:style w:type="paragraph" w:styleId="afffb">
    <w:name w:val="Intense Quote"/>
    <w:basedOn w:val="a2"/>
    <w:next w:val="a2"/>
    <w:link w:val="afffc"/>
    <w:uiPriority w:val="30"/>
    <w:semiHidden/>
    <w:unhideWhenUsed/>
    <w:pPr>
      <w:pBdr>
        <w:bottom w:val="single" w:sz="4" w:space="4" w:color="AD0101" w:themeColor="accent1"/>
      </w:pBdr>
      <w:spacing w:before="200" w:after="280"/>
      <w:ind w:left="936" w:right="936"/>
    </w:pPr>
    <w:rPr>
      <w:b/>
      <w:bCs/>
      <w:i/>
      <w:iCs/>
      <w:color w:val="AD0101" w:themeColor="accent1"/>
    </w:rPr>
  </w:style>
  <w:style w:type="character" w:customStyle="1" w:styleId="afffc">
    <w:name w:val="Выделенная цитата Знак"/>
    <w:basedOn w:val="a3"/>
    <w:link w:val="afffb"/>
    <w:uiPriority w:val="30"/>
    <w:semiHidden/>
    <w:rPr>
      <w:b/>
      <w:bCs/>
      <w:i/>
      <w:iCs/>
      <w:color w:val="AD0101" w:themeColor="accent1"/>
    </w:rPr>
  </w:style>
  <w:style w:type="character" w:styleId="afffd">
    <w:name w:val="Intense Reference"/>
    <w:basedOn w:val="a3"/>
    <w:uiPriority w:val="32"/>
    <w:semiHidden/>
    <w:unhideWhenUsed/>
    <w:rPr>
      <w:b/>
      <w:bCs/>
      <w:smallCaps/>
      <w:color w:val="726056" w:themeColor="accent2"/>
      <w:spacing w:val="5"/>
      <w:u w:val="single"/>
    </w:rPr>
  </w:style>
  <w:style w:type="table" w:styleId="afffe">
    <w:name w:val="Light Grid"/>
    <w:basedOn w:val="a4"/>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8">
    <w:name w:val="Светлая сетка — акцент 1"/>
    <w:basedOn w:val="a4"/>
    <w:uiPriority w:val="62"/>
    <w:pPr>
      <w:spacing w:after="0" w:line="240" w:lineRule="auto"/>
    </w:p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customStyle="1" w:styleId="2f0">
    <w:name w:val="Светлая сетка — акцент 2"/>
    <w:basedOn w:val="a4"/>
    <w:uiPriority w:val="62"/>
    <w:pPr>
      <w:spacing w:after="0" w:line="240" w:lineRule="auto"/>
    </w:p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18" w:space="0" w:color="726056" w:themeColor="accent2"/>
          <w:right w:val="single" w:sz="8" w:space="0" w:color="726056" w:themeColor="accent2"/>
          <w:insideH w:val="nil"/>
          <w:insideV w:val="single" w:sz="8" w:space="0" w:color="7260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insideH w:val="nil"/>
          <w:insideV w:val="single" w:sz="8" w:space="0" w:color="7260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shd w:val="clear" w:color="auto" w:fill="DED7D3" w:themeFill="accent2" w:themeFillTint="3F"/>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shd w:val="clear" w:color="auto" w:fill="DED7D3" w:themeFill="accent2" w:themeFillTint="3F"/>
      </w:tcPr>
    </w:tblStylePr>
    <w:tblStylePr w:type="band2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insideV w:val="single" w:sz="8" w:space="0" w:color="726056" w:themeColor="accent2"/>
        </w:tcBorders>
      </w:tcPr>
    </w:tblStylePr>
  </w:style>
  <w:style w:type="table" w:customStyle="1" w:styleId="3e">
    <w:name w:val="Светлая сетка — акцент 3"/>
    <w:basedOn w:val="a4"/>
    <w:uiPriority w:val="62"/>
    <w:pPr>
      <w:spacing w:after="0" w:line="240" w:lineRule="auto"/>
    </w:p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18" w:space="0" w:color="AC956E" w:themeColor="accent3"/>
          <w:right w:val="single" w:sz="8" w:space="0" w:color="AC956E" w:themeColor="accent3"/>
          <w:insideH w:val="nil"/>
          <w:insideV w:val="single" w:sz="8" w:space="0" w:color="AC95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insideH w:val="nil"/>
          <w:insideV w:val="single" w:sz="8" w:space="0" w:color="AC95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shd w:val="clear" w:color="auto" w:fill="EAE4DB" w:themeFill="accent3" w:themeFillTint="3F"/>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shd w:val="clear" w:color="auto" w:fill="EAE4DB" w:themeFill="accent3" w:themeFillTint="3F"/>
      </w:tcPr>
    </w:tblStylePr>
    <w:tblStylePr w:type="band2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insideV w:val="single" w:sz="8" w:space="0" w:color="AC956E" w:themeColor="accent3"/>
        </w:tcBorders>
      </w:tcPr>
    </w:tblStylePr>
  </w:style>
  <w:style w:type="table" w:customStyle="1" w:styleId="48">
    <w:name w:val="Светлая сетка — акцент 4"/>
    <w:basedOn w:val="a4"/>
    <w:uiPriority w:val="62"/>
    <w:pPr>
      <w:spacing w:after="0" w:line="240" w:lineRule="auto"/>
    </w:p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18" w:space="0" w:color="808DA9" w:themeColor="accent4"/>
          <w:right w:val="single" w:sz="8" w:space="0" w:color="808DA9" w:themeColor="accent4"/>
          <w:insideH w:val="nil"/>
          <w:insideV w:val="single" w:sz="8" w:space="0" w:color="808D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insideH w:val="nil"/>
          <w:insideV w:val="single" w:sz="8" w:space="0" w:color="808D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shd w:val="clear" w:color="auto" w:fill="DFE2E9" w:themeFill="accent4" w:themeFillTint="3F"/>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shd w:val="clear" w:color="auto" w:fill="DFE2E9" w:themeFill="accent4" w:themeFillTint="3F"/>
      </w:tcPr>
    </w:tblStylePr>
    <w:tblStylePr w:type="band2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insideV w:val="single" w:sz="8" w:space="0" w:color="808DA9" w:themeColor="accent4"/>
        </w:tcBorders>
      </w:tcPr>
    </w:tblStylePr>
  </w:style>
  <w:style w:type="table" w:customStyle="1" w:styleId="58">
    <w:name w:val="Светлая сетка — акцент 5"/>
    <w:basedOn w:val="a4"/>
    <w:uiPriority w:val="62"/>
    <w:pPr>
      <w:spacing w:after="0" w:line="240" w:lineRule="auto"/>
    </w:p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18" w:space="0" w:color="424E5B" w:themeColor="accent5"/>
          <w:right w:val="single" w:sz="8" w:space="0" w:color="424E5B" w:themeColor="accent5"/>
          <w:insideH w:val="nil"/>
          <w:insideV w:val="single" w:sz="8" w:space="0" w:color="424E5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insideH w:val="nil"/>
          <w:insideV w:val="single" w:sz="8" w:space="0" w:color="424E5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shd w:val="clear" w:color="auto" w:fill="CCD3DA" w:themeFill="accent5" w:themeFillTint="3F"/>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shd w:val="clear" w:color="auto" w:fill="CCD3DA" w:themeFill="accent5" w:themeFillTint="3F"/>
      </w:tcPr>
    </w:tblStylePr>
    <w:tblStylePr w:type="band2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insideV w:val="single" w:sz="8" w:space="0" w:color="424E5B" w:themeColor="accent5"/>
        </w:tcBorders>
      </w:tcPr>
    </w:tblStylePr>
  </w:style>
  <w:style w:type="table" w:customStyle="1" w:styleId="66">
    <w:name w:val="Светлая сетка — акцент 6"/>
    <w:basedOn w:val="a4"/>
    <w:uiPriority w:val="62"/>
    <w:pPr>
      <w:spacing w:after="0" w:line="240" w:lineRule="auto"/>
    </w:p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insideH w:val="single" w:sz="8" w:space="0" w:color="730E00" w:themeColor="accent6"/>
        <w:insideV w:val="single" w:sz="8" w:space="0" w:color="730E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18" w:space="0" w:color="730E00" w:themeColor="accent6"/>
          <w:right w:val="single" w:sz="8" w:space="0" w:color="730E00" w:themeColor="accent6"/>
          <w:insideH w:val="nil"/>
          <w:insideV w:val="single" w:sz="8" w:space="0" w:color="730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0E00" w:themeColor="accent6"/>
          <w:left w:val="single" w:sz="8" w:space="0" w:color="730E00" w:themeColor="accent6"/>
          <w:bottom w:val="single" w:sz="8" w:space="0" w:color="730E00" w:themeColor="accent6"/>
          <w:right w:val="single" w:sz="8" w:space="0" w:color="730E00" w:themeColor="accent6"/>
          <w:insideH w:val="nil"/>
          <w:insideV w:val="single" w:sz="8" w:space="0" w:color="730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tblStylePr w:type="band1Vert">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shd w:val="clear" w:color="auto" w:fill="FFA99D" w:themeFill="accent6" w:themeFillTint="3F"/>
      </w:tcPr>
    </w:tblStylePr>
    <w:tblStylePr w:type="band1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shd w:val="clear" w:color="auto" w:fill="FFA99D" w:themeFill="accent6" w:themeFillTint="3F"/>
      </w:tcPr>
    </w:tblStylePr>
    <w:tblStylePr w:type="band2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insideV w:val="single" w:sz="8" w:space="0" w:color="730E00" w:themeColor="accent6"/>
        </w:tcBorders>
      </w:tcPr>
    </w:tblStylePr>
  </w:style>
  <w:style w:type="table" w:styleId="affff">
    <w:name w:val="Light List"/>
    <w:basedOn w:val="a4"/>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9">
    <w:name w:val="Светлый список — акцент 1"/>
    <w:basedOn w:val="a4"/>
    <w:uiPriority w:val="61"/>
    <w:pPr>
      <w:spacing w:after="0" w:line="240" w:lineRule="auto"/>
    </w:p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table" w:customStyle="1" w:styleId="2f1">
    <w:name w:val="Светлый список — акцент 2"/>
    <w:basedOn w:val="a4"/>
    <w:uiPriority w:val="61"/>
    <w:pPr>
      <w:spacing w:after="0" w:line="240" w:lineRule="auto"/>
    </w:p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6056" w:themeFill="accent2"/>
      </w:tcPr>
    </w:tblStylePr>
    <w:tblStylePr w:type="lastRow">
      <w:pPr>
        <w:spacing w:before="0" w:after="0" w:line="240" w:lineRule="auto"/>
      </w:pPr>
      <w:rPr>
        <w:b/>
        <w:bCs/>
      </w:rPr>
      <w:tblPr/>
      <w:tcPr>
        <w:tcBorders>
          <w:top w:val="double" w:sz="6" w:space="0" w:color="726056" w:themeColor="accent2"/>
          <w:left w:val="single" w:sz="8" w:space="0" w:color="726056" w:themeColor="accent2"/>
          <w:bottom w:val="single" w:sz="8" w:space="0" w:color="726056" w:themeColor="accent2"/>
          <w:right w:val="single" w:sz="8" w:space="0" w:color="726056" w:themeColor="accent2"/>
        </w:tcBorders>
      </w:tcPr>
    </w:tblStylePr>
    <w:tblStylePr w:type="firstCol">
      <w:rPr>
        <w:b/>
        <w:bCs/>
      </w:rPr>
    </w:tblStylePr>
    <w:tblStylePr w:type="lastCol">
      <w:rPr>
        <w:b/>
        <w:bCs/>
      </w:rPr>
    </w:tblStylePr>
    <w:tblStylePr w:type="band1Vert">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tblStylePr w:type="band1Horz">
      <w:tblPr/>
      <w:tcPr>
        <w:tcBorders>
          <w:top w:val="single" w:sz="8" w:space="0" w:color="726056" w:themeColor="accent2"/>
          <w:left w:val="single" w:sz="8" w:space="0" w:color="726056" w:themeColor="accent2"/>
          <w:bottom w:val="single" w:sz="8" w:space="0" w:color="726056" w:themeColor="accent2"/>
          <w:right w:val="single" w:sz="8" w:space="0" w:color="726056" w:themeColor="accent2"/>
        </w:tcBorders>
      </w:tcPr>
    </w:tblStylePr>
  </w:style>
  <w:style w:type="table" w:customStyle="1" w:styleId="3f">
    <w:name w:val="Светлый список — акцент 3"/>
    <w:basedOn w:val="a4"/>
    <w:uiPriority w:val="61"/>
    <w:pPr>
      <w:spacing w:after="0" w:line="240" w:lineRule="auto"/>
    </w:p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956E" w:themeFill="accent3"/>
      </w:tcPr>
    </w:tblStylePr>
    <w:tblStylePr w:type="lastRow">
      <w:pPr>
        <w:spacing w:before="0" w:after="0" w:line="240" w:lineRule="auto"/>
      </w:pPr>
      <w:rPr>
        <w:b/>
        <w:bCs/>
      </w:rPr>
      <w:tblPr/>
      <w:tcPr>
        <w:tcBorders>
          <w:top w:val="double" w:sz="6" w:space="0" w:color="AC956E" w:themeColor="accent3"/>
          <w:left w:val="single" w:sz="8" w:space="0" w:color="AC956E" w:themeColor="accent3"/>
          <w:bottom w:val="single" w:sz="8" w:space="0" w:color="AC956E" w:themeColor="accent3"/>
          <w:right w:val="single" w:sz="8" w:space="0" w:color="AC956E" w:themeColor="accent3"/>
        </w:tcBorders>
      </w:tcPr>
    </w:tblStylePr>
    <w:tblStylePr w:type="firstCol">
      <w:rPr>
        <w:b/>
        <w:bCs/>
      </w:rPr>
    </w:tblStylePr>
    <w:tblStylePr w:type="lastCol">
      <w:rPr>
        <w:b/>
        <w:bCs/>
      </w:rPr>
    </w:tblStylePr>
    <w:tblStylePr w:type="band1Vert">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tblStylePr w:type="band1Horz">
      <w:tblPr/>
      <w:tcPr>
        <w:tcBorders>
          <w:top w:val="single" w:sz="8" w:space="0" w:color="AC956E" w:themeColor="accent3"/>
          <w:left w:val="single" w:sz="8" w:space="0" w:color="AC956E" w:themeColor="accent3"/>
          <w:bottom w:val="single" w:sz="8" w:space="0" w:color="AC956E" w:themeColor="accent3"/>
          <w:right w:val="single" w:sz="8" w:space="0" w:color="AC956E" w:themeColor="accent3"/>
        </w:tcBorders>
      </w:tcPr>
    </w:tblStylePr>
  </w:style>
  <w:style w:type="table" w:customStyle="1" w:styleId="49">
    <w:name w:val="Светлый список — акцент 4"/>
    <w:basedOn w:val="a4"/>
    <w:uiPriority w:val="61"/>
    <w:pPr>
      <w:spacing w:after="0" w:line="240" w:lineRule="auto"/>
    </w:p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DA9" w:themeFill="accent4"/>
      </w:tcPr>
    </w:tblStylePr>
    <w:tblStylePr w:type="lastRow">
      <w:pPr>
        <w:spacing w:before="0" w:after="0" w:line="240" w:lineRule="auto"/>
      </w:pPr>
      <w:rPr>
        <w:b/>
        <w:bCs/>
      </w:rPr>
      <w:tblPr/>
      <w:tcPr>
        <w:tcBorders>
          <w:top w:val="double" w:sz="6" w:space="0" w:color="808DA9" w:themeColor="accent4"/>
          <w:left w:val="single" w:sz="8" w:space="0" w:color="808DA9" w:themeColor="accent4"/>
          <w:bottom w:val="single" w:sz="8" w:space="0" w:color="808DA9" w:themeColor="accent4"/>
          <w:right w:val="single" w:sz="8" w:space="0" w:color="808DA9" w:themeColor="accent4"/>
        </w:tcBorders>
      </w:tcPr>
    </w:tblStylePr>
    <w:tblStylePr w:type="firstCol">
      <w:rPr>
        <w:b/>
        <w:bCs/>
      </w:rPr>
    </w:tblStylePr>
    <w:tblStylePr w:type="lastCol">
      <w:rPr>
        <w:b/>
        <w:bCs/>
      </w:rPr>
    </w:tblStylePr>
    <w:tblStylePr w:type="band1Vert">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tblStylePr w:type="band1Horz">
      <w:tblPr/>
      <w:tcPr>
        <w:tcBorders>
          <w:top w:val="single" w:sz="8" w:space="0" w:color="808DA9" w:themeColor="accent4"/>
          <w:left w:val="single" w:sz="8" w:space="0" w:color="808DA9" w:themeColor="accent4"/>
          <w:bottom w:val="single" w:sz="8" w:space="0" w:color="808DA9" w:themeColor="accent4"/>
          <w:right w:val="single" w:sz="8" w:space="0" w:color="808DA9" w:themeColor="accent4"/>
        </w:tcBorders>
      </w:tcPr>
    </w:tblStylePr>
  </w:style>
  <w:style w:type="table" w:customStyle="1" w:styleId="59">
    <w:name w:val="Светлый список — акцент 5"/>
    <w:basedOn w:val="a4"/>
    <w:uiPriority w:val="61"/>
    <w:pPr>
      <w:spacing w:after="0" w:line="240" w:lineRule="auto"/>
    </w:p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 w:type="table" w:customStyle="1" w:styleId="67">
    <w:name w:val="Светлый список — акцент 6"/>
    <w:basedOn w:val="a4"/>
    <w:uiPriority w:val="61"/>
    <w:pPr>
      <w:spacing w:after="0" w:line="240" w:lineRule="auto"/>
    </w:p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0E00" w:themeFill="accent6"/>
      </w:tcPr>
    </w:tblStylePr>
    <w:tblStylePr w:type="lastRow">
      <w:pPr>
        <w:spacing w:before="0" w:after="0" w:line="240" w:lineRule="auto"/>
      </w:pPr>
      <w:rPr>
        <w:b/>
        <w:bCs/>
      </w:rPr>
      <w:tblPr/>
      <w:tcPr>
        <w:tcBorders>
          <w:top w:val="double" w:sz="6" w:space="0" w:color="730E00" w:themeColor="accent6"/>
          <w:left w:val="single" w:sz="8" w:space="0" w:color="730E00" w:themeColor="accent6"/>
          <w:bottom w:val="single" w:sz="8" w:space="0" w:color="730E00" w:themeColor="accent6"/>
          <w:right w:val="single" w:sz="8" w:space="0" w:color="730E00" w:themeColor="accent6"/>
        </w:tcBorders>
      </w:tcPr>
    </w:tblStylePr>
    <w:tblStylePr w:type="firstCol">
      <w:rPr>
        <w:b/>
        <w:bCs/>
      </w:rPr>
    </w:tblStylePr>
    <w:tblStylePr w:type="lastCol">
      <w:rPr>
        <w:b/>
        <w:bCs/>
      </w:rPr>
    </w:tblStylePr>
    <w:tblStylePr w:type="band1Vert">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tblStylePr w:type="band1Horz">
      <w:tblPr/>
      <w:tcPr>
        <w:tcBorders>
          <w:top w:val="single" w:sz="8" w:space="0" w:color="730E00" w:themeColor="accent6"/>
          <w:left w:val="single" w:sz="8" w:space="0" w:color="730E00" w:themeColor="accent6"/>
          <w:bottom w:val="single" w:sz="8" w:space="0" w:color="730E00" w:themeColor="accent6"/>
          <w:right w:val="single" w:sz="8" w:space="0" w:color="730E00" w:themeColor="accent6"/>
        </w:tcBorders>
      </w:tcPr>
    </w:tblStylePr>
  </w:style>
  <w:style w:type="table" w:styleId="affff0">
    <w:name w:val="Light Shading"/>
    <w:basedOn w:val="a4"/>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a">
    <w:name w:val="Светлая заливка — акцент 1"/>
    <w:basedOn w:val="a4"/>
    <w:uiPriority w:val="60"/>
    <w:pPr>
      <w:spacing w:after="0" w:line="240" w:lineRule="auto"/>
    </w:pPr>
    <w:rPr>
      <w:color w:val="810000" w:themeColor="accent1" w:themeShade="BF"/>
    </w:rPr>
    <w:tblPr>
      <w:tblStyleRowBandSize w:val="1"/>
      <w:tblStyleColBandSize w:val="1"/>
      <w:tblInd w:w="0" w:type="dxa"/>
      <w:tblBorders>
        <w:top w:val="single" w:sz="8" w:space="0" w:color="AD0101" w:themeColor="accent1"/>
        <w:bottom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table" w:customStyle="1" w:styleId="2f2">
    <w:name w:val="Светлая заливка — акцент 2"/>
    <w:basedOn w:val="a4"/>
    <w:uiPriority w:val="60"/>
    <w:pPr>
      <w:spacing w:after="0" w:line="240" w:lineRule="auto"/>
    </w:pPr>
    <w:rPr>
      <w:color w:val="554740" w:themeColor="accent2" w:themeShade="BF"/>
    </w:rPr>
    <w:tblPr>
      <w:tblStyleRowBandSize w:val="1"/>
      <w:tblStyleColBandSize w:val="1"/>
      <w:tblInd w:w="0" w:type="dxa"/>
      <w:tblBorders>
        <w:top w:val="single" w:sz="8" w:space="0" w:color="726056" w:themeColor="accent2"/>
        <w:bottom w:val="single" w:sz="8" w:space="0" w:color="72605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la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left w:val="nil"/>
          <w:right w:val="nil"/>
          <w:insideH w:val="nil"/>
          <w:insideV w:val="nil"/>
        </w:tcBorders>
        <w:shd w:val="clear" w:color="auto" w:fill="DED7D3" w:themeFill="accent2" w:themeFillTint="3F"/>
      </w:tcPr>
    </w:tblStylePr>
  </w:style>
  <w:style w:type="table" w:customStyle="1" w:styleId="3f0">
    <w:name w:val="Светлая заливка — акцент 3"/>
    <w:basedOn w:val="a4"/>
    <w:uiPriority w:val="60"/>
    <w:pPr>
      <w:spacing w:after="0" w:line="240" w:lineRule="auto"/>
    </w:pPr>
    <w:rPr>
      <w:color w:val="86704C" w:themeColor="accent3" w:themeShade="BF"/>
    </w:rPr>
    <w:tblPr>
      <w:tblStyleRowBandSize w:val="1"/>
      <w:tblStyleColBandSize w:val="1"/>
      <w:tblInd w:w="0" w:type="dxa"/>
      <w:tblBorders>
        <w:top w:val="single" w:sz="8" w:space="0" w:color="AC956E" w:themeColor="accent3"/>
        <w:bottom w:val="single" w:sz="8" w:space="0" w:color="AC956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la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left w:val="nil"/>
          <w:right w:val="nil"/>
          <w:insideH w:val="nil"/>
          <w:insideV w:val="nil"/>
        </w:tcBorders>
        <w:shd w:val="clear" w:color="auto" w:fill="EAE4DB" w:themeFill="accent3" w:themeFillTint="3F"/>
      </w:tcPr>
    </w:tblStylePr>
  </w:style>
  <w:style w:type="table" w:customStyle="1" w:styleId="4a">
    <w:name w:val="Светлая заливка — акцент 4"/>
    <w:basedOn w:val="a4"/>
    <w:uiPriority w:val="60"/>
    <w:pPr>
      <w:spacing w:after="0" w:line="240" w:lineRule="auto"/>
    </w:pPr>
    <w:rPr>
      <w:color w:val="596784" w:themeColor="accent4" w:themeShade="BF"/>
    </w:rPr>
    <w:tblPr>
      <w:tblStyleRowBandSize w:val="1"/>
      <w:tblStyleColBandSize w:val="1"/>
      <w:tblInd w:w="0" w:type="dxa"/>
      <w:tblBorders>
        <w:top w:val="single" w:sz="8" w:space="0" w:color="808DA9" w:themeColor="accent4"/>
        <w:bottom w:val="single" w:sz="8" w:space="0" w:color="808DA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la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9" w:themeFill="accent4" w:themeFillTint="3F"/>
      </w:tcPr>
    </w:tblStylePr>
    <w:tblStylePr w:type="band1Horz">
      <w:tblPr/>
      <w:tcPr>
        <w:tcBorders>
          <w:left w:val="nil"/>
          <w:right w:val="nil"/>
          <w:insideH w:val="nil"/>
          <w:insideV w:val="nil"/>
        </w:tcBorders>
        <w:shd w:val="clear" w:color="auto" w:fill="DFE2E9" w:themeFill="accent4" w:themeFillTint="3F"/>
      </w:tcPr>
    </w:tblStylePr>
  </w:style>
  <w:style w:type="table" w:customStyle="1" w:styleId="5a">
    <w:name w:val="Светлая заливка — акцент 5"/>
    <w:basedOn w:val="a4"/>
    <w:uiPriority w:val="60"/>
    <w:pPr>
      <w:spacing w:after="0" w:line="240" w:lineRule="auto"/>
    </w:pPr>
    <w:rPr>
      <w:color w:val="313A43" w:themeColor="accent5" w:themeShade="BF"/>
    </w:rPr>
    <w:tblPr>
      <w:tblStyleRowBandSize w:val="1"/>
      <w:tblStyleColBandSize w:val="1"/>
      <w:tblInd w:w="0" w:type="dxa"/>
      <w:tblBorders>
        <w:top w:val="single" w:sz="8" w:space="0" w:color="424E5B" w:themeColor="accent5"/>
        <w:bottom w:val="single" w:sz="8" w:space="0" w:color="424E5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24E5B" w:themeColor="accent5"/>
          <w:left w:val="nil"/>
          <w:bottom w:val="single" w:sz="8" w:space="0" w:color="424E5B" w:themeColor="accent5"/>
          <w:right w:val="nil"/>
          <w:insideH w:val="nil"/>
          <w:insideV w:val="nil"/>
        </w:tcBorders>
      </w:tcPr>
    </w:tblStylePr>
    <w:tblStylePr w:type="lastRow">
      <w:pPr>
        <w:spacing w:before="0" w:after="0" w:line="240" w:lineRule="auto"/>
      </w:pPr>
      <w:rPr>
        <w:b/>
        <w:bCs/>
      </w:rPr>
      <w:tblPr/>
      <w:tcPr>
        <w:tcBorders>
          <w:top w:val="single" w:sz="8" w:space="0" w:color="424E5B" w:themeColor="accent5"/>
          <w:left w:val="nil"/>
          <w:bottom w:val="single" w:sz="8" w:space="0" w:color="424E5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3DA" w:themeFill="accent5" w:themeFillTint="3F"/>
      </w:tcPr>
    </w:tblStylePr>
    <w:tblStylePr w:type="band1Horz">
      <w:tblPr/>
      <w:tcPr>
        <w:tcBorders>
          <w:left w:val="nil"/>
          <w:right w:val="nil"/>
          <w:insideH w:val="nil"/>
          <w:insideV w:val="nil"/>
        </w:tcBorders>
        <w:shd w:val="clear" w:color="auto" w:fill="CCD3DA" w:themeFill="accent5" w:themeFillTint="3F"/>
      </w:tcPr>
    </w:tblStylePr>
  </w:style>
  <w:style w:type="table" w:customStyle="1" w:styleId="68">
    <w:name w:val="Светлая заливка — акцент 6"/>
    <w:basedOn w:val="a4"/>
    <w:uiPriority w:val="60"/>
    <w:pPr>
      <w:spacing w:after="0" w:line="240" w:lineRule="auto"/>
    </w:pPr>
    <w:rPr>
      <w:color w:val="560A00" w:themeColor="accent6" w:themeShade="BF"/>
    </w:rPr>
    <w:tblPr>
      <w:tblStyleRowBandSize w:val="1"/>
      <w:tblStyleColBandSize w:val="1"/>
      <w:tblInd w:w="0" w:type="dxa"/>
      <w:tblBorders>
        <w:top w:val="single" w:sz="8" w:space="0" w:color="730E00" w:themeColor="accent6"/>
        <w:bottom w:val="single" w:sz="8" w:space="0" w:color="730E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0E00" w:themeColor="accent6"/>
          <w:left w:val="nil"/>
          <w:bottom w:val="single" w:sz="8" w:space="0" w:color="730E00" w:themeColor="accent6"/>
          <w:right w:val="nil"/>
          <w:insideH w:val="nil"/>
          <w:insideV w:val="nil"/>
        </w:tcBorders>
      </w:tcPr>
    </w:tblStylePr>
    <w:tblStylePr w:type="lastRow">
      <w:pPr>
        <w:spacing w:before="0" w:after="0" w:line="240" w:lineRule="auto"/>
      </w:pPr>
      <w:rPr>
        <w:b/>
        <w:bCs/>
      </w:rPr>
      <w:tblPr/>
      <w:tcPr>
        <w:tcBorders>
          <w:top w:val="single" w:sz="8" w:space="0" w:color="730E00" w:themeColor="accent6"/>
          <w:left w:val="nil"/>
          <w:bottom w:val="single" w:sz="8" w:space="0" w:color="730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99D" w:themeFill="accent6" w:themeFillTint="3F"/>
      </w:tcPr>
    </w:tblStylePr>
    <w:tblStylePr w:type="band1Horz">
      <w:tblPr/>
      <w:tcPr>
        <w:tcBorders>
          <w:left w:val="nil"/>
          <w:right w:val="nil"/>
          <w:insideH w:val="nil"/>
          <w:insideV w:val="nil"/>
        </w:tcBorders>
        <w:shd w:val="clear" w:color="auto" w:fill="FFA99D" w:themeFill="accent6" w:themeFillTint="3F"/>
      </w:tcPr>
    </w:tblStylePr>
  </w:style>
  <w:style w:type="character" w:customStyle="1" w:styleId="affff1">
    <w:name w:val="номер строки"/>
    <w:basedOn w:val="a3"/>
    <w:uiPriority w:val="99"/>
    <w:semiHidden/>
    <w:unhideWhenUsed/>
  </w:style>
  <w:style w:type="paragraph" w:styleId="affff2">
    <w:name w:val="List"/>
    <w:basedOn w:val="a2"/>
    <w:uiPriority w:val="99"/>
    <w:semiHidden/>
    <w:unhideWhenUsed/>
    <w:pPr>
      <w:ind w:left="360" w:hanging="360"/>
      <w:contextualSpacing/>
    </w:pPr>
  </w:style>
  <w:style w:type="paragraph" w:styleId="2f3">
    <w:name w:val="List 2"/>
    <w:basedOn w:val="a2"/>
    <w:uiPriority w:val="99"/>
    <w:semiHidden/>
    <w:unhideWhenUsed/>
    <w:pPr>
      <w:ind w:left="720" w:hanging="360"/>
      <w:contextualSpacing/>
    </w:pPr>
  </w:style>
  <w:style w:type="paragraph" w:styleId="3f1">
    <w:name w:val="List 3"/>
    <w:basedOn w:val="a2"/>
    <w:uiPriority w:val="99"/>
    <w:semiHidden/>
    <w:unhideWhenUsed/>
    <w:pPr>
      <w:ind w:left="1080" w:hanging="360"/>
      <w:contextualSpacing/>
    </w:pPr>
  </w:style>
  <w:style w:type="paragraph" w:styleId="4b">
    <w:name w:val="List 4"/>
    <w:basedOn w:val="a2"/>
    <w:uiPriority w:val="99"/>
    <w:semiHidden/>
    <w:unhideWhenUsed/>
    <w:pPr>
      <w:ind w:left="1440" w:hanging="360"/>
      <w:contextualSpacing/>
    </w:pPr>
  </w:style>
  <w:style w:type="paragraph" w:styleId="5b">
    <w:name w:val="List 5"/>
    <w:basedOn w:val="a2"/>
    <w:uiPriority w:val="99"/>
    <w:semiHidden/>
    <w:unhideWhenUsed/>
    <w:pPr>
      <w:ind w:left="1800" w:hanging="360"/>
      <w:contextualSpacing/>
    </w:pPr>
  </w:style>
  <w:style w:type="paragraph" w:styleId="a">
    <w:name w:val="List Bullet"/>
    <w:basedOn w:val="a2"/>
    <w:uiPriority w:val="1"/>
    <w:unhideWhenUsed/>
    <w:qFormat/>
    <w:pPr>
      <w:numPr>
        <w:numId w:val="1"/>
      </w:numPr>
      <w:spacing w:after="40"/>
    </w:pPr>
  </w:style>
  <w:style w:type="paragraph" w:styleId="2">
    <w:name w:val="List Bullet 2"/>
    <w:basedOn w:val="a2"/>
    <w:uiPriority w:val="99"/>
    <w:semiHidden/>
    <w:unhideWhenUsed/>
    <w:pPr>
      <w:numPr>
        <w:numId w:val="2"/>
      </w:numPr>
      <w:contextualSpacing/>
    </w:pPr>
  </w:style>
  <w:style w:type="paragraph" w:styleId="3">
    <w:name w:val="List Bullet 3"/>
    <w:basedOn w:val="a2"/>
    <w:uiPriority w:val="99"/>
    <w:semiHidden/>
    <w:unhideWhenUsed/>
    <w:pPr>
      <w:numPr>
        <w:numId w:val="3"/>
      </w:numPr>
      <w:contextualSpacing/>
    </w:pPr>
  </w:style>
  <w:style w:type="paragraph" w:styleId="4">
    <w:name w:val="List Bullet 4"/>
    <w:basedOn w:val="a2"/>
    <w:uiPriority w:val="99"/>
    <w:semiHidden/>
    <w:unhideWhenUsed/>
    <w:pPr>
      <w:numPr>
        <w:numId w:val="4"/>
      </w:numPr>
      <w:contextualSpacing/>
    </w:pPr>
  </w:style>
  <w:style w:type="paragraph" w:styleId="5">
    <w:name w:val="List Bullet 5"/>
    <w:basedOn w:val="a2"/>
    <w:uiPriority w:val="99"/>
    <w:semiHidden/>
    <w:unhideWhenUsed/>
    <w:pPr>
      <w:numPr>
        <w:numId w:val="5"/>
      </w:numPr>
      <w:contextualSpacing/>
    </w:pPr>
  </w:style>
  <w:style w:type="paragraph" w:styleId="affff3">
    <w:name w:val="List Continue"/>
    <w:basedOn w:val="a2"/>
    <w:uiPriority w:val="99"/>
    <w:semiHidden/>
    <w:unhideWhenUsed/>
    <w:pPr>
      <w:spacing w:after="120"/>
      <w:ind w:left="360"/>
      <w:contextualSpacing/>
    </w:pPr>
  </w:style>
  <w:style w:type="paragraph" w:styleId="2f4">
    <w:name w:val="List Continue 2"/>
    <w:basedOn w:val="a2"/>
    <w:uiPriority w:val="99"/>
    <w:semiHidden/>
    <w:unhideWhenUsed/>
    <w:pPr>
      <w:spacing w:after="120"/>
      <w:ind w:left="720"/>
      <w:contextualSpacing/>
    </w:pPr>
  </w:style>
  <w:style w:type="paragraph" w:styleId="3f2">
    <w:name w:val="List Continue 3"/>
    <w:basedOn w:val="a2"/>
    <w:uiPriority w:val="99"/>
    <w:semiHidden/>
    <w:unhideWhenUsed/>
    <w:pPr>
      <w:spacing w:after="120"/>
      <w:ind w:left="1080"/>
      <w:contextualSpacing/>
    </w:pPr>
  </w:style>
  <w:style w:type="paragraph" w:styleId="4c">
    <w:name w:val="List Continue 4"/>
    <w:basedOn w:val="a2"/>
    <w:uiPriority w:val="99"/>
    <w:semiHidden/>
    <w:unhideWhenUsed/>
    <w:pPr>
      <w:spacing w:after="120"/>
      <w:ind w:left="1440"/>
      <w:contextualSpacing/>
    </w:pPr>
  </w:style>
  <w:style w:type="paragraph" w:styleId="5c">
    <w:name w:val="List Continue 5"/>
    <w:basedOn w:val="a2"/>
    <w:uiPriority w:val="99"/>
    <w:semiHidden/>
    <w:unhideWhenUsed/>
    <w:pPr>
      <w:spacing w:after="120"/>
      <w:ind w:left="1800"/>
      <w:contextualSpacing/>
    </w:pPr>
  </w:style>
  <w:style w:type="paragraph" w:styleId="a1">
    <w:name w:val="List Number"/>
    <w:basedOn w:val="a2"/>
    <w:uiPriority w:val="1"/>
    <w:unhideWhenUsed/>
    <w:qFormat/>
    <w:pPr>
      <w:numPr>
        <w:numId w:val="19"/>
      </w:numPr>
      <w:contextualSpacing/>
    </w:pPr>
  </w:style>
  <w:style w:type="paragraph" w:styleId="20">
    <w:name w:val="List Number 2"/>
    <w:basedOn w:val="a2"/>
    <w:uiPriority w:val="1"/>
    <w:unhideWhenUsed/>
    <w:qFormat/>
    <w:pPr>
      <w:numPr>
        <w:ilvl w:val="1"/>
        <w:numId w:val="19"/>
      </w:numPr>
      <w:contextualSpacing/>
    </w:pPr>
  </w:style>
  <w:style w:type="paragraph" w:styleId="30">
    <w:name w:val="List Number 3"/>
    <w:basedOn w:val="a2"/>
    <w:uiPriority w:val="18"/>
    <w:unhideWhenUsed/>
    <w:qFormat/>
    <w:pPr>
      <w:numPr>
        <w:ilvl w:val="2"/>
        <w:numId w:val="19"/>
      </w:numPr>
      <w:contextualSpacing/>
    </w:pPr>
  </w:style>
  <w:style w:type="paragraph" w:styleId="40">
    <w:name w:val="List Number 4"/>
    <w:basedOn w:val="a2"/>
    <w:uiPriority w:val="18"/>
    <w:semiHidden/>
    <w:unhideWhenUsed/>
    <w:pPr>
      <w:numPr>
        <w:ilvl w:val="3"/>
        <w:numId w:val="19"/>
      </w:numPr>
      <w:contextualSpacing/>
    </w:pPr>
  </w:style>
  <w:style w:type="paragraph" w:styleId="50">
    <w:name w:val="List Number 5"/>
    <w:basedOn w:val="a2"/>
    <w:uiPriority w:val="18"/>
    <w:semiHidden/>
    <w:unhideWhenUsed/>
    <w:pPr>
      <w:numPr>
        <w:ilvl w:val="4"/>
        <w:numId w:val="19"/>
      </w:numPr>
      <w:contextualSpacing/>
    </w:pPr>
  </w:style>
  <w:style w:type="paragraph" w:styleId="affff4">
    <w:name w:val="List Paragraph"/>
    <w:basedOn w:val="a2"/>
    <w:uiPriority w:val="34"/>
    <w:unhideWhenUsed/>
    <w:pPr>
      <w:ind w:left="720"/>
      <w:contextualSpacing/>
    </w:pPr>
  </w:style>
  <w:style w:type="paragraph" w:customStyle="1" w:styleId="affff5">
    <w:name w:val="макрос"/>
    <w:link w:val="affff6"/>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affff6">
    <w:name w:val="Текст макроса (знак)"/>
    <w:basedOn w:val="a3"/>
    <w:link w:val="affff5"/>
    <w:uiPriority w:val="99"/>
    <w:semiHidden/>
    <w:rPr>
      <w:rFonts w:ascii="Consolas" w:hAnsi="Consolas" w:cs="Consolas"/>
      <w:sz w:val="20"/>
    </w:rPr>
  </w:style>
  <w:style w:type="table" w:styleId="1b">
    <w:name w:val="Medium Grid 1"/>
    <w:basedOn w:val="a4"/>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0">
    <w:name w:val="Средняя сетка 1 — акцент 1"/>
    <w:basedOn w:val="a4"/>
    <w:uiPriority w:val="67"/>
    <w:pPr>
      <w:spacing w:after="0" w:line="240" w:lineRule="auto"/>
    </w:pPr>
    <w:tblPr>
      <w:tblStyleRowBandSize w:val="1"/>
      <w:tblStyleColBandSize w:val="1"/>
      <w:tblInd w:w="0" w:type="dxa"/>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insideV w:val="single" w:sz="8" w:space="0" w:color="FD0404" w:themeColor="accent1" w:themeTint="BF"/>
      </w:tblBorders>
      <w:tblCellMar>
        <w:top w:w="0" w:type="dxa"/>
        <w:left w:w="108" w:type="dxa"/>
        <w:bottom w:w="0" w:type="dxa"/>
        <w:right w:w="108" w:type="dxa"/>
      </w:tblCellMar>
    </w:tblPr>
    <w:tcPr>
      <w:shd w:val="clear" w:color="auto" w:fill="FEACAC" w:themeFill="accent1" w:themeFillTint="3F"/>
    </w:tcPr>
    <w:tblStylePr w:type="firstRow">
      <w:rPr>
        <w:b/>
        <w:bCs/>
      </w:rPr>
    </w:tblStylePr>
    <w:tblStylePr w:type="lastRow">
      <w:rPr>
        <w:b/>
        <w:bCs/>
      </w:rPr>
      <w:tblPr/>
      <w:tcPr>
        <w:tcBorders>
          <w:top w:val="single" w:sz="18" w:space="0" w:color="FD0404" w:themeColor="accent1" w:themeTint="BF"/>
        </w:tcBorders>
      </w:tcPr>
    </w:tblStylePr>
    <w:tblStylePr w:type="firstCol">
      <w:rPr>
        <w:b/>
        <w:bCs/>
      </w:rPr>
    </w:tblStylePr>
    <w:tblStylePr w:type="lastCol">
      <w:rPr>
        <w:b/>
        <w:bCs/>
      </w:rPr>
    </w:tblStylePr>
    <w:tblStylePr w:type="band1Vert">
      <w:tblPr/>
      <w:tcPr>
        <w:shd w:val="clear" w:color="auto" w:fill="FE5858" w:themeFill="accent1" w:themeFillTint="7F"/>
      </w:tcPr>
    </w:tblStylePr>
    <w:tblStylePr w:type="band1Horz">
      <w:tblPr/>
      <w:tcPr>
        <w:shd w:val="clear" w:color="auto" w:fill="FE5858" w:themeFill="accent1" w:themeFillTint="7F"/>
      </w:tcPr>
    </w:tblStylePr>
  </w:style>
  <w:style w:type="table" w:customStyle="1" w:styleId="120">
    <w:name w:val="Средняя сетка 1 — акцент 2"/>
    <w:basedOn w:val="a4"/>
    <w:uiPriority w:val="67"/>
    <w:pPr>
      <w:spacing w:after="0" w:line="240" w:lineRule="auto"/>
    </w:pPr>
    <w:tblPr>
      <w:tblStyleRowBandSize w:val="1"/>
      <w:tblStyleColBandSize w:val="1"/>
      <w:tblInd w:w="0" w:type="dxa"/>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insideV w:val="single" w:sz="8" w:space="0" w:color="9B867A" w:themeColor="accent2" w:themeTint="BF"/>
      </w:tblBorders>
      <w:tblCellMar>
        <w:top w:w="0" w:type="dxa"/>
        <w:left w:w="108" w:type="dxa"/>
        <w:bottom w:w="0" w:type="dxa"/>
        <w:right w:w="108" w:type="dxa"/>
      </w:tblCellMar>
    </w:tblPr>
    <w:tcPr>
      <w:shd w:val="clear" w:color="auto" w:fill="DED7D3" w:themeFill="accent2" w:themeFillTint="3F"/>
    </w:tcPr>
    <w:tblStylePr w:type="firstRow">
      <w:rPr>
        <w:b/>
        <w:bCs/>
      </w:rPr>
    </w:tblStylePr>
    <w:tblStylePr w:type="lastRow">
      <w:rPr>
        <w:b/>
        <w:bCs/>
      </w:rPr>
      <w:tblPr/>
      <w:tcPr>
        <w:tcBorders>
          <w:top w:val="single" w:sz="18" w:space="0" w:color="9B867A" w:themeColor="accent2" w:themeTint="BF"/>
        </w:tcBorders>
      </w:tcPr>
    </w:tblStylePr>
    <w:tblStylePr w:type="firstCol">
      <w:rPr>
        <w:b/>
        <w:bCs/>
      </w:rPr>
    </w:tblStylePr>
    <w:tblStylePr w:type="lastCol">
      <w:rPr>
        <w:b/>
        <w:bCs/>
      </w:r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customStyle="1" w:styleId="130">
    <w:name w:val="Средняя сетка 1 — акцент 3"/>
    <w:basedOn w:val="a4"/>
    <w:uiPriority w:val="67"/>
    <w:pPr>
      <w:spacing w:after="0" w:line="240" w:lineRule="auto"/>
    </w:pPr>
    <w:tblPr>
      <w:tblStyleRowBandSize w:val="1"/>
      <w:tblStyleColBandSize w:val="1"/>
      <w:tblInd w:w="0" w:type="dxa"/>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insideV w:val="single" w:sz="8" w:space="0" w:color="C0AF92" w:themeColor="accent3" w:themeTint="BF"/>
      </w:tblBorders>
      <w:tblCellMar>
        <w:top w:w="0" w:type="dxa"/>
        <w:left w:w="108" w:type="dxa"/>
        <w:bottom w:w="0" w:type="dxa"/>
        <w:right w:w="108" w:type="dxa"/>
      </w:tblCellMar>
    </w:tblPr>
    <w:tcPr>
      <w:shd w:val="clear" w:color="auto" w:fill="EAE4DB" w:themeFill="accent3" w:themeFillTint="3F"/>
    </w:tcPr>
    <w:tblStylePr w:type="firstRow">
      <w:rPr>
        <w:b/>
        <w:bCs/>
      </w:rPr>
    </w:tblStylePr>
    <w:tblStylePr w:type="lastRow">
      <w:rPr>
        <w:b/>
        <w:bCs/>
      </w:rPr>
      <w:tblPr/>
      <w:tcPr>
        <w:tcBorders>
          <w:top w:val="single" w:sz="18" w:space="0" w:color="C0AF92" w:themeColor="accent3" w:themeTint="BF"/>
        </w:tcBorders>
      </w:tcPr>
    </w:tblStylePr>
    <w:tblStylePr w:type="firstCol">
      <w:rPr>
        <w:b/>
        <w:bCs/>
      </w:rPr>
    </w:tblStylePr>
    <w:tblStylePr w:type="lastCol">
      <w:rPr>
        <w:b/>
        <w:bCs/>
      </w:r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customStyle="1" w:styleId="140">
    <w:name w:val="Средняя сетка 1 — акцент 4"/>
    <w:basedOn w:val="a4"/>
    <w:uiPriority w:val="67"/>
    <w:pPr>
      <w:spacing w:after="0" w:line="240" w:lineRule="auto"/>
    </w:pPr>
    <w:tblPr>
      <w:tblStyleRowBandSize w:val="1"/>
      <w:tblStyleColBandSize w:val="1"/>
      <w:tblInd w:w="0" w:type="dxa"/>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insideV w:val="single" w:sz="8" w:space="0" w:color="9FA9BE" w:themeColor="accent4" w:themeTint="BF"/>
      </w:tblBorders>
      <w:tblCellMar>
        <w:top w:w="0" w:type="dxa"/>
        <w:left w:w="108" w:type="dxa"/>
        <w:bottom w:w="0" w:type="dxa"/>
        <w:right w:w="108" w:type="dxa"/>
      </w:tblCellMar>
    </w:tblPr>
    <w:tcPr>
      <w:shd w:val="clear" w:color="auto" w:fill="DFE2E9" w:themeFill="accent4" w:themeFillTint="3F"/>
    </w:tcPr>
    <w:tblStylePr w:type="firstRow">
      <w:rPr>
        <w:b/>
        <w:bCs/>
      </w:rPr>
    </w:tblStylePr>
    <w:tblStylePr w:type="lastRow">
      <w:rPr>
        <w:b/>
        <w:bCs/>
      </w:rPr>
      <w:tblPr/>
      <w:tcPr>
        <w:tcBorders>
          <w:top w:val="single" w:sz="18" w:space="0" w:color="9FA9BE" w:themeColor="accent4" w:themeTint="BF"/>
        </w:tcBorders>
      </w:tcPr>
    </w:tblStylePr>
    <w:tblStylePr w:type="firstCol">
      <w:rPr>
        <w:b/>
        <w:bCs/>
      </w:rPr>
    </w:tblStylePr>
    <w:tblStylePr w:type="lastCol">
      <w:rPr>
        <w:b/>
        <w:bCs/>
      </w:r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table" w:customStyle="1" w:styleId="150">
    <w:name w:val="Средняя сетка 1 — акцент 5"/>
    <w:basedOn w:val="a4"/>
    <w:uiPriority w:val="67"/>
    <w:pPr>
      <w:spacing w:after="0" w:line="240" w:lineRule="auto"/>
    </w:pPr>
    <w:tblPr>
      <w:tblStyleRowBandSize w:val="1"/>
      <w:tblStyleColBandSize w:val="1"/>
      <w:tblInd w:w="0" w:type="dxa"/>
      <w:tbl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single" w:sz="8" w:space="0" w:color="67798E" w:themeColor="accent5" w:themeTint="BF"/>
        <w:insideV w:val="single" w:sz="8" w:space="0" w:color="67798E" w:themeColor="accent5" w:themeTint="BF"/>
      </w:tblBorders>
      <w:tblCellMar>
        <w:top w:w="0" w:type="dxa"/>
        <w:left w:w="108" w:type="dxa"/>
        <w:bottom w:w="0" w:type="dxa"/>
        <w:right w:w="108" w:type="dxa"/>
      </w:tblCellMar>
    </w:tblPr>
    <w:tcPr>
      <w:shd w:val="clear" w:color="auto" w:fill="CCD3DA" w:themeFill="accent5" w:themeFillTint="3F"/>
    </w:tcPr>
    <w:tblStylePr w:type="firstRow">
      <w:rPr>
        <w:b/>
        <w:bCs/>
      </w:rPr>
    </w:tblStylePr>
    <w:tblStylePr w:type="lastRow">
      <w:rPr>
        <w:b/>
        <w:bCs/>
      </w:rPr>
      <w:tblPr/>
      <w:tcPr>
        <w:tcBorders>
          <w:top w:val="single" w:sz="18" w:space="0" w:color="67798E" w:themeColor="accent5" w:themeTint="BF"/>
        </w:tcBorders>
      </w:tcPr>
    </w:tblStylePr>
    <w:tblStylePr w:type="firstCol">
      <w:rPr>
        <w:b/>
        <w:bCs/>
      </w:rPr>
    </w:tblStylePr>
    <w:tblStylePr w:type="lastCol">
      <w:rPr>
        <w:b/>
        <w:bCs/>
      </w:rPr>
    </w:tblStylePr>
    <w:tblStylePr w:type="band1Vert">
      <w:tblPr/>
      <w:tcPr>
        <w:shd w:val="clear" w:color="auto" w:fill="99A6B5" w:themeFill="accent5" w:themeFillTint="7F"/>
      </w:tcPr>
    </w:tblStylePr>
    <w:tblStylePr w:type="band1Horz">
      <w:tblPr/>
      <w:tcPr>
        <w:shd w:val="clear" w:color="auto" w:fill="99A6B5" w:themeFill="accent5" w:themeFillTint="7F"/>
      </w:tcPr>
    </w:tblStylePr>
  </w:style>
  <w:style w:type="table" w:customStyle="1" w:styleId="160">
    <w:name w:val="Средняя сетка 1 — акцент 6"/>
    <w:basedOn w:val="a4"/>
    <w:uiPriority w:val="67"/>
    <w:pPr>
      <w:spacing w:after="0" w:line="240" w:lineRule="auto"/>
    </w:pPr>
    <w:tblPr>
      <w:tblStyleRowBandSize w:val="1"/>
      <w:tblStyleColBandSize w:val="1"/>
      <w:tblInd w:w="0" w:type="dxa"/>
      <w:tbl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single" w:sz="8" w:space="0" w:color="D61A00" w:themeColor="accent6" w:themeTint="BF"/>
        <w:insideV w:val="single" w:sz="8" w:space="0" w:color="D61A00" w:themeColor="accent6" w:themeTint="BF"/>
      </w:tblBorders>
      <w:tblCellMar>
        <w:top w:w="0" w:type="dxa"/>
        <w:left w:w="108" w:type="dxa"/>
        <w:bottom w:w="0" w:type="dxa"/>
        <w:right w:w="108" w:type="dxa"/>
      </w:tblCellMar>
    </w:tblPr>
    <w:tcPr>
      <w:shd w:val="clear" w:color="auto" w:fill="FFA99D" w:themeFill="accent6" w:themeFillTint="3F"/>
    </w:tcPr>
    <w:tblStylePr w:type="firstRow">
      <w:rPr>
        <w:b/>
        <w:bCs/>
      </w:rPr>
    </w:tblStylePr>
    <w:tblStylePr w:type="lastRow">
      <w:rPr>
        <w:b/>
        <w:bCs/>
      </w:rPr>
      <w:tblPr/>
      <w:tcPr>
        <w:tcBorders>
          <w:top w:val="single" w:sz="18" w:space="0" w:color="D61A00" w:themeColor="accent6" w:themeTint="BF"/>
        </w:tcBorders>
      </w:tcPr>
    </w:tblStylePr>
    <w:tblStylePr w:type="firstCol">
      <w:rPr>
        <w:b/>
        <w:bCs/>
      </w:rPr>
    </w:tblStylePr>
    <w:tblStylePr w:type="lastCol">
      <w:rPr>
        <w:b/>
        <w:bCs/>
      </w:rPr>
    </w:tblStylePr>
    <w:tblStylePr w:type="band1Vert">
      <w:tblPr/>
      <w:tcPr>
        <w:shd w:val="clear" w:color="auto" w:fill="FF513A" w:themeFill="accent6" w:themeFillTint="7F"/>
      </w:tcPr>
    </w:tblStylePr>
    <w:tblStylePr w:type="band1Horz">
      <w:tblPr/>
      <w:tcPr>
        <w:shd w:val="clear" w:color="auto" w:fill="FF513A" w:themeFill="accent6" w:themeFillTint="7F"/>
      </w:tcPr>
    </w:tblStylePr>
  </w:style>
  <w:style w:type="table" w:styleId="2f5">
    <w:name w:val="Medium Grid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сетка 2 — акцент 1"/>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cPr>
      <w:shd w:val="clear" w:color="auto" w:fill="FEACAC" w:themeFill="accent1" w:themeFillTint="3F"/>
    </w:tcPr>
    <w:tblStylePr w:type="firstRow">
      <w:rPr>
        <w:b/>
        <w:bCs/>
        <w:color w:val="000000" w:themeColor="text1"/>
      </w:rPr>
      <w:tblPr/>
      <w:tcPr>
        <w:shd w:val="clear" w:color="auto" w:fill="FEDED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BCBC" w:themeFill="accent1" w:themeFillTint="33"/>
      </w:tcPr>
    </w:tblStylePr>
    <w:tblStylePr w:type="band1Vert">
      <w:tblPr/>
      <w:tcPr>
        <w:shd w:val="clear" w:color="auto" w:fill="FE5858" w:themeFill="accent1" w:themeFillTint="7F"/>
      </w:tcPr>
    </w:tblStylePr>
    <w:tblStylePr w:type="band1Horz">
      <w:tblPr/>
      <w:tcPr>
        <w:tcBorders>
          <w:insideH w:val="single" w:sz="6" w:space="0" w:color="AD0101" w:themeColor="accent1"/>
          <w:insideV w:val="single" w:sz="6" w:space="0" w:color="AD0101" w:themeColor="accent1"/>
        </w:tcBorders>
        <w:shd w:val="clear" w:color="auto" w:fill="FE5858" w:themeFill="accent1" w:themeFillTint="7F"/>
      </w:tcPr>
    </w:tblStylePr>
    <w:tblStylePr w:type="nwCell">
      <w:tblPr/>
      <w:tcPr>
        <w:shd w:val="clear" w:color="auto" w:fill="FFFFFF" w:themeFill="background1"/>
      </w:tcPr>
    </w:tblStylePr>
  </w:style>
  <w:style w:type="table" w:customStyle="1" w:styleId="220">
    <w:name w:val="Средняя сетка 2 — акцент 2"/>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insideH w:val="single" w:sz="8" w:space="0" w:color="726056" w:themeColor="accent2"/>
        <w:insideV w:val="single" w:sz="8" w:space="0" w:color="726056" w:themeColor="accent2"/>
      </w:tblBorders>
      <w:tblCellMar>
        <w:top w:w="0" w:type="dxa"/>
        <w:left w:w="108" w:type="dxa"/>
        <w:bottom w:w="0" w:type="dxa"/>
        <w:right w:w="108" w:type="dxa"/>
      </w:tblCellMar>
    </w:tblPr>
    <w:tcPr>
      <w:shd w:val="clear" w:color="auto" w:fill="DED7D3" w:themeFill="accent2" w:themeFillTint="3F"/>
    </w:tcPr>
    <w:tblStylePr w:type="firstRow">
      <w:rPr>
        <w:b/>
        <w:bCs/>
        <w:color w:val="000000" w:themeColor="text1"/>
      </w:rPr>
      <w:tblPr/>
      <w:tcPr>
        <w:shd w:val="clear" w:color="auto" w:fill="F1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DEDB" w:themeFill="accent2" w:themeFillTint="33"/>
      </w:tcPr>
    </w:tblStylePr>
    <w:tblStylePr w:type="band1Vert">
      <w:tblPr/>
      <w:tcPr>
        <w:shd w:val="clear" w:color="auto" w:fill="BCAEA6" w:themeFill="accent2" w:themeFillTint="7F"/>
      </w:tcPr>
    </w:tblStylePr>
    <w:tblStylePr w:type="band1Horz">
      <w:tblPr/>
      <w:tcPr>
        <w:tcBorders>
          <w:insideH w:val="single" w:sz="6" w:space="0" w:color="726056" w:themeColor="accent2"/>
          <w:insideV w:val="single" w:sz="6" w:space="0" w:color="726056" w:themeColor="accent2"/>
        </w:tcBorders>
        <w:shd w:val="clear" w:color="auto" w:fill="BCAEA6" w:themeFill="accent2" w:themeFillTint="7F"/>
      </w:tcPr>
    </w:tblStylePr>
    <w:tblStylePr w:type="nwCell">
      <w:tblPr/>
      <w:tcPr>
        <w:shd w:val="clear" w:color="auto" w:fill="FFFFFF" w:themeFill="background1"/>
      </w:tcPr>
    </w:tblStylePr>
  </w:style>
  <w:style w:type="table" w:customStyle="1" w:styleId="230">
    <w:name w:val="Средняя сетка 2 — акцент 3"/>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insideH w:val="single" w:sz="8" w:space="0" w:color="AC956E" w:themeColor="accent3"/>
        <w:insideV w:val="single" w:sz="8" w:space="0" w:color="AC956E" w:themeColor="accent3"/>
      </w:tblBorders>
      <w:tblCellMar>
        <w:top w:w="0" w:type="dxa"/>
        <w:left w:w="108" w:type="dxa"/>
        <w:bottom w:w="0" w:type="dxa"/>
        <w:right w:w="108" w:type="dxa"/>
      </w:tblCellMar>
    </w:tblPr>
    <w:tcPr>
      <w:shd w:val="clear" w:color="auto" w:fill="EAE4DB" w:themeFill="accent3" w:themeFillTint="3F"/>
    </w:tcPr>
    <w:tblStylePr w:type="firstRow">
      <w:rPr>
        <w:b/>
        <w:bCs/>
        <w:color w:val="000000" w:themeColor="text1"/>
      </w:rPr>
      <w:tblPr/>
      <w:tcPr>
        <w:shd w:val="clear" w:color="auto" w:fill="F6F4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9E1" w:themeFill="accent3" w:themeFillTint="33"/>
      </w:tcPr>
    </w:tblStylePr>
    <w:tblStylePr w:type="band1Vert">
      <w:tblPr/>
      <w:tcPr>
        <w:shd w:val="clear" w:color="auto" w:fill="D5CAB6" w:themeFill="accent3" w:themeFillTint="7F"/>
      </w:tcPr>
    </w:tblStylePr>
    <w:tblStylePr w:type="band1Horz">
      <w:tblPr/>
      <w:tcPr>
        <w:tcBorders>
          <w:insideH w:val="single" w:sz="6" w:space="0" w:color="AC956E" w:themeColor="accent3"/>
          <w:insideV w:val="single" w:sz="6" w:space="0" w:color="AC956E" w:themeColor="accent3"/>
        </w:tcBorders>
        <w:shd w:val="clear" w:color="auto" w:fill="D5CAB6" w:themeFill="accent3" w:themeFillTint="7F"/>
      </w:tcPr>
    </w:tblStylePr>
    <w:tblStylePr w:type="nwCell">
      <w:tblPr/>
      <w:tcPr>
        <w:shd w:val="clear" w:color="auto" w:fill="FFFFFF" w:themeFill="background1"/>
      </w:tcPr>
    </w:tblStylePr>
  </w:style>
  <w:style w:type="table" w:customStyle="1" w:styleId="240">
    <w:name w:val="Средняя сетка 2 — акцент 4"/>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CellMar>
        <w:top w:w="0" w:type="dxa"/>
        <w:left w:w="108" w:type="dxa"/>
        <w:bottom w:w="0" w:type="dxa"/>
        <w:right w:w="108" w:type="dxa"/>
      </w:tblCellMar>
    </w:tblPr>
    <w:tcPr>
      <w:shd w:val="clear" w:color="auto" w:fill="DFE2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5D4" w:themeFill="accent4" w:themeFillTint="7F"/>
      </w:tcPr>
    </w:tblStylePr>
    <w:tblStylePr w:type="band1Horz">
      <w:tblPr/>
      <w:tcPr>
        <w:tcBorders>
          <w:insideH w:val="single" w:sz="6" w:space="0" w:color="808DA9" w:themeColor="accent4"/>
          <w:insideV w:val="single" w:sz="6" w:space="0" w:color="808DA9" w:themeColor="accent4"/>
        </w:tcBorders>
        <w:shd w:val="clear" w:color="auto" w:fill="BFC5D4" w:themeFill="accent4" w:themeFillTint="7F"/>
      </w:tcPr>
    </w:tblStylePr>
    <w:tblStylePr w:type="nwCell">
      <w:tblPr/>
      <w:tcPr>
        <w:shd w:val="clear" w:color="auto" w:fill="FFFFFF" w:themeFill="background1"/>
      </w:tcPr>
    </w:tblStylePr>
  </w:style>
  <w:style w:type="table" w:customStyle="1" w:styleId="250">
    <w:name w:val="Средняя сетка 2 — акцент 5"/>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insideH w:val="single" w:sz="8" w:space="0" w:color="424E5B" w:themeColor="accent5"/>
        <w:insideV w:val="single" w:sz="8" w:space="0" w:color="424E5B" w:themeColor="accent5"/>
      </w:tblBorders>
      <w:tblCellMar>
        <w:top w:w="0" w:type="dxa"/>
        <w:left w:w="108" w:type="dxa"/>
        <w:bottom w:w="0" w:type="dxa"/>
        <w:right w:w="108" w:type="dxa"/>
      </w:tblCellMar>
    </w:tblPr>
    <w:tcPr>
      <w:shd w:val="clear" w:color="auto" w:fill="CCD3DA" w:themeFill="accent5" w:themeFillTint="3F"/>
    </w:tcPr>
    <w:tblStylePr w:type="firstRow">
      <w:rPr>
        <w:b/>
        <w:bCs/>
        <w:color w:val="000000" w:themeColor="text1"/>
      </w:rPr>
      <w:tblPr/>
      <w:tcPr>
        <w:shd w:val="clear" w:color="auto" w:fill="EAED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BE1" w:themeFill="accent5" w:themeFillTint="33"/>
      </w:tcPr>
    </w:tblStylePr>
    <w:tblStylePr w:type="band1Vert">
      <w:tblPr/>
      <w:tcPr>
        <w:shd w:val="clear" w:color="auto" w:fill="99A6B5" w:themeFill="accent5" w:themeFillTint="7F"/>
      </w:tcPr>
    </w:tblStylePr>
    <w:tblStylePr w:type="band1Horz">
      <w:tblPr/>
      <w:tcPr>
        <w:tcBorders>
          <w:insideH w:val="single" w:sz="6" w:space="0" w:color="424E5B" w:themeColor="accent5"/>
          <w:insideV w:val="single" w:sz="6" w:space="0" w:color="424E5B" w:themeColor="accent5"/>
        </w:tcBorders>
        <w:shd w:val="clear" w:color="auto" w:fill="99A6B5" w:themeFill="accent5" w:themeFillTint="7F"/>
      </w:tcPr>
    </w:tblStylePr>
    <w:tblStylePr w:type="nwCell">
      <w:tblPr/>
      <w:tcPr>
        <w:shd w:val="clear" w:color="auto" w:fill="FFFFFF" w:themeFill="background1"/>
      </w:tcPr>
    </w:tblStylePr>
  </w:style>
  <w:style w:type="table" w:customStyle="1" w:styleId="260">
    <w:name w:val="Средняя сетка 2 — акцент 6"/>
    <w:basedOn w:val="a4"/>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insideH w:val="single" w:sz="8" w:space="0" w:color="730E00" w:themeColor="accent6"/>
        <w:insideV w:val="single" w:sz="8" w:space="0" w:color="730E00" w:themeColor="accent6"/>
      </w:tblBorders>
      <w:tblCellMar>
        <w:top w:w="0" w:type="dxa"/>
        <w:left w:w="108" w:type="dxa"/>
        <w:bottom w:w="0" w:type="dxa"/>
        <w:right w:w="108" w:type="dxa"/>
      </w:tblCellMar>
    </w:tblPr>
    <w:tcPr>
      <w:shd w:val="clear" w:color="auto" w:fill="FFA99D" w:themeFill="accent6" w:themeFillTint="3F"/>
    </w:tcPr>
    <w:tblStylePr w:type="firstRow">
      <w:rPr>
        <w:b/>
        <w:bCs/>
        <w:color w:val="000000" w:themeColor="text1"/>
      </w:rPr>
      <w:tblPr/>
      <w:tcPr>
        <w:shd w:val="clear" w:color="auto" w:fill="FFDCD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9B0" w:themeFill="accent6" w:themeFillTint="33"/>
      </w:tcPr>
    </w:tblStylePr>
    <w:tblStylePr w:type="band1Vert">
      <w:tblPr/>
      <w:tcPr>
        <w:shd w:val="clear" w:color="auto" w:fill="FF513A" w:themeFill="accent6" w:themeFillTint="7F"/>
      </w:tcPr>
    </w:tblStylePr>
    <w:tblStylePr w:type="band1Horz">
      <w:tblPr/>
      <w:tcPr>
        <w:tcBorders>
          <w:insideH w:val="single" w:sz="6" w:space="0" w:color="730E00" w:themeColor="accent6"/>
          <w:insideV w:val="single" w:sz="6" w:space="0" w:color="730E00" w:themeColor="accent6"/>
        </w:tcBorders>
        <w:shd w:val="clear" w:color="auto" w:fill="FF513A" w:themeFill="accent6" w:themeFillTint="7F"/>
      </w:tcPr>
    </w:tblStylePr>
    <w:tblStylePr w:type="nwCell">
      <w:tblPr/>
      <w:tcPr>
        <w:shd w:val="clear" w:color="auto" w:fill="FFFFFF" w:themeFill="background1"/>
      </w:tcPr>
    </w:tblStylePr>
  </w:style>
  <w:style w:type="table" w:styleId="3f3">
    <w:name w:val="Medium Grid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0">
    <w:name w:val="Средняя сетка 3 — акцент 1"/>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customStyle="1" w:styleId="320">
    <w:name w:val="Средняя сетка 3 — акцент 2"/>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table" w:customStyle="1" w:styleId="330">
    <w:name w:val="Средняя сетка 3 — акцент 3"/>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E4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95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95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95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AB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AB6" w:themeFill="accent3" w:themeFillTint="7F"/>
      </w:tcPr>
    </w:tblStylePr>
  </w:style>
  <w:style w:type="table" w:customStyle="1" w:styleId="340">
    <w:name w:val="Средняя сетка 3 — акцент 4"/>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2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5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5D4" w:themeFill="accent4" w:themeFillTint="7F"/>
      </w:tcPr>
    </w:tblStylePr>
  </w:style>
  <w:style w:type="table" w:customStyle="1" w:styleId="350">
    <w:name w:val="Средняя сетка 3 — акцент 5"/>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D3D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4E5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4E5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4E5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A6B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A6B5" w:themeFill="accent5" w:themeFillTint="7F"/>
      </w:tcPr>
    </w:tblStylePr>
  </w:style>
  <w:style w:type="table" w:customStyle="1" w:styleId="360">
    <w:name w:val="Средняя сетка 3 — акцент 6"/>
    <w:basedOn w:val="a4"/>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99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0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0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0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0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13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13A" w:themeFill="accent6" w:themeFillTint="7F"/>
      </w:tcPr>
    </w:tblStylePr>
  </w:style>
  <w:style w:type="table" w:styleId="1c">
    <w:name w:val="Medium List 1"/>
    <w:basedOn w:val="a4"/>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
    <w:basedOn w:val="a4"/>
    <w:uiPriority w:val="65"/>
    <w:pPr>
      <w:spacing w:after="0" w:line="240" w:lineRule="auto"/>
    </w:pPr>
    <w:rPr>
      <w:color w:val="000000" w:themeColor="text1"/>
    </w:rPr>
    <w:tblPr>
      <w:tblStyleRowBandSize w:val="1"/>
      <w:tblStyleColBandSize w:val="1"/>
      <w:tblInd w:w="0" w:type="dxa"/>
      <w:tblBorders>
        <w:top w:val="single" w:sz="8" w:space="0" w:color="AD0101" w:themeColor="accent1"/>
        <w:bottom w:val="single" w:sz="8" w:space="0" w:color="AD0101"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D0101" w:themeColor="accent1"/>
        </w:tcBorders>
      </w:tcPr>
    </w:tblStylePr>
    <w:tblStylePr w:type="lastRow">
      <w:rPr>
        <w:b/>
        <w:bCs/>
        <w:color w:val="303030" w:themeColor="text2"/>
      </w:rPr>
      <w:tblPr/>
      <w:tcPr>
        <w:tcBorders>
          <w:top w:val="single" w:sz="8" w:space="0" w:color="AD0101" w:themeColor="accent1"/>
          <w:bottom w:val="single" w:sz="8" w:space="0" w:color="AD0101" w:themeColor="accent1"/>
        </w:tcBorders>
      </w:tcPr>
    </w:tblStylePr>
    <w:tblStylePr w:type="firstCol">
      <w:rPr>
        <w:b/>
        <w:bCs/>
      </w:rPr>
    </w:tblStylePr>
    <w:tblStylePr w:type="lastCol">
      <w:rPr>
        <w:b/>
        <w:bCs/>
      </w:rPr>
      <w:tblPr/>
      <w:tcPr>
        <w:tcBorders>
          <w:top w:val="single" w:sz="8" w:space="0" w:color="AD0101" w:themeColor="accent1"/>
          <w:bottom w:val="single" w:sz="8" w:space="0" w:color="AD0101" w:themeColor="accent1"/>
        </w:tcBorders>
      </w:tcPr>
    </w:tblStylePr>
    <w:tblStylePr w:type="band1Vert">
      <w:tblPr/>
      <w:tcPr>
        <w:shd w:val="clear" w:color="auto" w:fill="FEACAC" w:themeFill="accent1" w:themeFillTint="3F"/>
      </w:tcPr>
    </w:tblStylePr>
    <w:tblStylePr w:type="band1Horz">
      <w:tblPr/>
      <w:tcPr>
        <w:shd w:val="clear" w:color="auto" w:fill="FEACAC" w:themeFill="accent1" w:themeFillTint="3F"/>
      </w:tcPr>
    </w:tblStylePr>
  </w:style>
  <w:style w:type="table" w:customStyle="1" w:styleId="121">
    <w:name w:val="Средний список 1 — акцент 2"/>
    <w:basedOn w:val="a4"/>
    <w:uiPriority w:val="65"/>
    <w:pPr>
      <w:spacing w:after="0" w:line="240" w:lineRule="auto"/>
    </w:pPr>
    <w:rPr>
      <w:color w:val="000000" w:themeColor="text1"/>
    </w:rPr>
    <w:tblPr>
      <w:tblStyleRowBandSize w:val="1"/>
      <w:tblStyleColBandSize w:val="1"/>
      <w:tblInd w:w="0" w:type="dxa"/>
      <w:tblBorders>
        <w:top w:val="single" w:sz="8" w:space="0" w:color="726056" w:themeColor="accent2"/>
        <w:bottom w:val="single" w:sz="8" w:space="0" w:color="72605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26056" w:themeColor="accent2"/>
        </w:tcBorders>
      </w:tcPr>
    </w:tblStylePr>
    <w:tblStylePr w:type="lastRow">
      <w:rPr>
        <w:b/>
        <w:bCs/>
        <w:color w:val="303030" w:themeColor="text2"/>
      </w:rPr>
      <w:tblPr/>
      <w:tcPr>
        <w:tcBorders>
          <w:top w:val="single" w:sz="8" w:space="0" w:color="726056" w:themeColor="accent2"/>
          <w:bottom w:val="single" w:sz="8" w:space="0" w:color="726056" w:themeColor="accent2"/>
        </w:tcBorders>
      </w:tcPr>
    </w:tblStylePr>
    <w:tblStylePr w:type="firstCol">
      <w:rPr>
        <w:b/>
        <w:bCs/>
      </w:rPr>
    </w:tblStylePr>
    <w:tblStylePr w:type="lastCol">
      <w:rPr>
        <w:b/>
        <w:bCs/>
      </w:rPr>
      <w:tblPr/>
      <w:tcPr>
        <w:tcBorders>
          <w:top w:val="single" w:sz="8" w:space="0" w:color="726056" w:themeColor="accent2"/>
          <w:bottom w:val="single" w:sz="8" w:space="0" w:color="726056" w:themeColor="accent2"/>
        </w:tcBorders>
      </w:tcPr>
    </w:tblStylePr>
    <w:tblStylePr w:type="band1Vert">
      <w:tblPr/>
      <w:tcPr>
        <w:shd w:val="clear" w:color="auto" w:fill="DED7D3" w:themeFill="accent2" w:themeFillTint="3F"/>
      </w:tcPr>
    </w:tblStylePr>
    <w:tblStylePr w:type="band1Horz">
      <w:tblPr/>
      <w:tcPr>
        <w:shd w:val="clear" w:color="auto" w:fill="DED7D3" w:themeFill="accent2" w:themeFillTint="3F"/>
      </w:tcPr>
    </w:tblStylePr>
  </w:style>
  <w:style w:type="table" w:customStyle="1" w:styleId="131">
    <w:name w:val="Средний список 1 — акцент 3"/>
    <w:basedOn w:val="a4"/>
    <w:uiPriority w:val="65"/>
    <w:pPr>
      <w:spacing w:after="0" w:line="240" w:lineRule="auto"/>
    </w:pPr>
    <w:rPr>
      <w:color w:val="000000" w:themeColor="text1"/>
    </w:rPr>
    <w:tblPr>
      <w:tblStyleRowBandSize w:val="1"/>
      <w:tblStyleColBandSize w:val="1"/>
      <w:tblInd w:w="0" w:type="dxa"/>
      <w:tblBorders>
        <w:top w:val="single" w:sz="8" w:space="0" w:color="AC956E" w:themeColor="accent3"/>
        <w:bottom w:val="single" w:sz="8" w:space="0" w:color="AC956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C956E" w:themeColor="accent3"/>
        </w:tcBorders>
      </w:tcPr>
    </w:tblStylePr>
    <w:tblStylePr w:type="lastRow">
      <w:rPr>
        <w:b/>
        <w:bCs/>
        <w:color w:val="303030" w:themeColor="text2"/>
      </w:rPr>
      <w:tblPr/>
      <w:tcPr>
        <w:tcBorders>
          <w:top w:val="single" w:sz="8" w:space="0" w:color="AC956E" w:themeColor="accent3"/>
          <w:bottom w:val="single" w:sz="8" w:space="0" w:color="AC956E" w:themeColor="accent3"/>
        </w:tcBorders>
      </w:tcPr>
    </w:tblStylePr>
    <w:tblStylePr w:type="firstCol">
      <w:rPr>
        <w:b/>
        <w:bCs/>
      </w:rPr>
    </w:tblStylePr>
    <w:tblStylePr w:type="lastCol">
      <w:rPr>
        <w:b/>
        <w:bCs/>
      </w:rPr>
      <w:tblPr/>
      <w:tcPr>
        <w:tcBorders>
          <w:top w:val="single" w:sz="8" w:space="0" w:color="AC956E" w:themeColor="accent3"/>
          <w:bottom w:val="single" w:sz="8" w:space="0" w:color="AC956E" w:themeColor="accent3"/>
        </w:tcBorders>
      </w:tcPr>
    </w:tblStylePr>
    <w:tblStylePr w:type="band1Vert">
      <w:tblPr/>
      <w:tcPr>
        <w:shd w:val="clear" w:color="auto" w:fill="EAE4DB" w:themeFill="accent3" w:themeFillTint="3F"/>
      </w:tcPr>
    </w:tblStylePr>
    <w:tblStylePr w:type="band1Horz">
      <w:tblPr/>
      <w:tcPr>
        <w:shd w:val="clear" w:color="auto" w:fill="EAE4DB" w:themeFill="accent3" w:themeFillTint="3F"/>
      </w:tcPr>
    </w:tblStylePr>
  </w:style>
  <w:style w:type="table" w:customStyle="1" w:styleId="141">
    <w:name w:val="Средний список 1 — акцент 4"/>
    <w:basedOn w:val="a4"/>
    <w:uiPriority w:val="65"/>
    <w:pPr>
      <w:spacing w:after="0" w:line="240" w:lineRule="auto"/>
    </w:pPr>
    <w:rPr>
      <w:color w:val="000000" w:themeColor="text1"/>
    </w:rPr>
    <w:tblPr>
      <w:tblStyleRowBandSize w:val="1"/>
      <w:tblStyleColBandSize w:val="1"/>
      <w:tblInd w:w="0" w:type="dxa"/>
      <w:tblBorders>
        <w:top w:val="single" w:sz="8" w:space="0" w:color="808DA9" w:themeColor="accent4"/>
        <w:bottom w:val="single" w:sz="8" w:space="0" w:color="808DA9"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DA9" w:themeColor="accent4"/>
        </w:tcBorders>
      </w:tcPr>
    </w:tblStylePr>
    <w:tblStylePr w:type="lastRow">
      <w:rPr>
        <w:b/>
        <w:bCs/>
        <w:color w:val="303030" w:themeColor="text2"/>
      </w:rPr>
      <w:tblPr/>
      <w:tcPr>
        <w:tcBorders>
          <w:top w:val="single" w:sz="8" w:space="0" w:color="808DA9" w:themeColor="accent4"/>
          <w:bottom w:val="single" w:sz="8" w:space="0" w:color="808DA9" w:themeColor="accent4"/>
        </w:tcBorders>
      </w:tcPr>
    </w:tblStylePr>
    <w:tblStylePr w:type="firstCol">
      <w:rPr>
        <w:b/>
        <w:bCs/>
      </w:rPr>
    </w:tblStylePr>
    <w:tblStylePr w:type="lastCol">
      <w:rPr>
        <w:b/>
        <w:bCs/>
      </w:rPr>
      <w:tblPr/>
      <w:tcPr>
        <w:tcBorders>
          <w:top w:val="single" w:sz="8" w:space="0" w:color="808DA9" w:themeColor="accent4"/>
          <w:bottom w:val="single" w:sz="8" w:space="0" w:color="808DA9" w:themeColor="accent4"/>
        </w:tcBorders>
      </w:tcPr>
    </w:tblStylePr>
    <w:tblStylePr w:type="band1Vert">
      <w:tblPr/>
      <w:tcPr>
        <w:shd w:val="clear" w:color="auto" w:fill="DFE2E9" w:themeFill="accent4" w:themeFillTint="3F"/>
      </w:tcPr>
    </w:tblStylePr>
    <w:tblStylePr w:type="band1Horz">
      <w:tblPr/>
      <w:tcPr>
        <w:shd w:val="clear" w:color="auto" w:fill="DFE2E9" w:themeFill="accent4" w:themeFillTint="3F"/>
      </w:tcPr>
    </w:tblStylePr>
  </w:style>
  <w:style w:type="table" w:customStyle="1" w:styleId="151">
    <w:name w:val="Средний список 1 — акцент 5"/>
    <w:basedOn w:val="a4"/>
    <w:uiPriority w:val="65"/>
    <w:pPr>
      <w:spacing w:after="0" w:line="240" w:lineRule="auto"/>
    </w:pPr>
    <w:rPr>
      <w:color w:val="000000" w:themeColor="text1"/>
    </w:rPr>
    <w:tblPr>
      <w:tblStyleRowBandSize w:val="1"/>
      <w:tblStyleColBandSize w:val="1"/>
      <w:tblInd w:w="0" w:type="dxa"/>
      <w:tblBorders>
        <w:top w:val="single" w:sz="8" w:space="0" w:color="424E5B" w:themeColor="accent5"/>
        <w:bottom w:val="single" w:sz="8" w:space="0" w:color="424E5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24E5B" w:themeColor="accent5"/>
        </w:tcBorders>
      </w:tcPr>
    </w:tblStylePr>
    <w:tblStylePr w:type="lastRow">
      <w:rPr>
        <w:b/>
        <w:bCs/>
        <w:color w:val="303030" w:themeColor="text2"/>
      </w:rPr>
      <w:tblPr/>
      <w:tcPr>
        <w:tcBorders>
          <w:top w:val="single" w:sz="8" w:space="0" w:color="424E5B" w:themeColor="accent5"/>
          <w:bottom w:val="single" w:sz="8" w:space="0" w:color="424E5B" w:themeColor="accent5"/>
        </w:tcBorders>
      </w:tcPr>
    </w:tblStylePr>
    <w:tblStylePr w:type="firstCol">
      <w:rPr>
        <w:b/>
        <w:bCs/>
      </w:rPr>
    </w:tblStylePr>
    <w:tblStylePr w:type="lastCol">
      <w:rPr>
        <w:b/>
        <w:bCs/>
      </w:rPr>
      <w:tblPr/>
      <w:tcPr>
        <w:tcBorders>
          <w:top w:val="single" w:sz="8" w:space="0" w:color="424E5B" w:themeColor="accent5"/>
          <w:bottom w:val="single" w:sz="8" w:space="0" w:color="424E5B" w:themeColor="accent5"/>
        </w:tcBorders>
      </w:tcPr>
    </w:tblStylePr>
    <w:tblStylePr w:type="band1Vert">
      <w:tblPr/>
      <w:tcPr>
        <w:shd w:val="clear" w:color="auto" w:fill="CCD3DA" w:themeFill="accent5" w:themeFillTint="3F"/>
      </w:tcPr>
    </w:tblStylePr>
    <w:tblStylePr w:type="band1Horz">
      <w:tblPr/>
      <w:tcPr>
        <w:shd w:val="clear" w:color="auto" w:fill="CCD3DA" w:themeFill="accent5" w:themeFillTint="3F"/>
      </w:tcPr>
    </w:tblStylePr>
  </w:style>
  <w:style w:type="table" w:customStyle="1" w:styleId="161">
    <w:name w:val="Средний список 1 — акцент 6"/>
    <w:basedOn w:val="a4"/>
    <w:uiPriority w:val="65"/>
    <w:pPr>
      <w:spacing w:after="0" w:line="240" w:lineRule="auto"/>
    </w:pPr>
    <w:rPr>
      <w:color w:val="000000" w:themeColor="text1"/>
    </w:rPr>
    <w:tblPr>
      <w:tblStyleRowBandSize w:val="1"/>
      <w:tblStyleColBandSize w:val="1"/>
      <w:tblInd w:w="0" w:type="dxa"/>
      <w:tblBorders>
        <w:top w:val="single" w:sz="8" w:space="0" w:color="730E00" w:themeColor="accent6"/>
        <w:bottom w:val="single" w:sz="8" w:space="0" w:color="730E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30E00" w:themeColor="accent6"/>
        </w:tcBorders>
      </w:tcPr>
    </w:tblStylePr>
    <w:tblStylePr w:type="lastRow">
      <w:rPr>
        <w:b/>
        <w:bCs/>
        <w:color w:val="303030" w:themeColor="text2"/>
      </w:rPr>
      <w:tblPr/>
      <w:tcPr>
        <w:tcBorders>
          <w:top w:val="single" w:sz="8" w:space="0" w:color="730E00" w:themeColor="accent6"/>
          <w:bottom w:val="single" w:sz="8" w:space="0" w:color="730E00" w:themeColor="accent6"/>
        </w:tcBorders>
      </w:tcPr>
    </w:tblStylePr>
    <w:tblStylePr w:type="firstCol">
      <w:rPr>
        <w:b/>
        <w:bCs/>
      </w:rPr>
    </w:tblStylePr>
    <w:tblStylePr w:type="lastCol">
      <w:rPr>
        <w:b/>
        <w:bCs/>
      </w:rPr>
      <w:tblPr/>
      <w:tcPr>
        <w:tcBorders>
          <w:top w:val="single" w:sz="8" w:space="0" w:color="730E00" w:themeColor="accent6"/>
          <w:bottom w:val="single" w:sz="8" w:space="0" w:color="730E00" w:themeColor="accent6"/>
        </w:tcBorders>
      </w:tcPr>
    </w:tblStylePr>
    <w:tblStylePr w:type="band1Vert">
      <w:tblPr/>
      <w:tcPr>
        <w:shd w:val="clear" w:color="auto" w:fill="FFA99D" w:themeFill="accent6" w:themeFillTint="3F"/>
      </w:tcPr>
    </w:tblStylePr>
    <w:tblStylePr w:type="band1Horz">
      <w:tblPr/>
      <w:tcPr>
        <w:shd w:val="clear" w:color="auto" w:fill="FFA99D" w:themeFill="accent6" w:themeFillTint="3F"/>
      </w:tcPr>
    </w:tblStylePr>
  </w:style>
  <w:style w:type="table" w:styleId="2f6">
    <w:name w:val="Medium List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
    <w:name w:val="Средний список 2 — акцент 1"/>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
    <w:name w:val="Средний список 2 — акцент 2"/>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26056" w:themeColor="accent2"/>
        <w:left w:val="single" w:sz="8" w:space="0" w:color="726056" w:themeColor="accent2"/>
        <w:bottom w:val="single" w:sz="8" w:space="0" w:color="726056" w:themeColor="accent2"/>
        <w:right w:val="single" w:sz="8" w:space="0" w:color="72605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tblPr/>
      <w:tcPr>
        <w:tcBorders>
          <w:top w:val="single" w:sz="8" w:space="0" w:color="72605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6056" w:themeColor="accent2"/>
          <w:insideH w:val="nil"/>
          <w:insideV w:val="nil"/>
        </w:tcBorders>
        <w:shd w:val="clear" w:color="auto" w:fill="FFFFFF" w:themeFill="background1"/>
      </w:tcPr>
    </w:tblStylePr>
    <w:tblStylePr w:type="lastCol">
      <w:tblPr/>
      <w:tcPr>
        <w:tcBorders>
          <w:top w:val="nil"/>
          <w:left w:val="single" w:sz="8" w:space="0" w:color="7260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top w:val="nil"/>
          <w:bottom w:val="nil"/>
          <w:insideH w:val="nil"/>
          <w:insideV w:val="nil"/>
        </w:tcBorders>
        <w:shd w:val="clear" w:color="auto" w:fill="DED7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
    <w:name w:val="Средний список 2 — акцент 3"/>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C956E" w:themeColor="accent3"/>
        <w:left w:val="single" w:sz="8" w:space="0" w:color="AC956E" w:themeColor="accent3"/>
        <w:bottom w:val="single" w:sz="8" w:space="0" w:color="AC956E" w:themeColor="accent3"/>
        <w:right w:val="single" w:sz="8" w:space="0" w:color="AC956E"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C956E" w:themeColor="accent3"/>
          <w:right w:val="nil"/>
          <w:insideH w:val="nil"/>
          <w:insideV w:val="nil"/>
        </w:tcBorders>
        <w:shd w:val="clear" w:color="auto" w:fill="FFFFFF" w:themeFill="background1"/>
      </w:tcPr>
    </w:tblStylePr>
    <w:tblStylePr w:type="lastRow">
      <w:tblPr/>
      <w:tcPr>
        <w:tcBorders>
          <w:top w:val="single" w:sz="8" w:space="0" w:color="AC956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956E" w:themeColor="accent3"/>
          <w:insideH w:val="nil"/>
          <w:insideV w:val="nil"/>
        </w:tcBorders>
        <w:shd w:val="clear" w:color="auto" w:fill="FFFFFF" w:themeFill="background1"/>
      </w:tcPr>
    </w:tblStylePr>
    <w:tblStylePr w:type="lastCol">
      <w:tblPr/>
      <w:tcPr>
        <w:tcBorders>
          <w:top w:val="nil"/>
          <w:left w:val="single" w:sz="8" w:space="0" w:color="AC95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top w:val="nil"/>
          <w:bottom w:val="nil"/>
          <w:insideH w:val="nil"/>
          <w:insideV w:val="nil"/>
        </w:tcBorders>
        <w:shd w:val="clear" w:color="auto" w:fill="EAE4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Средний список 2 — акцент 4"/>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DA9" w:themeColor="accent4"/>
        <w:left w:val="single" w:sz="8" w:space="0" w:color="808DA9" w:themeColor="accent4"/>
        <w:bottom w:val="single" w:sz="8" w:space="0" w:color="808DA9" w:themeColor="accent4"/>
        <w:right w:val="single" w:sz="8" w:space="0" w:color="808DA9"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DA9" w:themeColor="accent4"/>
          <w:right w:val="nil"/>
          <w:insideH w:val="nil"/>
          <w:insideV w:val="nil"/>
        </w:tcBorders>
        <w:shd w:val="clear" w:color="auto" w:fill="FFFFFF" w:themeFill="background1"/>
      </w:tcPr>
    </w:tblStylePr>
    <w:tblStylePr w:type="lastRow">
      <w:tblPr/>
      <w:tcPr>
        <w:tcBorders>
          <w:top w:val="single" w:sz="8" w:space="0" w:color="808D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DA9" w:themeColor="accent4"/>
          <w:insideH w:val="nil"/>
          <w:insideV w:val="nil"/>
        </w:tcBorders>
        <w:shd w:val="clear" w:color="auto" w:fill="FFFFFF" w:themeFill="background1"/>
      </w:tcPr>
    </w:tblStylePr>
    <w:tblStylePr w:type="lastCol">
      <w:tblPr/>
      <w:tcPr>
        <w:tcBorders>
          <w:top w:val="nil"/>
          <w:left w:val="single" w:sz="8" w:space="0" w:color="808D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2E9" w:themeFill="accent4" w:themeFillTint="3F"/>
      </w:tcPr>
    </w:tblStylePr>
    <w:tblStylePr w:type="band1Horz">
      <w:tblPr/>
      <w:tcPr>
        <w:tcBorders>
          <w:top w:val="nil"/>
          <w:bottom w:val="nil"/>
          <w:insideH w:val="nil"/>
          <w:insideV w:val="nil"/>
        </w:tcBorders>
        <w:shd w:val="clear" w:color="auto" w:fill="DFE2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
    <w:name w:val="Средний список 2 — акцент 5"/>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24E5B" w:themeColor="accent5"/>
        <w:left w:val="single" w:sz="8" w:space="0" w:color="424E5B" w:themeColor="accent5"/>
        <w:bottom w:val="single" w:sz="8" w:space="0" w:color="424E5B" w:themeColor="accent5"/>
        <w:right w:val="single" w:sz="8" w:space="0" w:color="424E5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24E5B" w:themeColor="accent5"/>
          <w:right w:val="nil"/>
          <w:insideH w:val="nil"/>
          <w:insideV w:val="nil"/>
        </w:tcBorders>
        <w:shd w:val="clear" w:color="auto" w:fill="FFFFFF" w:themeFill="background1"/>
      </w:tcPr>
    </w:tblStylePr>
    <w:tblStylePr w:type="lastRow">
      <w:tblPr/>
      <w:tcPr>
        <w:tcBorders>
          <w:top w:val="single" w:sz="8" w:space="0" w:color="424E5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4E5B" w:themeColor="accent5"/>
          <w:insideH w:val="nil"/>
          <w:insideV w:val="nil"/>
        </w:tcBorders>
        <w:shd w:val="clear" w:color="auto" w:fill="FFFFFF" w:themeFill="background1"/>
      </w:tcPr>
    </w:tblStylePr>
    <w:tblStylePr w:type="lastCol">
      <w:tblPr/>
      <w:tcPr>
        <w:tcBorders>
          <w:top w:val="nil"/>
          <w:left w:val="single" w:sz="8" w:space="0" w:color="424E5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D3DA" w:themeFill="accent5" w:themeFillTint="3F"/>
      </w:tcPr>
    </w:tblStylePr>
    <w:tblStylePr w:type="band1Horz">
      <w:tblPr/>
      <w:tcPr>
        <w:tcBorders>
          <w:top w:val="nil"/>
          <w:bottom w:val="nil"/>
          <w:insideH w:val="nil"/>
          <w:insideV w:val="nil"/>
        </w:tcBorders>
        <w:shd w:val="clear" w:color="auto" w:fill="CCD3D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
    <w:name w:val="Средний список 2 — акцент 6"/>
    <w:basedOn w:val="a4"/>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30E00" w:themeColor="accent6"/>
        <w:left w:val="single" w:sz="8" w:space="0" w:color="730E00" w:themeColor="accent6"/>
        <w:bottom w:val="single" w:sz="8" w:space="0" w:color="730E00" w:themeColor="accent6"/>
        <w:right w:val="single" w:sz="8" w:space="0" w:color="730E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30E00" w:themeColor="accent6"/>
          <w:right w:val="nil"/>
          <w:insideH w:val="nil"/>
          <w:insideV w:val="nil"/>
        </w:tcBorders>
        <w:shd w:val="clear" w:color="auto" w:fill="FFFFFF" w:themeFill="background1"/>
      </w:tcPr>
    </w:tblStylePr>
    <w:tblStylePr w:type="lastRow">
      <w:tblPr/>
      <w:tcPr>
        <w:tcBorders>
          <w:top w:val="single" w:sz="8" w:space="0" w:color="730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0E00" w:themeColor="accent6"/>
          <w:insideH w:val="nil"/>
          <w:insideV w:val="nil"/>
        </w:tcBorders>
        <w:shd w:val="clear" w:color="auto" w:fill="FFFFFF" w:themeFill="background1"/>
      </w:tcPr>
    </w:tblStylePr>
    <w:tblStylePr w:type="lastCol">
      <w:tblPr/>
      <w:tcPr>
        <w:tcBorders>
          <w:top w:val="nil"/>
          <w:left w:val="single" w:sz="8" w:space="0" w:color="730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99D" w:themeFill="accent6" w:themeFillTint="3F"/>
      </w:tcPr>
    </w:tblStylePr>
    <w:tblStylePr w:type="band1Horz">
      <w:tblPr/>
      <w:tcPr>
        <w:tcBorders>
          <w:top w:val="nil"/>
          <w:bottom w:val="nil"/>
          <w:insideH w:val="nil"/>
          <w:insideV w:val="nil"/>
        </w:tcBorders>
        <w:shd w:val="clear" w:color="auto" w:fill="FFA99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Shading 1"/>
    <w:basedOn w:val="a4"/>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2">
    <w:name w:val="Средняя заливка 1 — акцент 1"/>
    <w:basedOn w:val="a4"/>
    <w:uiPriority w:val="63"/>
    <w:pPr>
      <w:spacing w:after="0" w:line="240" w:lineRule="auto"/>
    </w:pPr>
    <w:tblPr>
      <w:tblStyleRowBandSize w:val="1"/>
      <w:tblStyleColBandSize w:val="1"/>
      <w:tblInd w:w="0" w:type="dxa"/>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table" w:customStyle="1" w:styleId="122">
    <w:name w:val="Средняя заливка 1 — акцент 2"/>
    <w:basedOn w:val="a4"/>
    <w:uiPriority w:val="63"/>
    <w:pPr>
      <w:spacing w:after="0" w:line="240" w:lineRule="auto"/>
    </w:pPr>
    <w:tblPr>
      <w:tblStyleRowBandSize w:val="1"/>
      <w:tblStyleColBandSize w:val="1"/>
      <w:tblInd w:w="0" w:type="dxa"/>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shd w:val="clear" w:color="auto" w:fill="726056" w:themeFill="accent2"/>
      </w:tcPr>
    </w:tblStylePr>
    <w:tblStylePr w:type="lastRow">
      <w:pPr>
        <w:spacing w:before="0" w:after="0" w:line="240" w:lineRule="auto"/>
      </w:pPr>
      <w:rPr>
        <w:b/>
        <w:bCs/>
      </w:rPr>
      <w:tblPr/>
      <w:tcPr>
        <w:tcBorders>
          <w:top w:val="double" w:sz="6"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2" w:themeFillTint="3F"/>
      </w:tcPr>
    </w:tblStylePr>
    <w:tblStylePr w:type="band1Horz">
      <w:tblPr/>
      <w:tcPr>
        <w:tcBorders>
          <w:insideH w:val="nil"/>
          <w:insideV w:val="nil"/>
        </w:tcBorders>
        <w:shd w:val="clear" w:color="auto" w:fill="DED7D3" w:themeFill="accent2" w:themeFillTint="3F"/>
      </w:tcPr>
    </w:tblStylePr>
    <w:tblStylePr w:type="band2Horz">
      <w:tblPr/>
      <w:tcPr>
        <w:tcBorders>
          <w:insideH w:val="nil"/>
          <w:insideV w:val="nil"/>
        </w:tcBorders>
      </w:tcPr>
    </w:tblStylePr>
  </w:style>
  <w:style w:type="table" w:customStyle="1" w:styleId="132">
    <w:name w:val="Средняя заливка 1 — акцент 3"/>
    <w:basedOn w:val="a4"/>
    <w:uiPriority w:val="63"/>
    <w:pPr>
      <w:spacing w:after="0" w:line="240" w:lineRule="auto"/>
    </w:pPr>
    <w:tblPr>
      <w:tblStyleRowBandSize w:val="1"/>
      <w:tblStyleColBandSize w:val="1"/>
      <w:tblInd w:w="0" w:type="dxa"/>
      <w:tbl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single" w:sz="8" w:space="0" w:color="C0AF9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nil"/>
          <w:insideV w:val="nil"/>
        </w:tcBorders>
        <w:shd w:val="clear" w:color="auto" w:fill="AC956E" w:themeFill="accent3"/>
      </w:tcPr>
    </w:tblStylePr>
    <w:tblStylePr w:type="lastRow">
      <w:pPr>
        <w:spacing w:before="0" w:after="0" w:line="240" w:lineRule="auto"/>
      </w:pPr>
      <w:rPr>
        <w:b/>
        <w:bCs/>
      </w:rPr>
      <w:tblPr/>
      <w:tcPr>
        <w:tcBorders>
          <w:top w:val="double" w:sz="6" w:space="0" w:color="C0AF92" w:themeColor="accent3" w:themeTint="BF"/>
          <w:left w:val="single" w:sz="8" w:space="0" w:color="C0AF92" w:themeColor="accent3" w:themeTint="BF"/>
          <w:bottom w:val="single" w:sz="8" w:space="0" w:color="C0AF92" w:themeColor="accent3" w:themeTint="BF"/>
          <w:right w:val="single" w:sz="8" w:space="0" w:color="C0AF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E4DB" w:themeFill="accent3" w:themeFillTint="3F"/>
      </w:tcPr>
    </w:tblStylePr>
    <w:tblStylePr w:type="band1Horz">
      <w:tblPr/>
      <w:tcPr>
        <w:tcBorders>
          <w:insideH w:val="nil"/>
          <w:insideV w:val="nil"/>
        </w:tcBorders>
        <w:shd w:val="clear" w:color="auto" w:fill="EAE4DB" w:themeFill="accent3" w:themeFillTint="3F"/>
      </w:tcPr>
    </w:tblStylePr>
    <w:tblStylePr w:type="band2Horz">
      <w:tblPr/>
      <w:tcPr>
        <w:tcBorders>
          <w:insideH w:val="nil"/>
          <w:insideV w:val="nil"/>
        </w:tcBorders>
      </w:tcPr>
    </w:tblStylePr>
  </w:style>
  <w:style w:type="table" w:customStyle="1" w:styleId="142">
    <w:name w:val="Средняя заливка 1 — акцент 4"/>
    <w:basedOn w:val="a4"/>
    <w:uiPriority w:val="63"/>
    <w:pPr>
      <w:spacing w:after="0" w:line="240" w:lineRule="auto"/>
    </w:pPr>
    <w:tblPr>
      <w:tblStyleRowBandSize w:val="1"/>
      <w:tblStyleColBandSize w:val="1"/>
      <w:tblInd w:w="0" w:type="dxa"/>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shd w:val="clear" w:color="auto" w:fill="808DA9" w:themeFill="accent4"/>
      </w:tcPr>
    </w:tblStylePr>
    <w:tblStylePr w:type="lastRow">
      <w:pPr>
        <w:spacing w:before="0" w:after="0" w:line="240" w:lineRule="auto"/>
      </w:pPr>
      <w:rPr>
        <w:b/>
        <w:bCs/>
      </w:rPr>
      <w:tblPr/>
      <w:tcPr>
        <w:tcBorders>
          <w:top w:val="double" w:sz="6"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2E9" w:themeFill="accent4" w:themeFillTint="3F"/>
      </w:tcPr>
    </w:tblStylePr>
    <w:tblStylePr w:type="band1Horz">
      <w:tblPr/>
      <w:tcPr>
        <w:tcBorders>
          <w:insideH w:val="nil"/>
          <w:insideV w:val="nil"/>
        </w:tcBorders>
        <w:shd w:val="clear" w:color="auto" w:fill="DFE2E9" w:themeFill="accent4" w:themeFillTint="3F"/>
      </w:tcPr>
    </w:tblStylePr>
    <w:tblStylePr w:type="band2Horz">
      <w:tblPr/>
      <w:tcPr>
        <w:tcBorders>
          <w:insideH w:val="nil"/>
          <w:insideV w:val="nil"/>
        </w:tcBorders>
      </w:tcPr>
    </w:tblStylePr>
  </w:style>
  <w:style w:type="table" w:customStyle="1" w:styleId="152">
    <w:name w:val="Средняя заливка 1 — акцент 5"/>
    <w:basedOn w:val="a4"/>
    <w:uiPriority w:val="63"/>
    <w:pPr>
      <w:spacing w:after="0" w:line="240" w:lineRule="auto"/>
    </w:pPr>
    <w:tblPr>
      <w:tblStyleRowBandSize w:val="1"/>
      <w:tblStyleColBandSize w:val="1"/>
      <w:tblInd w:w="0" w:type="dxa"/>
      <w:tbl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single" w:sz="8" w:space="0" w:color="67798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nil"/>
          <w:insideV w:val="nil"/>
        </w:tcBorders>
        <w:shd w:val="clear" w:color="auto" w:fill="424E5B" w:themeFill="accent5"/>
      </w:tcPr>
    </w:tblStylePr>
    <w:tblStylePr w:type="lastRow">
      <w:pPr>
        <w:spacing w:before="0" w:after="0" w:line="240" w:lineRule="auto"/>
      </w:pPr>
      <w:rPr>
        <w:b/>
        <w:bCs/>
      </w:rPr>
      <w:tblPr/>
      <w:tcPr>
        <w:tcBorders>
          <w:top w:val="double" w:sz="6" w:space="0" w:color="67798E" w:themeColor="accent5" w:themeTint="BF"/>
          <w:left w:val="single" w:sz="8" w:space="0" w:color="67798E" w:themeColor="accent5" w:themeTint="BF"/>
          <w:bottom w:val="single" w:sz="8" w:space="0" w:color="67798E" w:themeColor="accent5" w:themeTint="BF"/>
          <w:right w:val="single" w:sz="8" w:space="0" w:color="67798E"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D3DA" w:themeFill="accent5" w:themeFillTint="3F"/>
      </w:tcPr>
    </w:tblStylePr>
    <w:tblStylePr w:type="band1Horz">
      <w:tblPr/>
      <w:tcPr>
        <w:tcBorders>
          <w:insideH w:val="nil"/>
          <w:insideV w:val="nil"/>
        </w:tcBorders>
        <w:shd w:val="clear" w:color="auto" w:fill="CCD3DA" w:themeFill="accent5" w:themeFillTint="3F"/>
      </w:tcPr>
    </w:tblStylePr>
    <w:tblStylePr w:type="band2Horz">
      <w:tblPr/>
      <w:tcPr>
        <w:tcBorders>
          <w:insideH w:val="nil"/>
          <w:insideV w:val="nil"/>
        </w:tcBorders>
      </w:tcPr>
    </w:tblStylePr>
  </w:style>
  <w:style w:type="table" w:customStyle="1" w:styleId="162">
    <w:name w:val="Средняя заливка 1 — акцент 6"/>
    <w:basedOn w:val="a4"/>
    <w:uiPriority w:val="63"/>
    <w:pPr>
      <w:spacing w:after="0" w:line="240" w:lineRule="auto"/>
    </w:pPr>
    <w:tblPr>
      <w:tblStyleRowBandSize w:val="1"/>
      <w:tblStyleColBandSize w:val="1"/>
      <w:tblInd w:w="0" w:type="dxa"/>
      <w:tbl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single" w:sz="8" w:space="0" w:color="D61A0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shd w:val="clear" w:color="auto" w:fill="730E00" w:themeFill="accent6"/>
      </w:tcPr>
    </w:tblStylePr>
    <w:tblStylePr w:type="lastRow">
      <w:pPr>
        <w:spacing w:before="0" w:after="0" w:line="240" w:lineRule="auto"/>
      </w:pPr>
      <w:rPr>
        <w:b/>
        <w:bCs/>
      </w:rPr>
      <w:tblPr/>
      <w:tcPr>
        <w:tcBorders>
          <w:top w:val="double" w:sz="6"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99D" w:themeFill="accent6" w:themeFillTint="3F"/>
      </w:tcPr>
    </w:tblStylePr>
    <w:tblStylePr w:type="band1Horz">
      <w:tblPr/>
      <w:tcPr>
        <w:tcBorders>
          <w:insideH w:val="nil"/>
          <w:insideV w:val="nil"/>
        </w:tcBorders>
        <w:shd w:val="clear" w:color="auto" w:fill="FFA99D" w:themeFill="accent6" w:themeFillTint="3F"/>
      </w:tcPr>
    </w:tblStylePr>
    <w:tblStylePr w:type="band2Horz">
      <w:tblPr/>
      <w:tcPr>
        <w:tcBorders>
          <w:insideH w:val="nil"/>
          <w:insideV w:val="nil"/>
        </w:tcBorders>
      </w:tcPr>
    </w:tblStylePr>
  </w:style>
  <w:style w:type="table" w:styleId="2f7">
    <w:name w:val="Medium Shading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010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0101" w:themeFill="accent1"/>
      </w:tcPr>
    </w:tblStylePr>
    <w:tblStylePr w:type="lastCol">
      <w:rPr>
        <w:b/>
        <w:bCs/>
        <w:color w:val="FFFFFF" w:themeColor="background1"/>
      </w:rPr>
      <w:tblPr/>
      <w:tcPr>
        <w:tcBorders>
          <w:left w:val="nil"/>
          <w:right w:val="nil"/>
          <w:insideH w:val="nil"/>
          <w:insideV w:val="nil"/>
        </w:tcBorders>
        <w:shd w:val="clear" w:color="auto" w:fill="AD010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редняя заливка 2 — акцент 2"/>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60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6056" w:themeFill="accent2"/>
      </w:tcPr>
    </w:tblStylePr>
    <w:tblStylePr w:type="lastCol">
      <w:rPr>
        <w:b/>
        <w:bCs/>
        <w:color w:val="FFFFFF" w:themeColor="background1"/>
      </w:rPr>
      <w:tblPr/>
      <w:tcPr>
        <w:tcBorders>
          <w:left w:val="nil"/>
          <w:right w:val="nil"/>
          <w:insideH w:val="nil"/>
          <w:insideV w:val="nil"/>
        </w:tcBorders>
        <w:shd w:val="clear" w:color="auto" w:fill="7260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2">
    <w:name w:val="Средняя заливка 2 — акцент 3"/>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95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956E" w:themeFill="accent3"/>
      </w:tcPr>
    </w:tblStylePr>
    <w:tblStylePr w:type="lastCol">
      <w:rPr>
        <w:b/>
        <w:bCs/>
        <w:color w:val="FFFFFF" w:themeColor="background1"/>
      </w:rPr>
      <w:tblPr/>
      <w:tcPr>
        <w:tcBorders>
          <w:left w:val="nil"/>
          <w:right w:val="nil"/>
          <w:insideH w:val="nil"/>
          <w:insideV w:val="nil"/>
        </w:tcBorders>
        <w:shd w:val="clear" w:color="auto" w:fill="AC95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D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DA9" w:themeFill="accent4"/>
      </w:tcPr>
    </w:tblStylePr>
    <w:tblStylePr w:type="lastCol">
      <w:rPr>
        <w:b/>
        <w:bCs/>
        <w:color w:val="FFFFFF" w:themeColor="background1"/>
      </w:rPr>
      <w:tblPr/>
      <w:tcPr>
        <w:tcBorders>
          <w:left w:val="nil"/>
          <w:right w:val="nil"/>
          <w:insideH w:val="nil"/>
          <w:insideV w:val="nil"/>
        </w:tcBorders>
        <w:shd w:val="clear" w:color="auto" w:fill="808D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4E5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4E5B" w:themeFill="accent5"/>
      </w:tcPr>
    </w:tblStylePr>
    <w:tblStylePr w:type="lastCol">
      <w:rPr>
        <w:b/>
        <w:bCs/>
        <w:color w:val="FFFFFF" w:themeColor="background1"/>
      </w:rPr>
      <w:tblPr/>
      <w:tcPr>
        <w:tcBorders>
          <w:left w:val="nil"/>
          <w:right w:val="nil"/>
          <w:insideH w:val="nil"/>
          <w:insideV w:val="nil"/>
        </w:tcBorders>
        <w:shd w:val="clear" w:color="auto" w:fill="424E5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
    <w:basedOn w:val="a4"/>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0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0E00" w:themeFill="accent6"/>
      </w:tcPr>
    </w:tblStylePr>
    <w:tblStylePr w:type="lastCol">
      <w:rPr>
        <w:b/>
        <w:bCs/>
        <w:color w:val="FFFFFF" w:themeColor="background1"/>
      </w:rPr>
      <w:tblPr/>
      <w:tcPr>
        <w:tcBorders>
          <w:left w:val="nil"/>
          <w:right w:val="nil"/>
          <w:insideH w:val="nil"/>
          <w:insideV w:val="nil"/>
        </w:tcBorders>
        <w:shd w:val="clear" w:color="auto" w:fill="730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7">
    <w:name w:val="Заголовок сообщения"/>
    <w:basedOn w:val="a2"/>
    <w:link w:val="affff8"/>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affff8">
    <w:name w:val="Заголовок сообщения (знак)"/>
    <w:basedOn w:val="a3"/>
    <w:link w:val="affff7"/>
    <w:uiPriority w:val="99"/>
    <w:semiHidden/>
    <w:rPr>
      <w:rFonts w:asciiTheme="majorHAnsi" w:eastAsiaTheme="majorEastAsia" w:hAnsiTheme="majorHAnsi" w:cstheme="majorBidi"/>
      <w:sz w:val="24"/>
      <w:shd w:val="pct20" w:color="auto" w:fill="auto"/>
    </w:rPr>
  </w:style>
  <w:style w:type="paragraph" w:styleId="affff9">
    <w:name w:val="Normal (Web)"/>
    <w:basedOn w:val="a2"/>
    <w:uiPriority w:val="99"/>
    <w:unhideWhenUsed/>
    <w:rPr>
      <w:rFonts w:ascii="Times New Roman" w:hAnsi="Times New Roman" w:cs="Times New Roman"/>
      <w:sz w:val="24"/>
    </w:rPr>
  </w:style>
  <w:style w:type="paragraph" w:styleId="affffa">
    <w:name w:val="Normal Indent"/>
    <w:basedOn w:val="a2"/>
    <w:uiPriority w:val="99"/>
    <w:semiHidden/>
    <w:unhideWhenUsed/>
    <w:pPr>
      <w:ind w:left="720"/>
    </w:pPr>
  </w:style>
  <w:style w:type="paragraph" w:customStyle="1" w:styleId="affffb">
    <w:name w:val="Заголовок заметки"/>
    <w:basedOn w:val="a2"/>
    <w:next w:val="a2"/>
    <w:link w:val="affffc"/>
    <w:uiPriority w:val="99"/>
    <w:semiHidden/>
    <w:unhideWhenUsed/>
    <w:pPr>
      <w:spacing w:after="0" w:line="240" w:lineRule="auto"/>
    </w:pPr>
  </w:style>
  <w:style w:type="character" w:customStyle="1" w:styleId="affffc">
    <w:name w:val="Заголовок заметки (знак)"/>
    <w:basedOn w:val="a3"/>
    <w:link w:val="affffb"/>
    <w:uiPriority w:val="99"/>
    <w:semiHidden/>
  </w:style>
  <w:style w:type="character" w:customStyle="1" w:styleId="affffd">
    <w:name w:val="номер страницы"/>
    <w:basedOn w:val="a3"/>
    <w:uiPriority w:val="99"/>
    <w:semiHidden/>
    <w:unhideWhenUsed/>
  </w:style>
  <w:style w:type="paragraph" w:customStyle="1" w:styleId="affffe">
    <w:name w:val="Обычный текст"/>
    <w:basedOn w:val="a2"/>
    <w:link w:val="afffff"/>
    <w:uiPriority w:val="99"/>
    <w:semiHidden/>
    <w:unhideWhenUsed/>
    <w:pPr>
      <w:spacing w:after="0" w:line="240" w:lineRule="auto"/>
    </w:pPr>
    <w:rPr>
      <w:rFonts w:ascii="Consolas" w:hAnsi="Consolas" w:cs="Consolas"/>
      <w:sz w:val="21"/>
    </w:rPr>
  </w:style>
  <w:style w:type="character" w:customStyle="1" w:styleId="afffff">
    <w:name w:val="Обычный текст (знак)"/>
    <w:basedOn w:val="a3"/>
    <w:link w:val="affffe"/>
    <w:uiPriority w:val="99"/>
    <w:semiHidden/>
    <w:rPr>
      <w:rFonts w:ascii="Consolas" w:hAnsi="Consolas" w:cs="Consolas"/>
      <w:sz w:val="21"/>
    </w:rPr>
  </w:style>
  <w:style w:type="paragraph" w:styleId="afffff0">
    <w:name w:val="Salutation"/>
    <w:basedOn w:val="a2"/>
    <w:next w:val="a2"/>
    <w:link w:val="afffff1"/>
    <w:uiPriority w:val="99"/>
    <w:semiHidden/>
    <w:unhideWhenUsed/>
  </w:style>
  <w:style w:type="character" w:customStyle="1" w:styleId="afffff1">
    <w:name w:val="Приветствие Знак"/>
    <w:basedOn w:val="a3"/>
    <w:link w:val="afffff0"/>
    <w:uiPriority w:val="99"/>
    <w:semiHidden/>
  </w:style>
  <w:style w:type="character" w:customStyle="1" w:styleId="affc">
    <w:name w:val="Подпись Знак"/>
    <w:basedOn w:val="a3"/>
    <w:link w:val="affb"/>
    <w:uiPriority w:val="9"/>
    <w:rPr>
      <w:kern w:val="20"/>
    </w:rPr>
  </w:style>
  <w:style w:type="character" w:styleId="afffff2">
    <w:name w:val="Strong"/>
    <w:basedOn w:val="a3"/>
    <w:uiPriority w:val="1"/>
    <w:unhideWhenUsed/>
    <w:qFormat/>
    <w:rPr>
      <w:b/>
      <w:bCs/>
    </w:rPr>
  </w:style>
  <w:style w:type="paragraph" w:styleId="afffff3">
    <w:name w:val="Subtitle"/>
    <w:basedOn w:val="a2"/>
    <w:next w:val="a2"/>
    <w:link w:val="afffff4"/>
    <w:uiPriority w:val="19"/>
    <w:unhideWhenUsed/>
    <w:qFormat/>
    <w:pPr>
      <w:numPr>
        <w:ilvl w:val="1"/>
      </w:numPr>
      <w:ind w:left="144" w:right="720"/>
    </w:pPr>
    <w:rPr>
      <w:rFonts w:asciiTheme="majorHAnsi" w:eastAsiaTheme="majorEastAsia" w:hAnsiTheme="majorHAnsi" w:cstheme="majorBidi"/>
      <w:caps/>
      <w:color w:val="AD0101" w:themeColor="accent1"/>
      <w:sz w:val="64"/>
    </w:rPr>
  </w:style>
  <w:style w:type="character" w:customStyle="1" w:styleId="afffff4">
    <w:name w:val="Подзаголовок Знак"/>
    <w:basedOn w:val="a3"/>
    <w:link w:val="afffff3"/>
    <w:uiPriority w:val="19"/>
    <w:rPr>
      <w:rFonts w:asciiTheme="majorHAnsi" w:eastAsiaTheme="majorEastAsia" w:hAnsiTheme="majorHAnsi" w:cstheme="majorBidi"/>
      <w:caps/>
      <w:color w:val="AD0101" w:themeColor="accent1"/>
      <w:kern w:val="20"/>
      <w:sz w:val="64"/>
    </w:rPr>
  </w:style>
  <w:style w:type="character" w:styleId="afffff5">
    <w:name w:val="Subtle Emphasis"/>
    <w:basedOn w:val="a3"/>
    <w:uiPriority w:val="19"/>
    <w:semiHidden/>
    <w:unhideWhenUsed/>
    <w:rPr>
      <w:i/>
      <w:iCs/>
      <w:color w:val="808080" w:themeColor="text1" w:themeTint="7F"/>
    </w:rPr>
  </w:style>
  <w:style w:type="character" w:styleId="afffff6">
    <w:name w:val="Subtle Reference"/>
    <w:basedOn w:val="a3"/>
    <w:uiPriority w:val="31"/>
    <w:semiHidden/>
    <w:unhideWhenUsed/>
    <w:rPr>
      <w:smallCaps/>
      <w:color w:val="726056" w:themeColor="accent2"/>
      <w:u w:val="single"/>
    </w:rPr>
  </w:style>
  <w:style w:type="table" w:styleId="1e">
    <w:name w:val="Table 3D effects 1"/>
    <w:basedOn w:val="a4"/>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4"/>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4"/>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Classic 1"/>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4"/>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4"/>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4"/>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Grid 1"/>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4"/>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3">
    <w:name w:val="Табличный список 1"/>
    <w:basedOn w:val="a4"/>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d">
    <w:name w:val="Табличный список 2"/>
    <w:basedOn w:val="a4"/>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Табличный список 3"/>
    <w:basedOn w:val="a4"/>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f0">
    <w:name w:val="Табличный список 4"/>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f">
    <w:name w:val="Табличный список 5"/>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a">
    <w:name w:val="Табличный список 6"/>
    <w:basedOn w:val="a4"/>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чный список 7"/>
    <w:basedOn w:val="a4"/>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чный список 8"/>
    <w:basedOn w:val="a4"/>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9">
    <w:name w:val="таблица ссылок"/>
    <w:basedOn w:val="a2"/>
    <w:next w:val="a2"/>
    <w:uiPriority w:val="99"/>
    <w:semiHidden/>
    <w:unhideWhenUsed/>
    <w:pPr>
      <w:spacing w:after="0"/>
      <w:ind w:left="220" w:hanging="220"/>
    </w:pPr>
  </w:style>
  <w:style w:type="paragraph" w:customStyle="1" w:styleId="afffffa">
    <w:name w:val="список иллюстраций"/>
    <w:basedOn w:val="a2"/>
    <w:next w:val="a2"/>
    <w:uiPriority w:val="99"/>
    <w:semiHidden/>
    <w:unhideWhenUsed/>
    <w:pPr>
      <w:spacing w:after="0"/>
    </w:pPr>
  </w:style>
  <w:style w:type="table" w:styleId="afffffb">
    <w:name w:val="Table Professional"/>
    <w:basedOn w:val="a4"/>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imple 1"/>
    <w:basedOn w:val="a4"/>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4"/>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4"/>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4"/>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4"/>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6">
    <w:name w:val="Заголовок1"/>
    <w:basedOn w:val="a2"/>
    <w:next w:val="a2"/>
    <w:link w:val="afffffd"/>
    <w:uiPriority w:val="19"/>
    <w:unhideWhenUsed/>
    <w:qFormat/>
    <w:pPr>
      <w:pBdr>
        <w:top w:val="single" w:sz="4" w:space="10" w:color="AD0101" w:themeColor="accent1"/>
        <w:left w:val="single" w:sz="4" w:space="5" w:color="AD0101" w:themeColor="accent1"/>
        <w:bottom w:val="single" w:sz="4" w:space="10" w:color="AD0101" w:themeColor="accent1"/>
        <w:right w:val="single" w:sz="4" w:space="5" w:color="AD0101" w:themeColor="accent1"/>
      </w:pBdr>
      <w:shd w:val="clear" w:color="auto" w:fill="AD0101"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afffffd">
    <w:name w:val="Заголовок (знак)"/>
    <w:basedOn w:val="a3"/>
    <w:link w:val="1f6"/>
    <w:uiPriority w:val="19"/>
    <w:rPr>
      <w:rFonts w:asciiTheme="majorHAnsi" w:eastAsiaTheme="majorEastAsia" w:hAnsiTheme="majorHAnsi" w:cstheme="majorBidi"/>
      <w:caps/>
      <w:color w:val="FFFFFF" w:themeColor="background1"/>
      <w:spacing w:val="40"/>
      <w:kern w:val="28"/>
      <w:sz w:val="136"/>
      <w:shd w:val="clear" w:color="auto" w:fill="AD0101" w:themeFill="accent1"/>
      <w14:ligatures w14:val="standardContextual"/>
    </w:rPr>
  </w:style>
  <w:style w:type="paragraph" w:customStyle="1" w:styleId="afffffe">
    <w:name w:val="заголовок таблицы ссылок"/>
    <w:basedOn w:val="a2"/>
    <w:next w:val="a2"/>
    <w:uiPriority w:val="99"/>
    <w:semiHidden/>
    <w:unhideWhenUsed/>
    <w:pPr>
      <w:spacing w:before="120"/>
    </w:pPr>
    <w:rPr>
      <w:rFonts w:asciiTheme="majorHAnsi" w:eastAsiaTheme="majorEastAsia" w:hAnsiTheme="majorHAnsi" w:cstheme="majorBidi"/>
      <w:b/>
      <w:bCs/>
      <w:sz w:val="24"/>
    </w:rPr>
  </w:style>
  <w:style w:type="paragraph" w:customStyle="1" w:styleId="1f7">
    <w:name w:val="оглавление 1"/>
    <w:basedOn w:val="a2"/>
    <w:next w:val="a2"/>
    <w:autoRedefine/>
    <w:uiPriority w:val="39"/>
    <w:unhideWhenUsed/>
    <w:pPr>
      <w:tabs>
        <w:tab w:val="right" w:leader="underscore" w:pos="9090"/>
      </w:tabs>
      <w:spacing w:after="100"/>
    </w:pPr>
    <w:rPr>
      <w:color w:val="7F7F7F" w:themeColor="text1" w:themeTint="80"/>
      <w:sz w:val="22"/>
    </w:rPr>
  </w:style>
  <w:style w:type="paragraph" w:customStyle="1" w:styleId="2ff0">
    <w:name w:val="оглавление 2"/>
    <w:basedOn w:val="a2"/>
    <w:next w:val="a2"/>
    <w:autoRedefine/>
    <w:uiPriority w:val="39"/>
    <w:unhideWhenUsed/>
    <w:pPr>
      <w:spacing w:after="100"/>
      <w:ind w:left="220"/>
    </w:pPr>
  </w:style>
  <w:style w:type="paragraph" w:customStyle="1" w:styleId="3fb">
    <w:name w:val="оглавление 3"/>
    <w:basedOn w:val="a2"/>
    <w:next w:val="a2"/>
    <w:autoRedefine/>
    <w:uiPriority w:val="39"/>
    <w:semiHidden/>
    <w:unhideWhenUsed/>
    <w:pPr>
      <w:spacing w:after="100"/>
      <w:ind w:left="440"/>
    </w:pPr>
  </w:style>
  <w:style w:type="paragraph" w:customStyle="1" w:styleId="4f1">
    <w:name w:val="оглавление 4"/>
    <w:basedOn w:val="a2"/>
    <w:next w:val="a2"/>
    <w:autoRedefine/>
    <w:uiPriority w:val="39"/>
    <w:semiHidden/>
    <w:unhideWhenUsed/>
    <w:pPr>
      <w:spacing w:after="100"/>
      <w:ind w:left="660"/>
    </w:pPr>
  </w:style>
  <w:style w:type="paragraph" w:customStyle="1" w:styleId="5f0">
    <w:name w:val="оглавление 5"/>
    <w:basedOn w:val="a2"/>
    <w:next w:val="a2"/>
    <w:autoRedefine/>
    <w:uiPriority w:val="39"/>
    <w:semiHidden/>
    <w:unhideWhenUsed/>
    <w:pPr>
      <w:spacing w:after="100"/>
      <w:ind w:left="880"/>
    </w:pPr>
  </w:style>
  <w:style w:type="paragraph" w:customStyle="1" w:styleId="6b">
    <w:name w:val="оглавление 6"/>
    <w:basedOn w:val="a2"/>
    <w:next w:val="a2"/>
    <w:autoRedefine/>
    <w:uiPriority w:val="39"/>
    <w:semiHidden/>
    <w:unhideWhenUsed/>
    <w:pPr>
      <w:spacing w:after="100"/>
      <w:ind w:left="1100"/>
    </w:pPr>
  </w:style>
  <w:style w:type="paragraph" w:customStyle="1" w:styleId="74">
    <w:name w:val="оглавление 7"/>
    <w:basedOn w:val="a2"/>
    <w:next w:val="a2"/>
    <w:autoRedefine/>
    <w:uiPriority w:val="39"/>
    <w:semiHidden/>
    <w:unhideWhenUsed/>
    <w:pPr>
      <w:spacing w:after="100"/>
      <w:ind w:left="1320"/>
    </w:pPr>
  </w:style>
  <w:style w:type="paragraph" w:customStyle="1" w:styleId="84">
    <w:name w:val="оглавление 8"/>
    <w:basedOn w:val="a2"/>
    <w:next w:val="a2"/>
    <w:autoRedefine/>
    <w:uiPriority w:val="39"/>
    <w:semiHidden/>
    <w:unhideWhenUsed/>
    <w:pPr>
      <w:spacing w:after="100"/>
      <w:ind w:left="1540"/>
    </w:pPr>
  </w:style>
  <w:style w:type="paragraph" w:customStyle="1" w:styleId="92">
    <w:name w:val="оглавление 9"/>
    <w:basedOn w:val="a2"/>
    <w:next w:val="a2"/>
    <w:autoRedefine/>
    <w:uiPriority w:val="39"/>
    <w:semiHidden/>
    <w:unhideWhenUsed/>
    <w:pPr>
      <w:spacing w:after="100"/>
      <w:ind w:left="1760"/>
    </w:pPr>
  </w:style>
  <w:style w:type="paragraph" w:styleId="affffff">
    <w:name w:val="TOC Heading"/>
    <w:aliases w:val="Заголовок врезки"/>
    <w:basedOn w:val="11"/>
    <w:next w:val="a2"/>
    <w:uiPriority w:val="39"/>
    <w:unhideWhenUsed/>
    <w:qFormat/>
    <w:pPr>
      <w:outlineLvl w:val="9"/>
    </w:pPr>
  </w:style>
  <w:style w:type="character" w:customStyle="1" w:styleId="ac">
    <w:name w:val="Без интервала Знак"/>
    <w:basedOn w:val="a3"/>
    <w:link w:val="ab"/>
    <w:uiPriority w:val="1"/>
  </w:style>
  <w:style w:type="paragraph" w:customStyle="1" w:styleId="affffff0">
    <w:name w:val="Заголовок таблицы"/>
    <w:basedOn w:val="a2"/>
    <w:uiPriority w:val="1"/>
    <w:qFormat/>
    <w:pPr>
      <w:keepNext/>
      <w:pBdr>
        <w:top w:val="single" w:sz="4" w:space="1" w:color="AD0101" w:themeColor="accent1"/>
        <w:left w:val="single" w:sz="4" w:space="6" w:color="AD0101" w:themeColor="accent1"/>
        <w:bottom w:val="single" w:sz="4" w:space="1" w:color="AD0101" w:themeColor="accent1"/>
        <w:right w:val="single" w:sz="4" w:space="6" w:color="AD0101" w:themeColor="accent1"/>
      </w:pBdr>
      <w:shd w:val="clear" w:color="auto" w:fill="AD0101"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affffff1">
    <w:name w:val="Текст таблицы (десятичные числа)"/>
    <w:basedOn w:val="a2"/>
    <w:uiPriority w:val="1"/>
    <w:qFormat/>
    <w:pPr>
      <w:tabs>
        <w:tab w:val="decimal" w:pos="1252"/>
      </w:tabs>
      <w:spacing w:before="60" w:after="60" w:line="240" w:lineRule="auto"/>
      <w:ind w:left="144" w:right="144"/>
    </w:pPr>
  </w:style>
  <w:style w:type="table" w:customStyle="1" w:styleId="affffff2">
    <w:name w:val="Финансовая таблица"/>
    <w:basedOn w:val="a4"/>
    <w:uiPriority w:val="99"/>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AD0101" w:themeColor="accent1"/>
        <w:sz w:val="22"/>
      </w:rPr>
    </w:tblStylePr>
    <w:tblStylePr w:type="firstCol">
      <w:rPr>
        <w:b/>
      </w:rPr>
    </w:tblStylePr>
  </w:style>
  <w:style w:type="numbering" w:customStyle="1" w:styleId="a0">
    <w:name w:val="Ежегодный отчет"/>
    <w:uiPriority w:val="99"/>
    <w:pPr>
      <w:numPr>
        <w:numId w:val="17"/>
      </w:numPr>
    </w:pPr>
  </w:style>
  <w:style w:type="paragraph" w:customStyle="1" w:styleId="affffff3">
    <w:name w:val="Аннотация"/>
    <w:basedOn w:val="a2"/>
    <w:uiPriority w:val="19"/>
    <w:qFormat/>
    <w:pPr>
      <w:spacing w:before="360" w:after="600"/>
      <w:ind w:left="144" w:right="144"/>
    </w:pPr>
    <w:rPr>
      <w:i/>
      <w:iCs/>
      <w:color w:val="7F7F7F" w:themeColor="text1" w:themeTint="80"/>
      <w:sz w:val="28"/>
    </w:rPr>
  </w:style>
  <w:style w:type="paragraph" w:customStyle="1" w:styleId="affffff4">
    <w:name w:val="Текст таблицы"/>
    <w:basedOn w:val="a2"/>
    <w:uiPriority w:val="9"/>
    <w:qFormat/>
    <w:pPr>
      <w:spacing w:before="60" w:after="60" w:line="240" w:lineRule="auto"/>
      <w:ind w:left="144" w:right="144"/>
    </w:pPr>
  </w:style>
  <w:style w:type="paragraph" w:customStyle="1" w:styleId="affffff5">
    <w:name w:val="Обратный заголовок таблицы"/>
    <w:basedOn w:val="a2"/>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fffff6">
    <w:name w:val="Верхний колонтитул с затенением"/>
    <w:basedOn w:val="a2"/>
    <w:uiPriority w:val="19"/>
    <w:qFormat/>
    <w:pPr>
      <w:pBdr>
        <w:top w:val="single" w:sz="2" w:space="2" w:color="AD0101" w:themeColor="accent1"/>
        <w:left w:val="single" w:sz="2" w:space="6" w:color="AD0101" w:themeColor="accent1"/>
        <w:bottom w:val="single" w:sz="2" w:space="2" w:color="AD0101" w:themeColor="accent1"/>
        <w:right w:val="single" w:sz="2" w:space="6" w:color="AD0101" w:themeColor="accent1"/>
      </w:pBdr>
      <w:shd w:val="clear" w:color="auto" w:fill="AD0101"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1f8">
    <w:name w:val="toc 1"/>
    <w:basedOn w:val="a2"/>
    <w:next w:val="a2"/>
    <w:autoRedefine/>
    <w:uiPriority w:val="39"/>
    <w:unhideWhenUsed/>
    <w:rsid w:val="00F91951"/>
    <w:pPr>
      <w:spacing w:after="100"/>
    </w:pPr>
  </w:style>
  <w:style w:type="paragraph" w:styleId="2ff1">
    <w:name w:val="toc 2"/>
    <w:basedOn w:val="a2"/>
    <w:next w:val="a2"/>
    <w:autoRedefine/>
    <w:uiPriority w:val="39"/>
    <w:unhideWhenUsed/>
    <w:rsid w:val="00F91951"/>
    <w:pPr>
      <w:spacing w:after="100"/>
      <w:ind w:left="200"/>
    </w:pPr>
  </w:style>
  <w:style w:type="paragraph" w:styleId="affffff7">
    <w:name w:val="header"/>
    <w:basedOn w:val="a2"/>
    <w:link w:val="affffff8"/>
    <w:uiPriority w:val="99"/>
    <w:unhideWhenUsed/>
    <w:rsid w:val="00F91951"/>
    <w:pPr>
      <w:tabs>
        <w:tab w:val="center" w:pos="4677"/>
        <w:tab w:val="right" w:pos="9355"/>
      </w:tabs>
      <w:spacing w:before="0" w:after="0" w:line="240" w:lineRule="auto"/>
    </w:pPr>
  </w:style>
  <w:style w:type="character" w:customStyle="1" w:styleId="affffff8">
    <w:name w:val="Верхний колонтитул Знак"/>
    <w:basedOn w:val="a3"/>
    <w:link w:val="affffff7"/>
    <w:uiPriority w:val="99"/>
    <w:rsid w:val="00F91951"/>
    <w:rPr>
      <w:kern w:val="20"/>
    </w:rPr>
  </w:style>
  <w:style w:type="paragraph" w:styleId="affffff9">
    <w:name w:val="footer"/>
    <w:basedOn w:val="a2"/>
    <w:link w:val="affffffa"/>
    <w:uiPriority w:val="99"/>
    <w:unhideWhenUsed/>
    <w:rsid w:val="00F91951"/>
    <w:pPr>
      <w:tabs>
        <w:tab w:val="center" w:pos="4677"/>
        <w:tab w:val="right" w:pos="9355"/>
      </w:tabs>
      <w:spacing w:before="0" w:after="0" w:line="240" w:lineRule="auto"/>
    </w:pPr>
  </w:style>
  <w:style w:type="character" w:customStyle="1" w:styleId="affffffa">
    <w:name w:val="Нижний колонтитул Знак"/>
    <w:basedOn w:val="a3"/>
    <w:link w:val="affffff9"/>
    <w:uiPriority w:val="99"/>
    <w:rsid w:val="00F91951"/>
    <w:rPr>
      <w:kern w:val="20"/>
    </w:rPr>
  </w:style>
  <w:style w:type="character" w:customStyle="1" w:styleId="22">
    <w:name w:val="Заголовок 2 Знак"/>
    <w:basedOn w:val="a3"/>
    <w:link w:val="21"/>
    <w:rsid w:val="00CA0A1A"/>
    <w:rPr>
      <w:rFonts w:asciiTheme="majorHAnsi" w:eastAsiaTheme="majorEastAsia" w:hAnsiTheme="majorHAnsi" w:cstheme="majorBidi"/>
      <w:b/>
      <w:bCs/>
      <w:color w:val="AD0101" w:themeColor="accent1"/>
      <w:kern w:val="20"/>
      <w:sz w:val="26"/>
      <w:szCs w:val="26"/>
    </w:rPr>
  </w:style>
  <w:style w:type="character" w:customStyle="1" w:styleId="10">
    <w:name w:val="Заголовок 1 Знак"/>
    <w:basedOn w:val="a3"/>
    <w:link w:val="1"/>
    <w:rsid w:val="00CA0A1A"/>
    <w:rPr>
      <w:rFonts w:asciiTheme="majorHAnsi" w:eastAsiaTheme="majorEastAsia" w:hAnsiTheme="majorHAnsi" w:cstheme="majorBidi"/>
      <w:b/>
      <w:bCs/>
      <w:color w:val="810000" w:themeColor="accent1" w:themeShade="BF"/>
      <w:kern w:val="20"/>
      <w:sz w:val="28"/>
      <w:szCs w:val="28"/>
    </w:rPr>
  </w:style>
  <w:style w:type="character" w:customStyle="1" w:styleId="32">
    <w:name w:val="Заголовок 3 Знак"/>
    <w:basedOn w:val="a3"/>
    <w:link w:val="31"/>
    <w:rsid w:val="00CA0A1A"/>
    <w:rPr>
      <w:rFonts w:asciiTheme="majorHAnsi" w:eastAsiaTheme="majorEastAsia" w:hAnsiTheme="majorHAnsi" w:cstheme="majorBidi"/>
      <w:b/>
      <w:bCs/>
      <w:color w:val="AD0101" w:themeColor="accent1"/>
      <w:kern w:val="20"/>
    </w:rPr>
  </w:style>
  <w:style w:type="table" w:styleId="-10">
    <w:name w:val="Light List Accent 1"/>
    <w:basedOn w:val="a4"/>
    <w:uiPriority w:val="61"/>
    <w:rsid w:val="00F266B8"/>
    <w:pPr>
      <w:spacing w:before="0" w:after="0" w:line="240" w:lineRule="auto"/>
    </w:pPr>
    <w:rPr>
      <w:rFonts w:ascii="Times" w:eastAsia="Times" w:hAnsi="Times" w:cs="Times New Roman"/>
      <w:color w:val="auto"/>
      <w:lang w:eastAsia="en-US"/>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table" w:styleId="3-1">
    <w:name w:val="Medium Grid 3 Accent 1"/>
    <w:basedOn w:val="a4"/>
    <w:uiPriority w:val="69"/>
    <w:rsid w:val="00E07732"/>
    <w:pPr>
      <w:spacing w:before="0" w:after="0" w:line="240" w:lineRule="auto"/>
    </w:pPr>
    <w:rPr>
      <w:rFonts w:ascii="Times" w:eastAsia="Times" w:hAnsi="Times" w:cs="Times New Roman"/>
      <w:color w:val="auto"/>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customStyle="1" w:styleId="-421">
    <w:name w:val="Таблица-сетка 4 — акцент 21"/>
    <w:basedOn w:val="a4"/>
    <w:uiPriority w:val="49"/>
    <w:rsid w:val="00772D7D"/>
    <w:pPr>
      <w:spacing w:after="0" w:line="240" w:lineRule="auto"/>
    </w:p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insideV w:val="nil"/>
        </w:tcBorders>
        <w:shd w:val="clear" w:color="auto" w:fill="726056" w:themeFill="accent2"/>
      </w:tcPr>
    </w:tblStylePr>
    <w:tblStylePr w:type="lastRow">
      <w:rPr>
        <w:b/>
        <w:bCs/>
      </w:rPr>
      <w:tblPr/>
      <w:tcPr>
        <w:tcBorders>
          <w:top w:val="double" w:sz="4" w:space="0" w:color="726056" w:themeColor="accent2"/>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4210">
    <w:name w:val="Список-таблица 4 — акцент 21"/>
    <w:basedOn w:val="a4"/>
    <w:uiPriority w:val="49"/>
    <w:rsid w:val="00F97371"/>
    <w:pPr>
      <w:spacing w:after="0" w:line="240" w:lineRule="auto"/>
    </w:p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26056" w:themeColor="accent2"/>
          <w:left w:val="single" w:sz="4" w:space="0" w:color="726056" w:themeColor="accent2"/>
          <w:bottom w:val="single" w:sz="4" w:space="0" w:color="726056" w:themeColor="accent2"/>
          <w:right w:val="single" w:sz="4" w:space="0" w:color="726056" w:themeColor="accent2"/>
          <w:insideH w:val="nil"/>
        </w:tcBorders>
        <w:shd w:val="clear" w:color="auto" w:fill="726056" w:themeFill="accent2"/>
      </w:tcPr>
    </w:tblStylePr>
    <w:tblStylePr w:type="lastRow">
      <w:rPr>
        <w:b/>
        <w:bCs/>
      </w:rPr>
      <w:tblPr/>
      <w:tcPr>
        <w:tcBorders>
          <w:top w:val="double" w:sz="4" w:space="0" w:color="AF9E94" w:themeColor="accent2" w:themeTint="99"/>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table" w:customStyle="1" w:styleId="-721">
    <w:name w:val="Таблица-сетка 7 цветная — акцент 21"/>
    <w:basedOn w:val="a4"/>
    <w:uiPriority w:val="52"/>
    <w:rsid w:val="00F97371"/>
    <w:pPr>
      <w:spacing w:after="0" w:line="240" w:lineRule="auto"/>
    </w:pPr>
    <w:rPr>
      <w:color w:val="554740" w:themeColor="accent2" w:themeShade="BF"/>
    </w:r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DEDB" w:themeFill="accent2" w:themeFillTint="33"/>
      </w:tcPr>
    </w:tblStylePr>
    <w:tblStylePr w:type="band1Horz">
      <w:tblPr/>
      <w:tcPr>
        <w:shd w:val="clear" w:color="auto" w:fill="E4DEDB" w:themeFill="accent2" w:themeFillTint="33"/>
      </w:tcPr>
    </w:tblStylePr>
    <w:tblStylePr w:type="neCell">
      <w:tblPr/>
      <w:tcPr>
        <w:tcBorders>
          <w:bottom w:val="single" w:sz="4" w:space="0" w:color="AF9E94" w:themeColor="accent2" w:themeTint="99"/>
        </w:tcBorders>
      </w:tcPr>
    </w:tblStylePr>
    <w:tblStylePr w:type="nwCell">
      <w:tblPr/>
      <w:tcPr>
        <w:tcBorders>
          <w:bottom w:val="single" w:sz="4" w:space="0" w:color="AF9E94" w:themeColor="accent2" w:themeTint="99"/>
        </w:tcBorders>
      </w:tcPr>
    </w:tblStylePr>
    <w:tblStylePr w:type="seCell">
      <w:tblPr/>
      <w:tcPr>
        <w:tcBorders>
          <w:top w:val="single" w:sz="4" w:space="0" w:color="AF9E94" w:themeColor="accent2" w:themeTint="99"/>
        </w:tcBorders>
      </w:tcPr>
    </w:tblStylePr>
    <w:tblStylePr w:type="swCell">
      <w:tblPr/>
      <w:tcPr>
        <w:tcBorders>
          <w:top w:val="single" w:sz="4" w:space="0" w:color="AF9E94" w:themeColor="accent2" w:themeTint="99"/>
        </w:tcBorders>
      </w:tcPr>
    </w:tblStylePr>
  </w:style>
  <w:style w:type="table" w:customStyle="1" w:styleId="-61">
    <w:name w:val="Таблица-сетка 6 цветная1"/>
    <w:basedOn w:val="a4"/>
    <w:uiPriority w:val="51"/>
    <w:rsid w:val="00F9737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Таблица-сетка 6 цветная — акцент 21"/>
    <w:basedOn w:val="a4"/>
    <w:uiPriority w:val="51"/>
    <w:rsid w:val="00A34D8A"/>
    <w:pPr>
      <w:spacing w:after="0" w:line="240" w:lineRule="auto"/>
    </w:pPr>
    <w:rPr>
      <w:color w:val="554740" w:themeColor="accent2" w:themeShade="BF"/>
    </w:rPr>
    <w:tblPr>
      <w:tblStyleRowBandSize w:val="1"/>
      <w:tblStyleColBandSize w:val="1"/>
      <w:tblInd w:w="0" w:type="dxa"/>
      <w:tblBorders>
        <w:top w:val="single" w:sz="4" w:space="0" w:color="AF9E94" w:themeColor="accent2" w:themeTint="99"/>
        <w:left w:val="single" w:sz="4" w:space="0" w:color="AF9E94" w:themeColor="accent2" w:themeTint="99"/>
        <w:bottom w:val="single" w:sz="4" w:space="0" w:color="AF9E94" w:themeColor="accent2" w:themeTint="99"/>
        <w:right w:val="single" w:sz="4" w:space="0" w:color="AF9E94" w:themeColor="accent2" w:themeTint="99"/>
        <w:insideH w:val="single" w:sz="4" w:space="0" w:color="AF9E94" w:themeColor="accent2" w:themeTint="99"/>
        <w:insideV w:val="single" w:sz="4" w:space="0" w:color="AF9E94" w:themeColor="accent2" w:themeTint="99"/>
      </w:tblBorders>
      <w:tblCellMar>
        <w:top w:w="0" w:type="dxa"/>
        <w:left w:w="108" w:type="dxa"/>
        <w:bottom w:w="0" w:type="dxa"/>
        <w:right w:w="108" w:type="dxa"/>
      </w:tblCellMar>
    </w:tblPr>
    <w:tblStylePr w:type="firstRow">
      <w:rPr>
        <w:b/>
        <w:bCs/>
      </w:rPr>
      <w:tblPr/>
      <w:tcPr>
        <w:tcBorders>
          <w:bottom w:val="single" w:sz="12" w:space="0" w:color="AF9E94" w:themeColor="accent2" w:themeTint="99"/>
        </w:tcBorders>
      </w:tcPr>
    </w:tblStylePr>
    <w:tblStylePr w:type="lastRow">
      <w:rPr>
        <w:b/>
        <w:bCs/>
      </w:rPr>
      <w:tblPr/>
      <w:tcPr>
        <w:tcBorders>
          <w:top w:val="double" w:sz="4" w:space="0" w:color="AF9E94" w:themeColor="accent2" w:themeTint="99"/>
        </w:tcBorders>
      </w:tc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 w:type="paragraph" w:styleId="3fc">
    <w:name w:val="toc 3"/>
    <w:basedOn w:val="a2"/>
    <w:next w:val="a2"/>
    <w:autoRedefine/>
    <w:uiPriority w:val="39"/>
    <w:unhideWhenUsed/>
    <w:rsid w:val="00626714"/>
    <w:pPr>
      <w:spacing w:before="0" w:after="100" w:line="259" w:lineRule="auto"/>
      <w:ind w:left="440"/>
    </w:pPr>
    <w:rPr>
      <w:rFonts w:eastAsiaTheme="minorEastAsia" w:cs="Times New Roman"/>
      <w:color w:val="auto"/>
      <w:kern w:val="0"/>
      <w:sz w:val="22"/>
      <w:szCs w:val="22"/>
    </w:rPr>
  </w:style>
  <w:style w:type="table" w:customStyle="1" w:styleId="-611">
    <w:name w:val="Список-таблица 6 цветная — акцент 11"/>
    <w:basedOn w:val="a4"/>
    <w:uiPriority w:val="51"/>
    <w:rsid w:val="00782043"/>
    <w:pPr>
      <w:spacing w:after="0" w:line="240" w:lineRule="auto"/>
    </w:pPr>
    <w:rPr>
      <w:color w:val="810000" w:themeColor="accent1" w:themeShade="BF"/>
    </w:rPr>
    <w:tblPr>
      <w:tblStyleRowBandSize w:val="1"/>
      <w:tblStyleColBandSize w:val="1"/>
      <w:tblInd w:w="0" w:type="dxa"/>
      <w:tblBorders>
        <w:top w:val="single" w:sz="4" w:space="0" w:color="AD0101" w:themeColor="accent1"/>
        <w:bottom w:val="single" w:sz="4" w:space="0" w:color="AD0101" w:themeColor="accent1"/>
      </w:tblBorders>
      <w:tblCellMar>
        <w:top w:w="0" w:type="dxa"/>
        <w:left w:w="108" w:type="dxa"/>
        <w:bottom w:w="0" w:type="dxa"/>
        <w:right w:w="108" w:type="dxa"/>
      </w:tblCellMar>
    </w:tblPr>
    <w:tblStylePr w:type="firstRow">
      <w:rPr>
        <w:b/>
        <w:bCs/>
      </w:rPr>
      <w:tblPr/>
      <w:tcPr>
        <w:tcBorders>
          <w:bottom w:val="single" w:sz="4" w:space="0" w:color="AD0101" w:themeColor="accent1"/>
        </w:tcBorders>
      </w:tcPr>
    </w:tblStylePr>
    <w:tblStylePr w:type="lastRow">
      <w:rPr>
        <w:b/>
        <w:bCs/>
      </w:rPr>
      <w:tblPr/>
      <w:tcPr>
        <w:tcBorders>
          <w:top w:val="double" w:sz="4" w:space="0" w:color="AD0101" w:themeColor="accent1"/>
        </w:tcBorders>
      </w:tcPr>
    </w:tblStylePr>
    <w:tblStylePr w:type="firstCol">
      <w:rPr>
        <w:b/>
        <w:bCs/>
      </w:rPr>
    </w:tblStylePr>
    <w:tblStylePr w:type="lastCol">
      <w:rPr>
        <w:b/>
        <w:bCs/>
      </w:rPr>
    </w:tblStylePr>
    <w:tblStylePr w:type="band1Vert">
      <w:tblPr/>
      <w:tcPr>
        <w:shd w:val="clear" w:color="auto" w:fill="FEBCBC" w:themeFill="accent1" w:themeFillTint="33"/>
      </w:tcPr>
    </w:tblStylePr>
    <w:tblStylePr w:type="band1Horz">
      <w:tblPr/>
      <w:tcPr>
        <w:shd w:val="clear" w:color="auto" w:fill="FEBCBC" w:themeFill="accent1" w:themeFillTint="33"/>
      </w:tcPr>
    </w:tblStylePr>
  </w:style>
  <w:style w:type="table" w:customStyle="1" w:styleId="-321">
    <w:name w:val="Список-таблица 3 — акцент 21"/>
    <w:basedOn w:val="a4"/>
    <w:uiPriority w:val="48"/>
    <w:rsid w:val="00782043"/>
    <w:pPr>
      <w:spacing w:after="0" w:line="240" w:lineRule="auto"/>
    </w:pPr>
    <w:tblPr>
      <w:tblStyleRowBandSize w:val="1"/>
      <w:tblStyleColBandSize w:val="1"/>
      <w:tblInd w:w="0" w:type="dxa"/>
      <w:tblBorders>
        <w:top w:val="single" w:sz="4" w:space="0" w:color="726056" w:themeColor="accent2"/>
        <w:left w:val="single" w:sz="4" w:space="0" w:color="726056" w:themeColor="accent2"/>
        <w:bottom w:val="single" w:sz="4" w:space="0" w:color="726056" w:themeColor="accent2"/>
        <w:right w:val="single" w:sz="4" w:space="0" w:color="726056" w:themeColor="accent2"/>
      </w:tblBorders>
      <w:tblCellMar>
        <w:top w:w="0" w:type="dxa"/>
        <w:left w:w="108" w:type="dxa"/>
        <w:bottom w:w="0" w:type="dxa"/>
        <w:right w:w="108" w:type="dxa"/>
      </w:tblCellMar>
    </w:tblPr>
    <w:tblStylePr w:type="firstRow">
      <w:rPr>
        <w:b/>
        <w:bCs/>
        <w:color w:val="FFFFFF" w:themeColor="background1"/>
      </w:rPr>
      <w:tblPr/>
      <w:tcPr>
        <w:shd w:val="clear" w:color="auto" w:fill="726056" w:themeFill="accent2"/>
      </w:tcPr>
    </w:tblStylePr>
    <w:tblStylePr w:type="lastRow">
      <w:rPr>
        <w:b/>
        <w:bCs/>
      </w:rPr>
      <w:tblPr/>
      <w:tcPr>
        <w:tcBorders>
          <w:top w:val="double" w:sz="4" w:space="0" w:color="7260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6056" w:themeColor="accent2"/>
          <w:right w:val="single" w:sz="4" w:space="0" w:color="726056" w:themeColor="accent2"/>
        </w:tcBorders>
      </w:tcPr>
    </w:tblStylePr>
    <w:tblStylePr w:type="band1Horz">
      <w:tblPr/>
      <w:tcPr>
        <w:tcBorders>
          <w:top w:val="single" w:sz="4" w:space="0" w:color="726056" w:themeColor="accent2"/>
          <w:bottom w:val="single" w:sz="4" w:space="0" w:color="7260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6056" w:themeColor="accent2"/>
          <w:left w:val="nil"/>
        </w:tcBorders>
      </w:tcPr>
    </w:tblStylePr>
    <w:tblStylePr w:type="swCell">
      <w:tblPr/>
      <w:tcPr>
        <w:tcBorders>
          <w:top w:val="double" w:sz="4" w:space="0" w:color="726056" w:themeColor="accent2"/>
          <w:right w:val="nil"/>
        </w:tcBorders>
      </w:tcPr>
    </w:tblStylePr>
  </w:style>
  <w:style w:type="table" w:styleId="-11">
    <w:name w:val="Light Grid Accent 1"/>
    <w:basedOn w:val="a4"/>
    <w:uiPriority w:val="62"/>
    <w:rsid w:val="00C60F91"/>
    <w:pPr>
      <w:spacing w:before="0" w:after="0" w:line="240" w:lineRule="auto"/>
    </w:pPr>
    <w:rPr>
      <w:rFonts w:ascii="Times" w:eastAsia="Times" w:hAnsi="Times" w:cs="Times New Roman"/>
      <w:color w:val="auto"/>
      <w:lang w:eastAsia="en-US"/>
    </w:rPr>
    <w:tblPr>
      <w:tblStyleRowBandSize w:val="1"/>
      <w:tblStyleColBandSize w:val="1"/>
      <w:tblInd w:w="0" w:type="dxa"/>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18" w:space="0" w:color="AD0101" w:themeColor="accent1"/>
          <w:right w:val="single" w:sz="8" w:space="0" w:color="AD0101" w:themeColor="accent1"/>
          <w:insideH w:val="nil"/>
          <w:insideV w:val="single" w:sz="8" w:space="0" w:color="AD010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insideH w:val="nil"/>
          <w:insideV w:val="single" w:sz="8" w:space="0" w:color="AD010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shd w:val="clear" w:color="auto" w:fill="FEACAC" w:themeFill="accent1" w:themeFillTint="3F"/>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shd w:val="clear" w:color="auto" w:fill="FEACAC" w:themeFill="accent1" w:themeFillTint="3F"/>
      </w:tcPr>
    </w:tblStylePr>
    <w:tblStylePr w:type="band2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insideV w:val="single" w:sz="8" w:space="0" w:color="AD0101" w:themeColor="accent1"/>
        </w:tcBorders>
      </w:tcPr>
    </w:tblStylePr>
  </w:style>
  <w:style w:type="table" w:customStyle="1" w:styleId="-221">
    <w:name w:val="Список-таблица 2 — акцент 21"/>
    <w:basedOn w:val="a4"/>
    <w:uiPriority w:val="47"/>
    <w:rsid w:val="00C60F91"/>
    <w:pPr>
      <w:spacing w:after="0" w:line="240" w:lineRule="auto"/>
    </w:pPr>
    <w:tblPr>
      <w:tblStyleRowBandSize w:val="1"/>
      <w:tblStyleColBandSize w:val="1"/>
      <w:tblInd w:w="0" w:type="dxa"/>
      <w:tblBorders>
        <w:top w:val="single" w:sz="4" w:space="0" w:color="AF9E94" w:themeColor="accent2" w:themeTint="99"/>
        <w:bottom w:val="single" w:sz="4" w:space="0" w:color="AF9E94" w:themeColor="accent2" w:themeTint="99"/>
        <w:insideH w:val="single" w:sz="4" w:space="0" w:color="AF9E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DEDB" w:themeFill="accent2" w:themeFillTint="33"/>
      </w:tcPr>
    </w:tblStylePr>
    <w:tblStylePr w:type="band1Horz">
      <w:tblPr/>
      <w:tcPr>
        <w:shd w:val="clear" w:color="auto" w:fill="E4DE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chart" Target="charts/chart7.xm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7.jpeg"/><Relationship Id="rId42" Type="http://schemas.openxmlformats.org/officeDocument/2006/relationships/hyperlink" Target="http://www.ok.ru/group/55699153354768"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0.emf"/><Relationship Id="rId25" Type="http://schemas.openxmlformats.org/officeDocument/2006/relationships/chart" Target="charts/chart6.xml"/><Relationship Id="rId33" Type="http://schemas.openxmlformats.org/officeDocument/2006/relationships/image" Target="media/image6.jpeg"/><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5.xml"/><Relationship Id="rId32" Type="http://schemas.openxmlformats.org/officeDocument/2006/relationships/image" Target="media/image5.jpeg"/><Relationship Id="rId37" Type="http://schemas.openxmlformats.org/officeDocument/2006/relationships/hyperlink" Target="http://det.ivanovoobl.ru/" TargetMode="External"/><Relationship Id="rId40" Type="http://schemas.openxmlformats.org/officeDocument/2006/relationships/hyperlink" Target="http://det.ivanovoobl.ru/kontakty/vk.com/public167392889"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9.jpeg"/><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8.jpeg"/><Relationship Id="rId4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14\AppData\Local\Temp\tf02835063_win32.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1050;&#1086;&#1083;&#1083;&#1077;&#1075;&#1080;&#1103;%2015.03.2022\&#1058;&#1072;&#1088;&#1080;&#1092;&#1099;%20&#1088;&#1077;&#1075;&#1086;&#1087;&#1077;&#1088;&#1072;&#1090;&#1086;&#1088;&#1086;&#1074;%20&#1087;&#1086;%20&#1056;&#1086;&#1089;&#1089;&#1080;&#1080;%2007.03.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эффект!$D$41</c:f>
              <c:strCache>
                <c:ptCount val="1"/>
                <c:pt idx="0">
                  <c:v>Электроэнергия</c:v>
                </c:pt>
              </c:strCache>
            </c:strRef>
          </c:tx>
          <c:spPr>
            <a:solidFill>
              <a:schemeClr val="accent1"/>
            </a:solidFill>
            <a:ln>
              <a:noFill/>
            </a:ln>
            <a:effectLst/>
            <a:sp3d/>
          </c:spPr>
          <c:invertIfNegative val="0"/>
          <c:cat>
            <c:strRef>
              <c:f>эффект!$E$38:$G$38</c:f>
              <c:strCache>
                <c:ptCount val="3"/>
                <c:pt idx="0">
                  <c:v>на 2020 г.</c:v>
                </c:pt>
                <c:pt idx="1">
                  <c:v>на 2021 г.</c:v>
                </c:pt>
                <c:pt idx="2">
                  <c:v>на 2022 г.</c:v>
                </c:pt>
              </c:strCache>
            </c:strRef>
          </c:cat>
          <c:val>
            <c:numRef>
              <c:f>эффект!$E$41:$G$41</c:f>
              <c:numCache>
                <c:formatCode>General</c:formatCode>
                <c:ptCount val="3"/>
                <c:pt idx="0" formatCode="#,##0.00">
                  <c:v>3.88</c:v>
                </c:pt>
                <c:pt idx="1">
                  <c:v>5.1580000000000004</c:v>
                </c:pt>
                <c:pt idx="2">
                  <c:v>5.6079999999999997</c:v>
                </c:pt>
              </c:numCache>
            </c:numRef>
          </c:val>
          <c:extLst xmlns:c16r2="http://schemas.microsoft.com/office/drawing/2015/06/chart">
            <c:ext xmlns:c16="http://schemas.microsoft.com/office/drawing/2014/chart" uri="{C3380CC4-5D6E-409C-BE32-E72D297353CC}">
              <c16:uniqueId val="{00000000-D585-4182-ACE9-811F4722F1DE}"/>
            </c:ext>
          </c:extLst>
        </c:ser>
        <c:ser>
          <c:idx val="1"/>
          <c:order val="1"/>
          <c:tx>
            <c:strRef>
              <c:f>эффект!$D$42</c:f>
              <c:strCache>
                <c:ptCount val="1"/>
                <c:pt idx="0">
                  <c:v>Тепловая энергия</c:v>
                </c:pt>
              </c:strCache>
            </c:strRef>
          </c:tx>
          <c:spPr>
            <a:solidFill>
              <a:schemeClr val="accent2"/>
            </a:solidFill>
            <a:ln>
              <a:noFill/>
            </a:ln>
            <a:effectLst/>
            <a:sp3d/>
          </c:spPr>
          <c:invertIfNegative val="0"/>
          <c:cat>
            <c:strRef>
              <c:f>эффект!$E$38:$G$38</c:f>
              <c:strCache>
                <c:ptCount val="3"/>
                <c:pt idx="0">
                  <c:v>на 2020 г.</c:v>
                </c:pt>
                <c:pt idx="1">
                  <c:v>на 2021 г.</c:v>
                </c:pt>
                <c:pt idx="2">
                  <c:v>на 2022 г.</c:v>
                </c:pt>
              </c:strCache>
            </c:strRef>
          </c:cat>
          <c:val>
            <c:numRef>
              <c:f>эффект!$E$42:$G$42</c:f>
              <c:numCache>
                <c:formatCode>General</c:formatCode>
                <c:ptCount val="3"/>
                <c:pt idx="0" formatCode="#,##0.00">
                  <c:v>2.843</c:v>
                </c:pt>
                <c:pt idx="1">
                  <c:v>2.3140000000000001</c:v>
                </c:pt>
                <c:pt idx="2">
                  <c:v>1.8220000000000001</c:v>
                </c:pt>
              </c:numCache>
            </c:numRef>
          </c:val>
          <c:extLst xmlns:c16r2="http://schemas.microsoft.com/office/drawing/2015/06/chart">
            <c:ext xmlns:c16="http://schemas.microsoft.com/office/drawing/2014/chart" uri="{C3380CC4-5D6E-409C-BE32-E72D297353CC}">
              <c16:uniqueId val="{00000001-D585-4182-ACE9-811F4722F1DE}"/>
            </c:ext>
          </c:extLst>
        </c:ser>
        <c:ser>
          <c:idx val="2"/>
          <c:order val="2"/>
          <c:tx>
            <c:strRef>
              <c:f>эффект!$D$43</c:f>
              <c:strCache>
                <c:ptCount val="1"/>
                <c:pt idx="0">
                  <c:v>Питьевая вода</c:v>
                </c:pt>
              </c:strCache>
            </c:strRef>
          </c:tx>
          <c:spPr>
            <a:solidFill>
              <a:schemeClr val="accent3"/>
            </a:solidFill>
            <a:ln>
              <a:noFill/>
            </a:ln>
            <a:effectLst/>
            <a:sp3d/>
          </c:spPr>
          <c:invertIfNegative val="0"/>
          <c:cat>
            <c:strRef>
              <c:f>эффект!$E$38:$G$38</c:f>
              <c:strCache>
                <c:ptCount val="3"/>
                <c:pt idx="0">
                  <c:v>на 2020 г.</c:v>
                </c:pt>
                <c:pt idx="1">
                  <c:v>на 2021 г.</c:v>
                </c:pt>
                <c:pt idx="2">
                  <c:v>на 2022 г.</c:v>
                </c:pt>
              </c:strCache>
            </c:strRef>
          </c:cat>
          <c:val>
            <c:numRef>
              <c:f>эффект!$E$43:$G$43</c:f>
              <c:numCache>
                <c:formatCode>General</c:formatCode>
                <c:ptCount val="3"/>
                <c:pt idx="0">
                  <c:v>0.29899999999999999</c:v>
                </c:pt>
                <c:pt idx="1">
                  <c:v>0.51200000000000001</c:v>
                </c:pt>
                <c:pt idx="2">
                  <c:v>0.29499999999999998</c:v>
                </c:pt>
              </c:numCache>
            </c:numRef>
          </c:val>
          <c:extLst xmlns:c16r2="http://schemas.microsoft.com/office/drawing/2015/06/chart">
            <c:ext xmlns:c16="http://schemas.microsoft.com/office/drawing/2014/chart" uri="{C3380CC4-5D6E-409C-BE32-E72D297353CC}">
              <c16:uniqueId val="{00000002-D585-4182-ACE9-811F4722F1DE}"/>
            </c:ext>
          </c:extLst>
        </c:ser>
        <c:ser>
          <c:idx val="3"/>
          <c:order val="3"/>
          <c:tx>
            <c:strRef>
              <c:f>эффект!$D$44</c:f>
              <c:strCache>
                <c:ptCount val="1"/>
                <c:pt idx="0">
                  <c:v>Водоотведение</c:v>
                </c:pt>
              </c:strCache>
            </c:strRef>
          </c:tx>
          <c:spPr>
            <a:solidFill>
              <a:schemeClr val="accent4"/>
            </a:solidFill>
            <a:ln>
              <a:noFill/>
            </a:ln>
            <a:effectLst/>
            <a:sp3d/>
          </c:spPr>
          <c:invertIfNegative val="0"/>
          <c:cat>
            <c:strRef>
              <c:f>эффект!$E$38:$G$38</c:f>
              <c:strCache>
                <c:ptCount val="3"/>
                <c:pt idx="0">
                  <c:v>на 2020 г.</c:v>
                </c:pt>
                <c:pt idx="1">
                  <c:v>на 2021 г.</c:v>
                </c:pt>
                <c:pt idx="2">
                  <c:v>на 2022 г.</c:v>
                </c:pt>
              </c:strCache>
            </c:strRef>
          </c:cat>
          <c:val>
            <c:numRef>
              <c:f>эффект!$E$44:$G$44</c:f>
              <c:numCache>
                <c:formatCode>General</c:formatCode>
                <c:ptCount val="3"/>
                <c:pt idx="0">
                  <c:v>0.46899999999999997</c:v>
                </c:pt>
                <c:pt idx="1">
                  <c:v>0.46100000000000002</c:v>
                </c:pt>
                <c:pt idx="2">
                  <c:v>0.40100000000000002</c:v>
                </c:pt>
              </c:numCache>
            </c:numRef>
          </c:val>
          <c:extLst xmlns:c16r2="http://schemas.microsoft.com/office/drawing/2015/06/chart">
            <c:ext xmlns:c16="http://schemas.microsoft.com/office/drawing/2014/chart" uri="{C3380CC4-5D6E-409C-BE32-E72D297353CC}">
              <c16:uniqueId val="{00000003-D585-4182-ACE9-811F4722F1DE}"/>
            </c:ext>
          </c:extLst>
        </c:ser>
        <c:ser>
          <c:idx val="4"/>
          <c:order val="4"/>
          <c:tx>
            <c:strRef>
              <c:f>эффект!$D$45</c:f>
              <c:strCache>
                <c:ptCount val="1"/>
                <c:pt idx="0">
                  <c:v>Обращение с ТКО</c:v>
                </c:pt>
              </c:strCache>
            </c:strRef>
          </c:tx>
          <c:spPr>
            <a:solidFill>
              <a:schemeClr val="accent5"/>
            </a:solidFill>
            <a:ln>
              <a:noFill/>
            </a:ln>
            <a:effectLst/>
            <a:sp3d/>
          </c:spPr>
          <c:invertIfNegative val="0"/>
          <c:cat>
            <c:strRef>
              <c:f>эффект!$E$38:$G$38</c:f>
              <c:strCache>
                <c:ptCount val="3"/>
                <c:pt idx="0">
                  <c:v>на 2020 г.</c:v>
                </c:pt>
                <c:pt idx="1">
                  <c:v>на 2021 г.</c:v>
                </c:pt>
                <c:pt idx="2">
                  <c:v>на 2022 г.</c:v>
                </c:pt>
              </c:strCache>
            </c:strRef>
          </c:cat>
          <c:val>
            <c:numRef>
              <c:f>эффект!$E$45:$G$45</c:f>
              <c:numCache>
                <c:formatCode>General</c:formatCode>
                <c:ptCount val="3"/>
                <c:pt idx="0">
                  <c:v>7.9000000000000001E-2</c:v>
                </c:pt>
                <c:pt idx="1">
                  <c:v>8.1000000000000003E-2</c:v>
                </c:pt>
                <c:pt idx="2">
                  <c:v>0.19400000000000001</c:v>
                </c:pt>
              </c:numCache>
            </c:numRef>
          </c:val>
          <c:extLst xmlns:c16r2="http://schemas.microsoft.com/office/drawing/2015/06/chart">
            <c:ext xmlns:c16="http://schemas.microsoft.com/office/drawing/2014/chart" uri="{C3380CC4-5D6E-409C-BE32-E72D297353CC}">
              <c16:uniqueId val="{00000004-D585-4182-ACE9-811F4722F1DE}"/>
            </c:ext>
          </c:extLst>
        </c:ser>
        <c:ser>
          <c:idx val="5"/>
          <c:order val="5"/>
          <c:tx>
            <c:strRef>
              <c:f>эффект!$D$46</c:f>
              <c:strCache>
                <c:ptCount val="1"/>
                <c:pt idx="0">
                  <c:v>Газ, в т.ч. сжиженный населению</c:v>
                </c:pt>
              </c:strCache>
            </c:strRef>
          </c:tx>
          <c:spPr>
            <a:solidFill>
              <a:schemeClr val="accent6"/>
            </a:solidFill>
            <a:ln>
              <a:noFill/>
            </a:ln>
            <a:effectLst/>
            <a:sp3d/>
          </c:spPr>
          <c:invertIfNegative val="0"/>
          <c:cat>
            <c:strRef>
              <c:f>эффект!$E$38:$G$38</c:f>
              <c:strCache>
                <c:ptCount val="3"/>
                <c:pt idx="0">
                  <c:v>на 2020 г.</c:v>
                </c:pt>
                <c:pt idx="1">
                  <c:v>на 2021 г.</c:v>
                </c:pt>
                <c:pt idx="2">
                  <c:v>на 2022 г.</c:v>
                </c:pt>
              </c:strCache>
            </c:strRef>
          </c:cat>
          <c:val>
            <c:numRef>
              <c:f>эффект!$E$46:$G$46</c:f>
              <c:numCache>
                <c:formatCode>General</c:formatCode>
                <c:ptCount val="3"/>
                <c:pt idx="0">
                  <c:v>2.1999999999999999E-2</c:v>
                </c:pt>
                <c:pt idx="1">
                  <c:v>6.4000000000000001E-2</c:v>
                </c:pt>
                <c:pt idx="2">
                  <c:v>7.2999999999999995E-2</c:v>
                </c:pt>
              </c:numCache>
            </c:numRef>
          </c:val>
          <c:extLst xmlns:c16r2="http://schemas.microsoft.com/office/drawing/2015/06/chart">
            <c:ext xmlns:c16="http://schemas.microsoft.com/office/drawing/2014/chart" uri="{C3380CC4-5D6E-409C-BE32-E72D297353CC}">
              <c16:uniqueId val="{00000005-D585-4182-ACE9-811F4722F1DE}"/>
            </c:ext>
          </c:extLst>
        </c:ser>
        <c:ser>
          <c:idx val="6"/>
          <c:order val="6"/>
          <c:tx>
            <c:strRef>
              <c:f>эффект!$D$47</c:f>
              <c:strCache>
                <c:ptCount val="1"/>
                <c:pt idx="0">
                  <c:v>Техприсоединение</c:v>
                </c:pt>
              </c:strCache>
            </c:strRef>
          </c:tx>
          <c:spPr>
            <a:solidFill>
              <a:schemeClr val="accent1">
                <a:lumMod val="60000"/>
              </a:schemeClr>
            </a:solidFill>
            <a:ln>
              <a:noFill/>
            </a:ln>
            <a:effectLst/>
            <a:sp3d/>
          </c:spPr>
          <c:invertIfNegative val="0"/>
          <c:cat>
            <c:strRef>
              <c:f>эффект!$E$38:$G$38</c:f>
              <c:strCache>
                <c:ptCount val="3"/>
                <c:pt idx="0">
                  <c:v>на 2020 г.</c:v>
                </c:pt>
                <c:pt idx="1">
                  <c:v>на 2021 г.</c:v>
                </c:pt>
                <c:pt idx="2">
                  <c:v>на 2022 г.</c:v>
                </c:pt>
              </c:strCache>
            </c:strRef>
          </c:cat>
          <c:val>
            <c:numRef>
              <c:f>эффект!$E$47:$G$47</c:f>
              <c:numCache>
                <c:formatCode>General</c:formatCode>
                <c:ptCount val="3"/>
                <c:pt idx="0">
                  <c:v>7.9000000000000001E-2</c:v>
                </c:pt>
                <c:pt idx="1">
                  <c:v>0</c:v>
                </c:pt>
                <c:pt idx="2">
                  <c:v>0</c:v>
                </c:pt>
              </c:numCache>
            </c:numRef>
          </c:val>
          <c:extLst xmlns:c16r2="http://schemas.microsoft.com/office/drawing/2015/06/chart">
            <c:ext xmlns:c16="http://schemas.microsoft.com/office/drawing/2014/chart" uri="{C3380CC4-5D6E-409C-BE32-E72D297353CC}">
              <c16:uniqueId val="{00000006-D585-4182-ACE9-811F4722F1DE}"/>
            </c:ext>
          </c:extLst>
        </c:ser>
        <c:ser>
          <c:idx val="7"/>
          <c:order val="7"/>
          <c:tx>
            <c:strRef>
              <c:f>эффект!$D$48</c:f>
              <c:strCache>
                <c:ptCount val="1"/>
                <c:pt idx="0">
                  <c:v>Транспорт</c:v>
                </c:pt>
              </c:strCache>
            </c:strRef>
          </c:tx>
          <c:spPr>
            <a:solidFill>
              <a:schemeClr val="accent2">
                <a:lumMod val="60000"/>
              </a:schemeClr>
            </a:solidFill>
            <a:ln>
              <a:noFill/>
            </a:ln>
            <a:effectLst/>
            <a:sp3d/>
          </c:spPr>
          <c:invertIfNegative val="0"/>
          <c:cat>
            <c:strRef>
              <c:f>эффект!$E$38:$G$38</c:f>
              <c:strCache>
                <c:ptCount val="3"/>
                <c:pt idx="0">
                  <c:v>на 2020 г.</c:v>
                </c:pt>
                <c:pt idx="1">
                  <c:v>на 2021 г.</c:v>
                </c:pt>
                <c:pt idx="2">
                  <c:v>на 2022 г.</c:v>
                </c:pt>
              </c:strCache>
            </c:strRef>
          </c:cat>
          <c:val>
            <c:numRef>
              <c:f>эффект!$E$48:$G$48</c:f>
              <c:numCache>
                <c:formatCode>General</c:formatCode>
                <c:ptCount val="3"/>
                <c:pt idx="0">
                  <c:v>3.3000000000000002E-2</c:v>
                </c:pt>
                <c:pt idx="1">
                  <c:v>3.7999999999999999E-2</c:v>
                </c:pt>
                <c:pt idx="2">
                  <c:v>6.2E-2</c:v>
                </c:pt>
              </c:numCache>
            </c:numRef>
          </c:val>
          <c:extLst xmlns:c16r2="http://schemas.microsoft.com/office/drawing/2015/06/chart">
            <c:ext xmlns:c16="http://schemas.microsoft.com/office/drawing/2014/chart" uri="{C3380CC4-5D6E-409C-BE32-E72D297353CC}">
              <c16:uniqueId val="{00000007-D585-4182-ACE9-811F4722F1DE}"/>
            </c:ext>
          </c:extLst>
        </c:ser>
        <c:dLbls>
          <c:showLegendKey val="0"/>
          <c:showVal val="0"/>
          <c:showCatName val="0"/>
          <c:showSerName val="0"/>
          <c:showPercent val="0"/>
          <c:showBubbleSize val="0"/>
        </c:dLbls>
        <c:gapWidth val="150"/>
        <c:shape val="box"/>
        <c:axId val="284629248"/>
        <c:axId val="284655616"/>
        <c:axId val="0"/>
      </c:bar3DChart>
      <c:catAx>
        <c:axId val="284629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55616"/>
        <c:crosses val="autoZero"/>
        <c:auto val="1"/>
        <c:lblAlgn val="ctr"/>
        <c:lblOffset val="100"/>
        <c:noMultiLvlLbl val="0"/>
      </c:catAx>
      <c:valAx>
        <c:axId val="284655616"/>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29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Средняя плата за услугу по обращению с ТКО</a:t>
            </a:r>
          </a:p>
        </c:rich>
      </c:tx>
      <c:overlay val="0"/>
      <c:spPr>
        <a:noFill/>
        <a:ln>
          <a:noFill/>
        </a:ln>
        <a:effectLst/>
      </c:spPr>
    </c:title>
    <c:autoTitleDeleted val="0"/>
    <c:plotArea>
      <c:layout/>
      <c:barChart>
        <c:barDir val="bar"/>
        <c:grouping val="clustered"/>
        <c:varyColors val="0"/>
        <c:ser>
          <c:idx val="0"/>
          <c:order val="0"/>
          <c:tx>
            <c:v>с 01.01.2022 по 30.06.2022</c:v>
          </c:tx>
          <c:spPr>
            <a:solidFill>
              <a:schemeClr val="accent1"/>
            </a:solidFill>
            <a:ln>
              <a:noFill/>
            </a:ln>
            <a:effectLst/>
          </c:spPr>
          <c:invertIfNegative val="0"/>
          <c:cat>
            <c:strRef>
              <c:f>'Сортировка 2021'!$I$5:$I$22</c:f>
              <c:strCache>
                <c:ptCount val="18"/>
                <c:pt idx="0">
                  <c:v>Брянская область</c:v>
                </c:pt>
                <c:pt idx="1">
                  <c:v>Калужская область</c:v>
                </c:pt>
                <c:pt idx="2">
                  <c:v>Орловская область</c:v>
                </c:pt>
                <c:pt idx="3">
                  <c:v>Тверская область</c:v>
                </c:pt>
                <c:pt idx="4">
                  <c:v>Курская область</c:v>
                </c:pt>
                <c:pt idx="5">
                  <c:v>Белгородская область</c:v>
                </c:pt>
                <c:pt idx="6">
                  <c:v>Смоленская область</c:v>
                </c:pt>
                <c:pt idx="7">
                  <c:v>Рязанская область</c:v>
                </c:pt>
                <c:pt idx="8">
                  <c:v>Ярославская область</c:v>
                </c:pt>
                <c:pt idx="9">
                  <c:v>Ивановская область</c:v>
                </c:pt>
                <c:pt idx="10">
                  <c:v>Тамбовская область</c:v>
                </c:pt>
                <c:pt idx="11">
                  <c:v>Липецкая область</c:v>
                </c:pt>
                <c:pt idx="12">
                  <c:v>Костромская область</c:v>
                </c:pt>
                <c:pt idx="13">
                  <c:v>Владимирская область</c:v>
                </c:pt>
                <c:pt idx="14">
                  <c:v>Воронежская область</c:v>
                </c:pt>
                <c:pt idx="15">
                  <c:v>г. Москва</c:v>
                </c:pt>
                <c:pt idx="16">
                  <c:v>Тульская область</c:v>
                </c:pt>
                <c:pt idx="17">
                  <c:v>Московская область</c:v>
                </c:pt>
              </c:strCache>
            </c:strRef>
          </c:cat>
          <c:val>
            <c:numRef>
              <c:f>'Сортировка 2021'!$J$5:$J$22</c:f>
              <c:numCache>
                <c:formatCode>#,##0.00</c:formatCode>
                <c:ptCount val="18"/>
                <c:pt idx="0">
                  <c:v>77.082483333333329</c:v>
                </c:pt>
                <c:pt idx="1">
                  <c:v>79.392366666666661</c:v>
                </c:pt>
                <c:pt idx="2">
                  <c:v>85.400625000000005</c:v>
                </c:pt>
                <c:pt idx="3">
                  <c:v>87.890447500000008</c:v>
                </c:pt>
                <c:pt idx="4">
                  <c:v>87.2860625</c:v>
                </c:pt>
                <c:pt idx="5">
                  <c:v>92.055583333333345</c:v>
                </c:pt>
                <c:pt idx="6">
                  <c:v>93.635966666666675</c:v>
                </c:pt>
                <c:pt idx="7">
                  <c:v>96.573599999999985</c:v>
                </c:pt>
                <c:pt idx="8">
                  <c:v>101.87753666666667</c:v>
                </c:pt>
                <c:pt idx="9">
                  <c:v>98.972999999999999</c:v>
                </c:pt>
                <c:pt idx="10">
                  <c:v>106.48260000000001</c:v>
                </c:pt>
                <c:pt idx="11">
                  <c:v>104.59254375</c:v>
                </c:pt>
                <c:pt idx="12">
                  <c:v>105.74624444444446</c:v>
                </c:pt>
                <c:pt idx="13">
                  <c:v>109.08200000000001</c:v>
                </c:pt>
                <c:pt idx="14">
                  <c:v>111.15463124999999</c:v>
                </c:pt>
                <c:pt idx="15">
                  <c:v>126.07099555555557</c:v>
                </c:pt>
                <c:pt idx="16">
                  <c:v>127.49549999999999</c:v>
                </c:pt>
                <c:pt idx="17">
                  <c:v>143.2261257142857</c:v>
                </c:pt>
              </c:numCache>
            </c:numRef>
          </c:val>
          <c:extLst xmlns:c16r2="http://schemas.microsoft.com/office/drawing/2015/06/chart">
            <c:ext xmlns:c16="http://schemas.microsoft.com/office/drawing/2014/chart" uri="{C3380CC4-5D6E-409C-BE32-E72D297353CC}">
              <c16:uniqueId val="{00000000-99A3-4F51-BF12-B5682BA41A10}"/>
            </c:ext>
          </c:extLst>
        </c:ser>
        <c:ser>
          <c:idx val="1"/>
          <c:order val="1"/>
          <c:tx>
            <c:v>c 01.07.2022 по 31.12.2022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'Сортировка 2021'!$I$5:$I$22</c:f>
              <c:strCache>
                <c:ptCount val="18"/>
                <c:pt idx="0">
                  <c:v>Брянская область</c:v>
                </c:pt>
                <c:pt idx="1">
                  <c:v>Калужская область</c:v>
                </c:pt>
                <c:pt idx="2">
                  <c:v>Орловская область</c:v>
                </c:pt>
                <c:pt idx="3">
                  <c:v>Тверская область</c:v>
                </c:pt>
                <c:pt idx="4">
                  <c:v>Курская область</c:v>
                </c:pt>
                <c:pt idx="5">
                  <c:v>Белгородская область</c:v>
                </c:pt>
                <c:pt idx="6">
                  <c:v>Смоленская область</c:v>
                </c:pt>
                <c:pt idx="7">
                  <c:v>Рязанская область</c:v>
                </c:pt>
                <c:pt idx="8">
                  <c:v>Ярославская область</c:v>
                </c:pt>
                <c:pt idx="9">
                  <c:v>Ивановская область</c:v>
                </c:pt>
                <c:pt idx="10">
                  <c:v>Тамбовская область</c:v>
                </c:pt>
                <c:pt idx="11">
                  <c:v>Липецкая область</c:v>
                </c:pt>
                <c:pt idx="12">
                  <c:v>Костромская область</c:v>
                </c:pt>
                <c:pt idx="13">
                  <c:v>Владимирская область</c:v>
                </c:pt>
                <c:pt idx="14">
                  <c:v>Воронежская область</c:v>
                </c:pt>
                <c:pt idx="15">
                  <c:v>г. Москва</c:v>
                </c:pt>
                <c:pt idx="16">
                  <c:v>Тульская область</c:v>
                </c:pt>
                <c:pt idx="17">
                  <c:v>Московская область</c:v>
                </c:pt>
              </c:strCache>
            </c:strRef>
          </c:cat>
          <c:val>
            <c:numRef>
              <c:f>'Сортировка 2021'!$K$5:$K$22</c:f>
              <c:numCache>
                <c:formatCode>#,##0.00</c:formatCode>
                <c:ptCount val="18"/>
                <c:pt idx="0">
                  <c:v>81.179699999999997</c:v>
                </c:pt>
                <c:pt idx="1">
                  <c:v>81.774655555555555</c:v>
                </c:pt>
                <c:pt idx="2">
                  <c:v>88.753125000000011</c:v>
                </c:pt>
                <c:pt idx="3">
                  <c:v>88.836521666666684</c:v>
                </c:pt>
                <c:pt idx="4">
                  <c:v>92.092812500000008</c:v>
                </c:pt>
                <c:pt idx="5">
                  <c:v>97.050416666666678</c:v>
                </c:pt>
                <c:pt idx="6">
                  <c:v>97.44583333333334</c:v>
                </c:pt>
                <c:pt idx="7">
                  <c:v>100.264725</c:v>
                </c:pt>
                <c:pt idx="8">
                  <c:v>101.87753666666667</c:v>
                </c:pt>
                <c:pt idx="9">
                  <c:v>102.3372</c:v>
                </c:pt>
                <c:pt idx="10">
                  <c:v>107.2944</c:v>
                </c:pt>
                <c:pt idx="11">
                  <c:v>107.8695625</c:v>
                </c:pt>
                <c:pt idx="12">
                  <c:v>110.4249111111111</c:v>
                </c:pt>
                <c:pt idx="13">
                  <c:v>111.134</c:v>
                </c:pt>
                <c:pt idx="14">
                  <c:v>112.967765625</c:v>
                </c:pt>
                <c:pt idx="15">
                  <c:v>126.07099555555557</c:v>
                </c:pt>
                <c:pt idx="16">
                  <c:v>132.18356249999999</c:v>
                </c:pt>
                <c:pt idx="17">
                  <c:v>151.66176380952382</c:v>
                </c:pt>
              </c:numCache>
            </c:numRef>
          </c:val>
          <c:extLst xmlns:c16r2="http://schemas.microsoft.com/office/drawing/2015/06/chart">
            <c:ext xmlns:c16="http://schemas.microsoft.com/office/drawing/2014/chart" uri="{C3380CC4-5D6E-409C-BE32-E72D297353CC}">
              <c16:uniqueId val="{00000001-99A3-4F51-BF12-B5682BA41A10}"/>
            </c:ext>
          </c:extLst>
        </c:ser>
        <c:dLbls>
          <c:showLegendKey val="0"/>
          <c:showVal val="0"/>
          <c:showCatName val="0"/>
          <c:showSerName val="0"/>
          <c:showPercent val="0"/>
          <c:showBubbleSize val="0"/>
        </c:dLbls>
        <c:gapWidth val="182"/>
        <c:axId val="336028032"/>
        <c:axId val="336029568"/>
      </c:barChart>
      <c:catAx>
        <c:axId val="33602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029568"/>
        <c:crosses val="autoZero"/>
        <c:auto val="1"/>
        <c:lblAlgn val="ctr"/>
        <c:lblOffset val="100"/>
        <c:noMultiLvlLbl val="0"/>
      </c:catAx>
      <c:valAx>
        <c:axId val="336029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a:t>
                </a:r>
                <a:r>
                  <a:rPr lang="ru-RU" baseline="0"/>
                  <a:t> с  чел. месяц</a:t>
                </a:r>
                <a:endParaRPr lang="ru-RU"/>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0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срок технологического присоединения энергопринимающих устройств мощностью до 150 кВт к электрическим сетям Ивановской области</a:t>
            </a:r>
          </a:p>
        </c:rich>
      </c:tx>
      <c:overlay val="0"/>
      <c:spPr>
        <a:noFill/>
        <a:ln>
          <a:noFill/>
        </a:ln>
        <a:effectLst/>
      </c:spPr>
    </c:title>
    <c:autoTitleDeleted val="0"/>
    <c:plotArea>
      <c:layout>
        <c:manualLayout>
          <c:layoutTarget val="inner"/>
          <c:xMode val="edge"/>
          <c:yMode val="edge"/>
          <c:x val="0.10967413947655261"/>
          <c:y val="0.34441099858732654"/>
          <c:w val="0.86894691878106367"/>
          <c:h val="0.34704083639809974"/>
        </c:manualLayout>
      </c:layout>
      <c:lineChart>
        <c:grouping val="standard"/>
        <c:varyColors val="0"/>
        <c:ser>
          <c:idx val="0"/>
          <c:order val="0"/>
          <c:tx>
            <c:strRef>
              <c:f>'[Диаграмма в Microsoft Word]Лист1'!$A$2</c:f>
              <c:strCache>
                <c:ptCount val="1"/>
                <c:pt idx="0">
                  <c:v>Средний фактический срок техприсоединения заявителей с мощностью до 150 кВт</c:v>
                </c:pt>
              </c:strCache>
            </c:strRef>
          </c:tx>
          <c:spPr>
            <a:ln w="28575" cap="rnd">
              <a:solidFill>
                <a:schemeClr val="accent1"/>
              </a:solidFill>
              <a:round/>
            </a:ln>
            <a:effectLst/>
          </c:spPr>
          <c:marker>
            <c:symbol val="none"/>
          </c:marker>
          <c:dLbls>
            <c:dLbl>
              <c:idx val="0"/>
              <c:layout>
                <c:manualLayout>
                  <c:x val="-2.3516835916622146E-2"/>
                  <c:y val="-3.5326772646984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F9-45BD-A92B-1D2D7A947D57}"/>
                </c:ext>
              </c:extLst>
            </c:dLbl>
            <c:dLbl>
              <c:idx val="1"/>
              <c:layout>
                <c:manualLayout>
                  <c:x val="-2.3516835916622129E-2"/>
                  <c:y val="6.05601816805450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F9-45BD-A92B-1D2D7A947D57}"/>
                </c:ext>
              </c:extLst>
            </c:dLbl>
            <c:dLbl>
              <c:idx val="2"/>
              <c:layout>
                <c:manualLayout>
                  <c:x val="-2.7792624265098955E-2"/>
                  <c:y val="7.0653545293969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F9-45BD-A92B-1D2D7A947D57}"/>
                </c:ext>
              </c:extLst>
            </c:dLbl>
            <c:dLbl>
              <c:idx val="3"/>
              <c:layout>
                <c:manualLayout>
                  <c:x val="-3.4206306787814E-2"/>
                  <c:y val="5.0466818067120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F9-45BD-A92B-1D2D7A947D57}"/>
                </c:ext>
              </c:extLst>
            </c:dLbl>
            <c:dLbl>
              <c:idx val="4"/>
              <c:layout>
                <c:manualLayout>
                  <c:x val="-3.6344200962052375E-2"/>
                  <c:y val="5.55134998738329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F9-45BD-A92B-1D2D7A947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Word]Лист1'!$B$1:$G$1</c:f>
              <c:strCache>
                <c:ptCount val="6"/>
                <c:pt idx="0">
                  <c:v>2016 г.</c:v>
                </c:pt>
                <c:pt idx="1">
                  <c:v>2017 г.</c:v>
                </c:pt>
                <c:pt idx="2">
                  <c:v>2018 г.</c:v>
                </c:pt>
                <c:pt idx="3">
                  <c:v>2019 г.</c:v>
                </c:pt>
                <c:pt idx="4">
                  <c:v>2020 г.</c:v>
                </c:pt>
                <c:pt idx="5">
                  <c:v>2021 г.</c:v>
                </c:pt>
              </c:strCache>
            </c:strRef>
          </c:cat>
          <c:val>
            <c:numRef>
              <c:f>'[Диаграмма в Microsoft Word]Лист1'!$B$2:$G$2</c:f>
              <c:numCache>
                <c:formatCode>General</c:formatCode>
                <c:ptCount val="6"/>
                <c:pt idx="0">
                  <c:v>108</c:v>
                </c:pt>
                <c:pt idx="1">
                  <c:v>52</c:v>
                </c:pt>
                <c:pt idx="2">
                  <c:v>73</c:v>
                </c:pt>
                <c:pt idx="3">
                  <c:v>76</c:v>
                </c:pt>
                <c:pt idx="4">
                  <c:v>73</c:v>
                </c:pt>
                <c:pt idx="5">
                  <c:v>63</c:v>
                </c:pt>
              </c:numCache>
            </c:numRef>
          </c:val>
          <c:smooth val="0"/>
          <c:extLst xmlns:c16r2="http://schemas.microsoft.com/office/drawing/2015/06/chart">
            <c:ext xmlns:c16="http://schemas.microsoft.com/office/drawing/2014/chart" uri="{C3380CC4-5D6E-409C-BE32-E72D297353CC}">
              <c16:uniqueId val="{00000005-87F9-45BD-A92B-1D2D7A947D57}"/>
            </c:ext>
          </c:extLst>
        </c:ser>
        <c:ser>
          <c:idx val="1"/>
          <c:order val="1"/>
          <c:tx>
            <c:strRef>
              <c:f>'[Диаграмма в Microsoft Word]Лист1'!$A$3</c:f>
              <c:strCache>
                <c:ptCount val="1"/>
                <c:pt idx="0">
                  <c:v>Целевое значение срока техприсоединения</c:v>
                </c:pt>
              </c:strCache>
            </c:strRef>
          </c:tx>
          <c:spPr>
            <a:ln w="28575" cap="rnd">
              <a:solidFill>
                <a:schemeClr val="accent2"/>
              </a:solidFill>
              <a:round/>
            </a:ln>
            <a:effectLst/>
          </c:spPr>
          <c:marker>
            <c:symbol val="none"/>
          </c:marker>
          <c:dLbls>
            <c:dLbl>
              <c:idx val="4"/>
              <c:layout>
                <c:manualLayout>
                  <c:x val="0.14814814814814814"/>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7F9-45BD-A92B-1D2D7A947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'[Диаграмма в Microsoft Word]Лист1'!$B$1:$G$1</c:f>
              <c:strCache>
                <c:ptCount val="6"/>
                <c:pt idx="0">
                  <c:v>2016 г.</c:v>
                </c:pt>
                <c:pt idx="1">
                  <c:v>2017 г.</c:v>
                </c:pt>
                <c:pt idx="2">
                  <c:v>2018 г.</c:v>
                </c:pt>
                <c:pt idx="3">
                  <c:v>2019 г.</c:v>
                </c:pt>
                <c:pt idx="4">
                  <c:v>2020 г.</c:v>
                </c:pt>
                <c:pt idx="5">
                  <c:v>2021 г.</c:v>
                </c:pt>
              </c:strCache>
            </c:strRef>
          </c:cat>
          <c:val>
            <c:numRef>
              <c:f>'[Диаграмма в Microsoft Word]Лист1'!$B$3:$G$3</c:f>
              <c:numCache>
                <c:formatCode>General</c:formatCode>
                <c:ptCount val="6"/>
                <c:pt idx="0">
                  <c:v>90</c:v>
                </c:pt>
                <c:pt idx="1">
                  <c:v>90</c:v>
                </c:pt>
                <c:pt idx="2">
                  <c:v>90</c:v>
                </c:pt>
                <c:pt idx="3">
                  <c:v>90</c:v>
                </c:pt>
                <c:pt idx="4">
                  <c:v>90</c:v>
                </c:pt>
                <c:pt idx="5">
                  <c:v>90</c:v>
                </c:pt>
              </c:numCache>
            </c:numRef>
          </c:val>
          <c:smooth val="0"/>
          <c:extLst xmlns:c16r2="http://schemas.microsoft.com/office/drawing/2015/06/chart">
            <c:ext xmlns:c16="http://schemas.microsoft.com/office/drawing/2014/chart" uri="{C3380CC4-5D6E-409C-BE32-E72D297353CC}">
              <c16:uniqueId val="{00000007-87F9-45BD-A92B-1D2D7A947D57}"/>
            </c:ext>
          </c:extLst>
        </c:ser>
        <c:dLbls>
          <c:showLegendKey val="0"/>
          <c:showVal val="1"/>
          <c:showCatName val="0"/>
          <c:showSerName val="0"/>
          <c:showPercent val="0"/>
          <c:showBubbleSize val="0"/>
        </c:dLbls>
        <c:marker val="1"/>
        <c:smooth val="0"/>
        <c:axId val="336088448"/>
        <c:axId val="336102528"/>
      </c:lineChart>
      <c:catAx>
        <c:axId val="336088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102528"/>
        <c:crosses val="autoZero"/>
        <c:auto val="1"/>
        <c:lblAlgn val="ctr"/>
        <c:lblOffset val="100"/>
        <c:noMultiLvlLbl val="0"/>
      </c:catAx>
      <c:valAx>
        <c:axId val="33610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Срок  присоединения, дней </a:t>
                </a:r>
              </a:p>
            </c:rich>
          </c:tx>
          <c:layout>
            <c:manualLayout>
              <c:xMode val="edge"/>
              <c:yMode val="edge"/>
              <c:x val="2.6143790849673203E-2"/>
              <c:y val="0.222465368912219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0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Тарифы на электрическую энергию для населения с НДС</a:t>
            </a:r>
          </a:p>
        </c:rich>
      </c:tx>
      <c:overlay val="0"/>
      <c:spPr>
        <a:noFill/>
        <a:ln>
          <a:noFill/>
        </a:ln>
        <a:effectLst/>
      </c:spPr>
    </c:title>
    <c:autoTitleDeleted val="0"/>
    <c:plotArea>
      <c:layout>
        <c:manualLayout>
          <c:layoutTarget val="inner"/>
          <c:xMode val="edge"/>
          <c:yMode val="edge"/>
          <c:x val="5.1559621647806607E-2"/>
          <c:y val="0.16977538273258364"/>
          <c:w val="0.8361451496187694"/>
          <c:h val="0.50575801833421841"/>
        </c:manualLayout>
      </c:layout>
      <c:barChart>
        <c:barDir val="col"/>
        <c:grouping val="clustered"/>
        <c:varyColors val="0"/>
        <c:ser>
          <c:idx val="0"/>
          <c:order val="0"/>
          <c:tx>
            <c:strRef>
              <c:f>'Тарифы для населения'!$D$5</c:f>
              <c:strCache>
                <c:ptCount val="1"/>
                <c:pt idx="0">
                  <c:v>С 01.01.2022 по 30.06.2022</c:v>
                </c:pt>
              </c:strCache>
            </c:strRef>
          </c:tx>
          <c:spPr>
            <a:solidFill>
              <a:schemeClr val="accent1"/>
            </a:solidFill>
            <a:ln>
              <a:noFill/>
            </a:ln>
            <a:effectLst/>
          </c:spPr>
          <c:invertIfNegative val="0"/>
          <c:cat>
            <c:strRef>
              <c:f>'Тарифы для населения'!$B$6:$B$23</c:f>
              <c:strCache>
                <c:ptCount val="18"/>
                <c:pt idx="0">
                  <c:v>Ярославская область</c:v>
                </c:pt>
                <c:pt idx="1">
                  <c:v>Липецкая область</c:v>
                </c:pt>
                <c:pt idx="2">
                  <c:v>Брянская область</c:v>
                </c:pt>
                <c:pt idx="3">
                  <c:v>Орловская область</c:v>
                </c:pt>
                <c:pt idx="4">
                  <c:v>Курская область</c:v>
                </c:pt>
                <c:pt idx="5">
                  <c:v>Воронежская область</c:v>
                </c:pt>
                <c:pt idx="6">
                  <c:v>Смоленская область</c:v>
                </c:pt>
                <c:pt idx="7">
                  <c:v>Тамбовская область</c:v>
                </c:pt>
                <c:pt idx="8">
                  <c:v>Белгородская область</c:v>
                </c:pt>
                <c:pt idx="9">
                  <c:v>Тверская область</c:v>
                </c:pt>
                <c:pt idx="10">
                  <c:v>Тульская область</c:v>
                </c:pt>
                <c:pt idx="11">
                  <c:v>Костромская область</c:v>
                </c:pt>
                <c:pt idx="12">
                  <c:v>Владимирская область</c:v>
                </c:pt>
                <c:pt idx="13">
                  <c:v>Ивановская область</c:v>
                </c:pt>
                <c:pt idx="14">
                  <c:v>Рязанская область</c:v>
                </c:pt>
                <c:pt idx="15">
                  <c:v>Калужская область</c:v>
                </c:pt>
                <c:pt idx="16">
                  <c:v>г.Москва</c:v>
                </c:pt>
                <c:pt idx="17">
                  <c:v>Московская область</c:v>
                </c:pt>
              </c:strCache>
            </c:strRef>
          </c:cat>
          <c:val>
            <c:numRef>
              <c:f>'Тарифы для населения'!$D$6:$D$23</c:f>
              <c:numCache>
                <c:formatCode>#,##0.00</c:formatCode>
                <c:ptCount val="18"/>
                <c:pt idx="0">
                  <c:v>3.99</c:v>
                </c:pt>
                <c:pt idx="1">
                  <c:v>4.04</c:v>
                </c:pt>
                <c:pt idx="2">
                  <c:v>4.17</c:v>
                </c:pt>
                <c:pt idx="3">
                  <c:v>4.2</c:v>
                </c:pt>
                <c:pt idx="4">
                  <c:v>4.16</c:v>
                </c:pt>
                <c:pt idx="5">
                  <c:v>4.24</c:v>
                </c:pt>
                <c:pt idx="6">
                  <c:v>4.26</c:v>
                </c:pt>
                <c:pt idx="7">
                  <c:v>4.3</c:v>
                </c:pt>
                <c:pt idx="8">
                  <c:v>4.33</c:v>
                </c:pt>
                <c:pt idx="9">
                  <c:v>4.32</c:v>
                </c:pt>
                <c:pt idx="10">
                  <c:v>4.8</c:v>
                </c:pt>
                <c:pt idx="11">
                  <c:v>4.82</c:v>
                </c:pt>
                <c:pt idx="12">
                  <c:v>4.9400000000000004</c:v>
                </c:pt>
                <c:pt idx="13">
                  <c:v>4.97</c:v>
                </c:pt>
                <c:pt idx="14">
                  <c:v>5.08</c:v>
                </c:pt>
                <c:pt idx="15">
                  <c:v>5.3</c:v>
                </c:pt>
                <c:pt idx="16">
                  <c:v>5.92</c:v>
                </c:pt>
                <c:pt idx="17">
                  <c:v>5.93</c:v>
                </c:pt>
              </c:numCache>
            </c:numRef>
          </c:val>
          <c:extLst xmlns:c16r2="http://schemas.microsoft.com/office/drawing/2015/06/chart">
            <c:ext xmlns:c16="http://schemas.microsoft.com/office/drawing/2014/chart" uri="{C3380CC4-5D6E-409C-BE32-E72D297353CC}">
              <c16:uniqueId val="{00000000-82B1-459B-A44F-60B3E08DAC95}"/>
            </c:ext>
          </c:extLst>
        </c:ser>
        <c:ser>
          <c:idx val="1"/>
          <c:order val="1"/>
          <c:tx>
            <c:strRef>
              <c:f>'Тарифы для населения'!$E$5</c:f>
              <c:strCache>
                <c:ptCount val="1"/>
                <c:pt idx="0">
                  <c:v>С 01.07.2022 по 31.12.2022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'Тарифы для населения'!$B$6:$B$23</c:f>
              <c:strCache>
                <c:ptCount val="18"/>
                <c:pt idx="0">
                  <c:v>Ярославская область</c:v>
                </c:pt>
                <c:pt idx="1">
                  <c:v>Липецкая область</c:v>
                </c:pt>
                <c:pt idx="2">
                  <c:v>Брянская область</c:v>
                </c:pt>
                <c:pt idx="3">
                  <c:v>Орловская область</c:v>
                </c:pt>
                <c:pt idx="4">
                  <c:v>Курская область</c:v>
                </c:pt>
                <c:pt idx="5">
                  <c:v>Воронежская область</c:v>
                </c:pt>
                <c:pt idx="6">
                  <c:v>Смоленская область</c:v>
                </c:pt>
                <c:pt idx="7">
                  <c:v>Тамбовская область</c:v>
                </c:pt>
                <c:pt idx="8">
                  <c:v>Белгородская область</c:v>
                </c:pt>
                <c:pt idx="9">
                  <c:v>Тверская область</c:v>
                </c:pt>
                <c:pt idx="10">
                  <c:v>Тульская область</c:v>
                </c:pt>
                <c:pt idx="11">
                  <c:v>Костромская область</c:v>
                </c:pt>
                <c:pt idx="12">
                  <c:v>Владимирская область</c:v>
                </c:pt>
                <c:pt idx="13">
                  <c:v>Ивановская область</c:v>
                </c:pt>
                <c:pt idx="14">
                  <c:v>Рязанская область</c:v>
                </c:pt>
                <c:pt idx="15">
                  <c:v>Калужская область</c:v>
                </c:pt>
                <c:pt idx="16">
                  <c:v>г.Москва</c:v>
                </c:pt>
                <c:pt idx="17">
                  <c:v>Московская область</c:v>
                </c:pt>
              </c:strCache>
            </c:strRef>
          </c:cat>
          <c:val>
            <c:numRef>
              <c:f>'Тарифы для населения'!$E$6:$E$23</c:f>
              <c:numCache>
                <c:formatCode>#,##0.00</c:formatCode>
                <c:ptCount val="18"/>
                <c:pt idx="0">
                  <c:v>4.17</c:v>
                </c:pt>
                <c:pt idx="1">
                  <c:v>4.25</c:v>
                </c:pt>
                <c:pt idx="2">
                  <c:v>4.37</c:v>
                </c:pt>
                <c:pt idx="3">
                  <c:v>4.41</c:v>
                </c:pt>
                <c:pt idx="4">
                  <c:v>4.34</c:v>
                </c:pt>
                <c:pt idx="5">
                  <c:v>4.45</c:v>
                </c:pt>
                <c:pt idx="6">
                  <c:v>4.46</c:v>
                </c:pt>
                <c:pt idx="7">
                  <c:v>4.51</c:v>
                </c:pt>
                <c:pt idx="8">
                  <c:v>4.5</c:v>
                </c:pt>
                <c:pt idx="9">
                  <c:v>4.4000000000000004</c:v>
                </c:pt>
                <c:pt idx="10">
                  <c:v>5.04</c:v>
                </c:pt>
                <c:pt idx="11">
                  <c:v>4.99</c:v>
                </c:pt>
                <c:pt idx="12">
                  <c:v>5.19</c:v>
                </c:pt>
                <c:pt idx="13">
                  <c:v>5.22</c:v>
                </c:pt>
                <c:pt idx="14">
                  <c:v>5.34</c:v>
                </c:pt>
                <c:pt idx="15">
                  <c:v>5.51</c:v>
                </c:pt>
                <c:pt idx="16">
                  <c:v>6.17</c:v>
                </c:pt>
                <c:pt idx="17">
                  <c:v>6.17</c:v>
                </c:pt>
              </c:numCache>
            </c:numRef>
          </c:val>
          <c:extLst xmlns:c16r2="http://schemas.microsoft.com/office/drawing/2015/06/chart">
            <c:ext xmlns:c16="http://schemas.microsoft.com/office/drawing/2014/chart" uri="{C3380CC4-5D6E-409C-BE32-E72D297353CC}">
              <c16:uniqueId val="{00000001-82B1-459B-A44F-60B3E08DAC95}"/>
            </c:ext>
          </c:extLst>
        </c:ser>
        <c:dLbls>
          <c:showLegendKey val="0"/>
          <c:showVal val="0"/>
          <c:showCatName val="0"/>
          <c:showSerName val="0"/>
          <c:showPercent val="0"/>
          <c:showBubbleSize val="0"/>
        </c:dLbls>
        <c:gapWidth val="219"/>
        <c:overlap val="-27"/>
        <c:axId val="302837120"/>
        <c:axId val="302879872"/>
      </c:barChart>
      <c:catAx>
        <c:axId val="30283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2879872"/>
        <c:crosses val="autoZero"/>
        <c:auto val="1"/>
        <c:lblAlgn val="ctr"/>
        <c:lblOffset val="100"/>
        <c:noMultiLvlLbl val="0"/>
      </c:catAx>
      <c:valAx>
        <c:axId val="30287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 руб./кВтч</a:t>
                </a:r>
              </a:p>
            </c:rich>
          </c:tx>
          <c:layout>
            <c:manualLayout>
              <c:xMode val="edge"/>
              <c:yMode val="edge"/>
              <c:x val="2.8192030647985859E-2"/>
              <c:y val="0.2503375307658527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283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Розничные цены</a:t>
            </a:r>
            <a:r>
              <a:rPr lang="ru-RU" sz="1000" b="1" baseline="0"/>
              <a:t> на природный газ для населения </a:t>
            </a:r>
          </a:p>
          <a:p>
            <a:pPr>
              <a:defRPr sz="1000" b="1" i="0" u="none" strike="noStrike" kern="1200" spc="0" baseline="0">
                <a:solidFill>
                  <a:schemeClr val="tx1">
                    <a:lumMod val="65000"/>
                    <a:lumOff val="35000"/>
                  </a:schemeClr>
                </a:solidFill>
                <a:latin typeface="+mn-lt"/>
                <a:ea typeface="+mn-ea"/>
                <a:cs typeface="+mn-cs"/>
              </a:defRPr>
            </a:pPr>
            <a:r>
              <a:rPr lang="ru-RU" sz="1000" b="1" baseline="0"/>
              <a:t>в 1 полугодии 2022 года с НДС</a:t>
            </a:r>
            <a:endParaRPr lang="ru-RU" sz="10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Лист2!$F$5</c:f>
              <c:strCache>
                <c:ptCount val="1"/>
                <c:pt idx="0">
                  <c:v>По прибору учета</c:v>
                </c:pt>
              </c:strCache>
            </c:strRef>
          </c:tx>
          <c:spPr>
            <a:solidFill>
              <a:schemeClr val="accent1"/>
            </a:solidFill>
            <a:ln>
              <a:noFill/>
            </a:ln>
            <a:effectLst/>
            <a:sp3d/>
          </c:spPr>
          <c:invertIfNegative val="0"/>
          <c:cat>
            <c:strRef>
              <c:f>Лист2!$E$6:$E$23</c:f>
              <c:strCache>
                <c:ptCount val="18"/>
                <c:pt idx="0">
                  <c:v>Смоленская область</c:v>
                </c:pt>
                <c:pt idx="1">
                  <c:v>Владимирская область*</c:v>
                </c:pt>
                <c:pt idx="2">
                  <c:v>Тульская область</c:v>
                </c:pt>
                <c:pt idx="3">
                  <c:v>Нижегородская область</c:v>
                </c:pt>
                <c:pt idx="4">
                  <c:v>Липецкая область</c:v>
                </c:pt>
                <c:pt idx="5">
                  <c:v>Тамбовская область</c:v>
                </c:pt>
                <c:pt idx="6">
                  <c:v>Белгородская область</c:v>
                </c:pt>
                <c:pt idx="7">
                  <c:v>Рязанская область</c:v>
                </c:pt>
                <c:pt idx="8">
                  <c:v>Костромская область</c:v>
                </c:pt>
                <c:pt idx="9">
                  <c:v>Орловская область</c:v>
                </c:pt>
                <c:pt idx="10">
                  <c:v>Брянская область</c:v>
                </c:pt>
                <c:pt idx="11">
                  <c:v>Воронежская область</c:v>
                </c:pt>
                <c:pt idx="12">
                  <c:v>Владимирская область</c:v>
                </c:pt>
                <c:pt idx="13">
                  <c:v>Ярославская область</c:v>
                </c:pt>
                <c:pt idx="14">
                  <c:v>Калужская область</c:v>
                </c:pt>
                <c:pt idx="15">
                  <c:v>Ивановская область</c:v>
                </c:pt>
                <c:pt idx="16">
                  <c:v>Курская область</c:v>
                </c:pt>
                <c:pt idx="17">
                  <c:v>Тверская область</c:v>
                </c:pt>
              </c:strCache>
            </c:strRef>
          </c:cat>
          <c:val>
            <c:numRef>
              <c:f>Лист2!$F$6:$F$23</c:f>
              <c:numCache>
                <c:formatCode>#,##0.00</c:formatCode>
                <c:ptCount val="18"/>
                <c:pt idx="0">
                  <c:v>5.9032799999999996</c:v>
                </c:pt>
                <c:pt idx="1">
                  <c:v>6.07</c:v>
                </c:pt>
                <c:pt idx="2">
                  <c:v>6.2383000000000006</c:v>
                </c:pt>
                <c:pt idx="3">
                  <c:v>6.1311400000000003</c:v>
                </c:pt>
                <c:pt idx="4">
                  <c:v>6.44</c:v>
                </c:pt>
                <c:pt idx="5">
                  <c:v>6.5370200000000001</c:v>
                </c:pt>
                <c:pt idx="6">
                  <c:v>6.7277899999999997</c:v>
                </c:pt>
                <c:pt idx="7">
                  <c:v>6.2850000000000001</c:v>
                </c:pt>
                <c:pt idx="8">
                  <c:v>5.43</c:v>
                </c:pt>
                <c:pt idx="9">
                  <c:v>6.07</c:v>
                </c:pt>
                <c:pt idx="10">
                  <c:v>6.3</c:v>
                </c:pt>
                <c:pt idx="11">
                  <c:v>6.2255699999999994</c:v>
                </c:pt>
                <c:pt idx="12">
                  <c:v>5.84</c:v>
                </c:pt>
                <c:pt idx="13">
                  <c:v>5.3566199999999995</c:v>
                </c:pt>
                <c:pt idx="14">
                  <c:v>6.4906300000000003</c:v>
                </c:pt>
                <c:pt idx="15">
                  <c:v>5.77</c:v>
                </c:pt>
                <c:pt idx="16">
                  <c:v>6.38</c:v>
                </c:pt>
                <c:pt idx="17">
                  <c:v>5.8079999999999998</c:v>
                </c:pt>
              </c:numCache>
            </c:numRef>
          </c:val>
          <c:extLst xmlns:c16r2="http://schemas.microsoft.com/office/drawing/2015/06/chart">
            <c:ext xmlns:c16="http://schemas.microsoft.com/office/drawing/2014/chart" uri="{C3380CC4-5D6E-409C-BE32-E72D297353CC}">
              <c16:uniqueId val="{00000000-8923-4A85-B1AD-48AC8198ACF6}"/>
            </c:ext>
          </c:extLst>
        </c:ser>
        <c:ser>
          <c:idx val="1"/>
          <c:order val="1"/>
          <c:tx>
            <c:strRef>
              <c:f>Лист2!$G$5</c:f>
              <c:strCache>
                <c:ptCount val="1"/>
                <c:pt idx="0">
                  <c:v>На пищеприготовление и нагрев воды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Лист2!$E$6:$E$23</c:f>
              <c:strCache>
                <c:ptCount val="18"/>
                <c:pt idx="0">
                  <c:v>Смоленская область</c:v>
                </c:pt>
                <c:pt idx="1">
                  <c:v>Владимирская область*</c:v>
                </c:pt>
                <c:pt idx="2">
                  <c:v>Тульская область</c:v>
                </c:pt>
                <c:pt idx="3">
                  <c:v>Нижегородская область</c:v>
                </c:pt>
                <c:pt idx="4">
                  <c:v>Липецкая область</c:v>
                </c:pt>
                <c:pt idx="5">
                  <c:v>Тамбовская область</c:v>
                </c:pt>
                <c:pt idx="6">
                  <c:v>Белгородская область</c:v>
                </c:pt>
                <c:pt idx="7">
                  <c:v>Рязанская область</c:v>
                </c:pt>
                <c:pt idx="8">
                  <c:v>Костромская область</c:v>
                </c:pt>
                <c:pt idx="9">
                  <c:v>Орловская область</c:v>
                </c:pt>
                <c:pt idx="10">
                  <c:v>Брянская область</c:v>
                </c:pt>
                <c:pt idx="11">
                  <c:v>Воронежская область</c:v>
                </c:pt>
                <c:pt idx="12">
                  <c:v>Владимирская область</c:v>
                </c:pt>
                <c:pt idx="13">
                  <c:v>Ярославская область</c:v>
                </c:pt>
                <c:pt idx="14">
                  <c:v>Калужская область</c:v>
                </c:pt>
                <c:pt idx="15">
                  <c:v>Ивановская область</c:v>
                </c:pt>
                <c:pt idx="16">
                  <c:v>Курская область</c:v>
                </c:pt>
                <c:pt idx="17">
                  <c:v>Тверская область</c:v>
                </c:pt>
              </c:strCache>
            </c:strRef>
          </c:cat>
          <c:val>
            <c:numRef>
              <c:f>Лист2!$G$6:$G$23</c:f>
              <c:numCache>
                <c:formatCode>#,##0.00</c:formatCode>
                <c:ptCount val="18"/>
                <c:pt idx="0">
                  <c:v>6.0416399999999992</c:v>
                </c:pt>
                <c:pt idx="1">
                  <c:v>6.07</c:v>
                </c:pt>
                <c:pt idx="2">
                  <c:v>6.2383000000000006</c:v>
                </c:pt>
                <c:pt idx="3">
                  <c:v>6.3875799999999998</c:v>
                </c:pt>
                <c:pt idx="4">
                  <c:v>6.44</c:v>
                </c:pt>
                <c:pt idx="5">
                  <c:v>6.5370200000000001</c:v>
                </c:pt>
                <c:pt idx="6">
                  <c:v>6.7277899999999997</c:v>
                </c:pt>
                <c:pt idx="7">
                  <c:v>7.0279999999999996</c:v>
                </c:pt>
                <c:pt idx="8">
                  <c:v>7.2</c:v>
                </c:pt>
                <c:pt idx="9" formatCode="0.00">
                  <c:v>7.38</c:v>
                </c:pt>
                <c:pt idx="10">
                  <c:v>7.6</c:v>
                </c:pt>
                <c:pt idx="11">
                  <c:v>7.85</c:v>
                </c:pt>
                <c:pt idx="12">
                  <c:v>7.93</c:v>
                </c:pt>
                <c:pt idx="13">
                  <c:v>7.9800300000000002</c:v>
                </c:pt>
                <c:pt idx="14">
                  <c:v>8.4600000000000009</c:v>
                </c:pt>
                <c:pt idx="15">
                  <c:v>8.66</c:v>
                </c:pt>
                <c:pt idx="16">
                  <c:v>8.68</c:v>
                </c:pt>
                <c:pt idx="17">
                  <c:v>8.85</c:v>
                </c:pt>
              </c:numCache>
            </c:numRef>
          </c:val>
          <c:extLst xmlns:c16r2="http://schemas.microsoft.com/office/drawing/2015/06/chart">
            <c:ext xmlns:c16="http://schemas.microsoft.com/office/drawing/2014/chart" uri="{C3380CC4-5D6E-409C-BE32-E72D297353CC}">
              <c16:uniqueId val="{00000001-8923-4A85-B1AD-48AC8198ACF6}"/>
            </c:ext>
          </c:extLst>
        </c:ser>
        <c:ser>
          <c:idx val="2"/>
          <c:order val="2"/>
          <c:tx>
            <c:strRef>
              <c:f>Лист2!$H$5</c:f>
              <c:strCache>
                <c:ptCount val="1"/>
                <c:pt idx="0">
                  <c:v>На отопление</c:v>
                </c:pt>
              </c:strCache>
            </c:strRef>
          </c:tx>
          <c:spPr>
            <a:solidFill>
              <a:schemeClr val="accent3"/>
            </a:solidFill>
            <a:ln>
              <a:noFill/>
            </a:ln>
            <a:effectLst/>
            <a:sp3d/>
          </c:spPr>
          <c:invertIfNegative val="0"/>
          <c:cat>
            <c:strRef>
              <c:f>Лист2!$E$6:$E$23</c:f>
              <c:strCache>
                <c:ptCount val="18"/>
                <c:pt idx="0">
                  <c:v>Смоленская область</c:v>
                </c:pt>
                <c:pt idx="1">
                  <c:v>Владимирская область*</c:v>
                </c:pt>
                <c:pt idx="2">
                  <c:v>Тульская область</c:v>
                </c:pt>
                <c:pt idx="3">
                  <c:v>Нижегородская область</c:v>
                </c:pt>
                <c:pt idx="4">
                  <c:v>Липецкая область</c:v>
                </c:pt>
                <c:pt idx="5">
                  <c:v>Тамбовская область</c:v>
                </c:pt>
                <c:pt idx="6">
                  <c:v>Белгородская область</c:v>
                </c:pt>
                <c:pt idx="7">
                  <c:v>Рязанская область</c:v>
                </c:pt>
                <c:pt idx="8">
                  <c:v>Костромская область</c:v>
                </c:pt>
                <c:pt idx="9">
                  <c:v>Орловская область</c:v>
                </c:pt>
                <c:pt idx="10">
                  <c:v>Брянская область</c:v>
                </c:pt>
                <c:pt idx="11">
                  <c:v>Воронежская область</c:v>
                </c:pt>
                <c:pt idx="12">
                  <c:v>Владимирская область</c:v>
                </c:pt>
                <c:pt idx="13">
                  <c:v>Ярославская область</c:v>
                </c:pt>
                <c:pt idx="14">
                  <c:v>Калужская область</c:v>
                </c:pt>
                <c:pt idx="15">
                  <c:v>Ивановская область</c:v>
                </c:pt>
                <c:pt idx="16">
                  <c:v>Курская область</c:v>
                </c:pt>
                <c:pt idx="17">
                  <c:v>Тверская область</c:v>
                </c:pt>
              </c:strCache>
            </c:strRef>
          </c:cat>
          <c:val>
            <c:numRef>
              <c:f>Лист2!$H$6:$H$23</c:f>
              <c:numCache>
                <c:formatCode>#,##0.00</c:formatCode>
                <c:ptCount val="18"/>
                <c:pt idx="0">
                  <c:v>4.9557700000000002</c:v>
                </c:pt>
                <c:pt idx="1">
                  <c:v>5.09</c:v>
                </c:pt>
                <c:pt idx="2">
                  <c:v>6.2383000000000006</c:v>
                </c:pt>
                <c:pt idx="3">
                  <c:v>5.5410000000000004</c:v>
                </c:pt>
                <c:pt idx="4">
                  <c:v>6.44</c:v>
                </c:pt>
                <c:pt idx="5">
                  <c:v>6.5370200000000001</c:v>
                </c:pt>
                <c:pt idx="6">
                  <c:v>6.7277899999999997</c:v>
                </c:pt>
                <c:pt idx="7">
                  <c:v>6.2850000000000001</c:v>
                </c:pt>
                <c:pt idx="8">
                  <c:v>5.43</c:v>
                </c:pt>
                <c:pt idx="9">
                  <c:v>6.07</c:v>
                </c:pt>
                <c:pt idx="10">
                  <c:v>5.3480799999999995</c:v>
                </c:pt>
                <c:pt idx="11">
                  <c:v>6.2255699999999994</c:v>
                </c:pt>
                <c:pt idx="12">
                  <c:v>5.64</c:v>
                </c:pt>
                <c:pt idx="13">
                  <c:v>5.3566199999999995</c:v>
                </c:pt>
                <c:pt idx="14">
                  <c:v>6.4906300000000003</c:v>
                </c:pt>
                <c:pt idx="15">
                  <c:v>5.41</c:v>
                </c:pt>
                <c:pt idx="16">
                  <c:v>5.0579999999999998</c:v>
                </c:pt>
                <c:pt idx="17">
                  <c:v>5.8079999999999998</c:v>
                </c:pt>
              </c:numCache>
            </c:numRef>
          </c:val>
          <c:extLst xmlns:c16r2="http://schemas.microsoft.com/office/drawing/2015/06/chart">
            <c:ext xmlns:c16="http://schemas.microsoft.com/office/drawing/2014/chart" uri="{C3380CC4-5D6E-409C-BE32-E72D297353CC}">
              <c16:uniqueId val="{00000002-8923-4A85-B1AD-48AC8198ACF6}"/>
            </c:ext>
          </c:extLst>
        </c:ser>
        <c:dLbls>
          <c:showLegendKey val="0"/>
          <c:showVal val="0"/>
          <c:showCatName val="0"/>
          <c:showSerName val="0"/>
          <c:showPercent val="0"/>
          <c:showBubbleSize val="0"/>
        </c:dLbls>
        <c:gapWidth val="150"/>
        <c:shape val="box"/>
        <c:axId val="332854784"/>
        <c:axId val="332856320"/>
        <c:axId val="0"/>
      </c:bar3DChart>
      <c:catAx>
        <c:axId val="33285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856320"/>
        <c:crosses val="autoZero"/>
        <c:auto val="1"/>
        <c:lblAlgn val="ctr"/>
        <c:lblOffset val="100"/>
        <c:noMultiLvlLbl val="0"/>
      </c:catAx>
      <c:valAx>
        <c:axId val="33285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Цена, руб./куб. </a:t>
                </a:r>
              </a:p>
              <a:p>
                <a:pPr>
                  <a:defRPr sz="1000" b="0" i="0" u="none" strike="noStrike" kern="1200" baseline="0">
                    <a:solidFill>
                      <a:schemeClr val="tx1">
                        <a:lumMod val="65000"/>
                        <a:lumOff val="35000"/>
                      </a:schemeClr>
                    </a:solidFill>
                    <a:latin typeface="+mn-lt"/>
                    <a:ea typeface="+mn-ea"/>
                    <a:cs typeface="+mn-cs"/>
                  </a:defRPr>
                </a:pPr>
                <a:r>
                  <a:rPr lang="ru-RU"/>
                  <a:t>м</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85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00" b="1"/>
              <a:t>Средние тарифы на</a:t>
            </a:r>
            <a:r>
              <a:rPr lang="ru-RU" sz="1000" b="1" baseline="0"/>
              <a:t> тепловую энергию для всех категорий </a:t>
            </a:r>
          </a:p>
          <a:p>
            <a:pPr>
              <a:defRPr sz="1050" b="0" i="0" u="none" strike="noStrike" kern="1200" spc="0" baseline="0">
                <a:solidFill>
                  <a:schemeClr val="tx1">
                    <a:lumMod val="65000"/>
                    <a:lumOff val="35000"/>
                  </a:schemeClr>
                </a:solidFill>
                <a:latin typeface="+mn-lt"/>
                <a:ea typeface="+mn-ea"/>
                <a:cs typeface="+mn-cs"/>
              </a:defRPr>
            </a:pPr>
            <a:r>
              <a:rPr lang="ru-RU" sz="1000" b="1" baseline="0"/>
              <a:t>потребителей с НДС</a:t>
            </a:r>
            <a:endParaRPr lang="ru-RU" sz="1000" b="1"/>
          </a:p>
        </c:rich>
      </c:tx>
      <c:layout>
        <c:manualLayout>
          <c:xMode val="edge"/>
          <c:yMode val="edge"/>
          <c:x val="9.2176387599329557E-2"/>
          <c:y val="2.777776892798374E-2"/>
        </c:manualLayout>
      </c:layout>
      <c:overlay val="0"/>
      <c:spPr>
        <a:noFill/>
        <a:ln>
          <a:noFill/>
        </a:ln>
        <a:effectLst/>
      </c:spPr>
    </c:title>
    <c:autoTitleDeleted val="0"/>
    <c:plotArea>
      <c:layout/>
      <c:barChart>
        <c:barDir val="col"/>
        <c:grouping val="clustered"/>
        <c:varyColors val="0"/>
        <c:ser>
          <c:idx val="0"/>
          <c:order val="0"/>
          <c:tx>
            <c:strRef>
              <c:f>Лист3!$E$4</c:f>
              <c:strCache>
                <c:ptCount val="1"/>
                <c:pt idx="0">
                  <c:v>с 01.012022 по 30.06.2022</c:v>
                </c:pt>
              </c:strCache>
            </c:strRef>
          </c:tx>
          <c:spPr>
            <a:solidFill>
              <a:schemeClr val="accent1"/>
            </a:solidFill>
            <a:ln>
              <a:noFill/>
            </a:ln>
            <a:effectLst/>
          </c:spPr>
          <c:invertIfNegative val="0"/>
          <c:cat>
            <c:strRef>
              <c:f>Лист3!$D$5:$D$19</c:f>
              <c:strCache>
                <c:ptCount val="15"/>
                <c:pt idx="0">
                  <c:v>Курская область</c:v>
                </c:pt>
                <c:pt idx="1">
                  <c:v>Орловская область</c:v>
                </c:pt>
                <c:pt idx="2">
                  <c:v>Тверская область</c:v>
                </c:pt>
                <c:pt idx="3">
                  <c:v>Белгородская область</c:v>
                </c:pt>
                <c:pt idx="4">
                  <c:v>Тамбовская область</c:v>
                </c:pt>
                <c:pt idx="5">
                  <c:v>Калужская область</c:v>
                </c:pt>
                <c:pt idx="6">
                  <c:v>Ярославская область</c:v>
                </c:pt>
                <c:pt idx="7">
                  <c:v>Воронежская область</c:v>
                </c:pt>
                <c:pt idx="8">
                  <c:v>Липецкая область</c:v>
                </c:pt>
                <c:pt idx="9">
                  <c:v>Ивановская область</c:v>
                </c:pt>
                <c:pt idx="10">
                  <c:v>г. Москва</c:v>
                </c:pt>
                <c:pt idx="11">
                  <c:v>Тульская область</c:v>
                </c:pt>
                <c:pt idx="12">
                  <c:v>Владимирская область</c:v>
                </c:pt>
                <c:pt idx="13">
                  <c:v>Костромская область</c:v>
                </c:pt>
                <c:pt idx="14">
                  <c:v>Смоленская область</c:v>
                </c:pt>
              </c:strCache>
            </c:strRef>
          </c:cat>
          <c:val>
            <c:numRef>
              <c:f>Лист3!$E$5:$E$19</c:f>
              <c:numCache>
                <c:formatCode>#,##0.00</c:formatCode>
                <c:ptCount val="15"/>
                <c:pt idx="0">
                  <c:v>1859.69</c:v>
                </c:pt>
                <c:pt idx="1">
                  <c:v>1954.51</c:v>
                </c:pt>
                <c:pt idx="2">
                  <c:v>2008.3</c:v>
                </c:pt>
                <c:pt idx="3">
                  <c:v>2132.71</c:v>
                </c:pt>
                <c:pt idx="4">
                  <c:v>2201.5700000000002</c:v>
                </c:pt>
                <c:pt idx="5">
                  <c:v>2170.9</c:v>
                </c:pt>
                <c:pt idx="6">
                  <c:v>2202.9499999999998</c:v>
                </c:pt>
                <c:pt idx="7">
                  <c:v>2152.7199999999998</c:v>
                </c:pt>
                <c:pt idx="8">
                  <c:v>2200.04</c:v>
                </c:pt>
                <c:pt idx="9">
                  <c:v>2281.85</c:v>
                </c:pt>
                <c:pt idx="10">
                  <c:v>2368.86</c:v>
                </c:pt>
                <c:pt idx="11">
                  <c:v>2380.61</c:v>
                </c:pt>
                <c:pt idx="12">
                  <c:v>2480.2399999999998</c:v>
                </c:pt>
                <c:pt idx="13">
                  <c:v>2504.0500000000002</c:v>
                </c:pt>
                <c:pt idx="14">
                  <c:v>2565.9299999999998</c:v>
                </c:pt>
              </c:numCache>
            </c:numRef>
          </c:val>
          <c:extLst xmlns:c16r2="http://schemas.microsoft.com/office/drawing/2015/06/chart">
            <c:ext xmlns:c16="http://schemas.microsoft.com/office/drawing/2014/chart" uri="{C3380CC4-5D6E-409C-BE32-E72D297353CC}">
              <c16:uniqueId val="{00000000-5B95-4A35-88B6-27316C2AC820}"/>
            </c:ext>
          </c:extLst>
        </c:ser>
        <c:ser>
          <c:idx val="1"/>
          <c:order val="1"/>
          <c:tx>
            <c:strRef>
              <c:f>Лист3!$F$4</c:f>
              <c:strCache>
                <c:ptCount val="1"/>
                <c:pt idx="0">
                  <c:v>с 01.07.2022 по 31.12.2022</c:v>
                </c:pt>
              </c:strCache>
            </c:strRef>
          </c:tx>
          <c:spPr>
            <a:solidFill>
              <a:schemeClr val="accent2"/>
            </a:solidFill>
            <a:ln>
              <a:noFill/>
            </a:ln>
            <a:effectLst/>
          </c:spPr>
          <c:invertIfNegative val="0"/>
          <c:dLbls>
            <c:dLbl>
              <c:idx val="0"/>
              <c:layout>
                <c:manualLayout>
                  <c:x val="-1.04329681794470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95-4A35-88B6-27316C2AC820}"/>
                </c:ext>
              </c:extLst>
            </c:dLbl>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95-4A35-88B6-27316C2AC820}"/>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Лист3!$D$5:$D$19</c:f>
              <c:strCache>
                <c:ptCount val="15"/>
                <c:pt idx="0">
                  <c:v>Курская область</c:v>
                </c:pt>
                <c:pt idx="1">
                  <c:v>Орловская область</c:v>
                </c:pt>
                <c:pt idx="2">
                  <c:v>Тверская область</c:v>
                </c:pt>
                <c:pt idx="3">
                  <c:v>Белгородская область</c:v>
                </c:pt>
                <c:pt idx="4">
                  <c:v>Тамбовская область</c:v>
                </c:pt>
                <c:pt idx="5">
                  <c:v>Калужская область</c:v>
                </c:pt>
                <c:pt idx="6">
                  <c:v>Ярославская область</c:v>
                </c:pt>
                <c:pt idx="7">
                  <c:v>Воронежская область</c:v>
                </c:pt>
                <c:pt idx="8">
                  <c:v>Липецкая область</c:v>
                </c:pt>
                <c:pt idx="9">
                  <c:v>Ивановская область</c:v>
                </c:pt>
                <c:pt idx="10">
                  <c:v>г. Москва</c:v>
                </c:pt>
                <c:pt idx="11">
                  <c:v>Тульская область</c:v>
                </c:pt>
                <c:pt idx="12">
                  <c:v>Владимирская область</c:v>
                </c:pt>
                <c:pt idx="13">
                  <c:v>Костромская область</c:v>
                </c:pt>
                <c:pt idx="14">
                  <c:v>Смоленская область</c:v>
                </c:pt>
              </c:strCache>
            </c:strRef>
          </c:cat>
          <c:val>
            <c:numRef>
              <c:f>Лист3!$F$5:$F$19</c:f>
              <c:numCache>
                <c:formatCode>#,##0.00</c:formatCode>
                <c:ptCount val="15"/>
                <c:pt idx="0">
                  <c:v>1967.3</c:v>
                </c:pt>
                <c:pt idx="1">
                  <c:v>2027.32</c:v>
                </c:pt>
                <c:pt idx="2">
                  <c:v>2128.5700000000002</c:v>
                </c:pt>
                <c:pt idx="3">
                  <c:v>2271.1</c:v>
                </c:pt>
                <c:pt idx="4">
                  <c:v>2280.73</c:v>
                </c:pt>
                <c:pt idx="5">
                  <c:v>2295.1999999999998</c:v>
                </c:pt>
                <c:pt idx="6">
                  <c:v>2298.4</c:v>
                </c:pt>
                <c:pt idx="7">
                  <c:v>2316.41</c:v>
                </c:pt>
                <c:pt idx="8">
                  <c:v>2341.75</c:v>
                </c:pt>
                <c:pt idx="9">
                  <c:v>2358.5700000000002</c:v>
                </c:pt>
                <c:pt idx="10">
                  <c:v>2503.38</c:v>
                </c:pt>
                <c:pt idx="11">
                  <c:v>2518.1799999999998</c:v>
                </c:pt>
                <c:pt idx="12">
                  <c:v>2572.5500000000002</c:v>
                </c:pt>
                <c:pt idx="13">
                  <c:v>2596.81</c:v>
                </c:pt>
                <c:pt idx="14">
                  <c:v>2714.25</c:v>
                </c:pt>
              </c:numCache>
            </c:numRef>
          </c:val>
          <c:extLst xmlns:c16r2="http://schemas.microsoft.com/office/drawing/2015/06/chart">
            <c:ext xmlns:c16="http://schemas.microsoft.com/office/drawing/2014/chart" uri="{C3380CC4-5D6E-409C-BE32-E72D297353CC}">
              <c16:uniqueId val="{00000001-5B95-4A35-88B6-27316C2AC820}"/>
            </c:ext>
          </c:extLst>
        </c:ser>
        <c:dLbls>
          <c:showLegendKey val="0"/>
          <c:showVal val="0"/>
          <c:showCatName val="0"/>
          <c:showSerName val="0"/>
          <c:showPercent val="0"/>
          <c:showBubbleSize val="0"/>
        </c:dLbls>
        <c:gapWidth val="219"/>
        <c:overlap val="-27"/>
        <c:axId val="332847744"/>
        <c:axId val="333021568"/>
      </c:barChart>
      <c:catAx>
        <c:axId val="3328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021568"/>
        <c:crosses val="autoZero"/>
        <c:auto val="1"/>
        <c:lblAlgn val="ctr"/>
        <c:lblOffset val="100"/>
        <c:noMultiLvlLbl val="0"/>
      </c:catAx>
      <c:valAx>
        <c:axId val="33302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 руб./Гкал</a:t>
                </a:r>
              </a:p>
            </c:rich>
          </c:tx>
          <c:layout>
            <c:manualLayout>
              <c:xMode val="edge"/>
              <c:yMode val="edge"/>
              <c:x val="1.2195121951219513E-2"/>
              <c:y val="0.1756745003273538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84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Средние тарифы на питьевую воду для всех категорий потребителей с НДС</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17293177335884"/>
          <c:y val="0.18888888888888891"/>
          <c:w val="0.85672627785933542"/>
          <c:h val="0.49430033051424133"/>
        </c:manualLayout>
      </c:layout>
      <c:bar3DChart>
        <c:barDir val="col"/>
        <c:grouping val="clustered"/>
        <c:varyColors val="0"/>
        <c:ser>
          <c:idx val="0"/>
          <c:order val="0"/>
          <c:tx>
            <c:strRef>
              <c:f>Лист1!$D$4</c:f>
              <c:strCache>
                <c:ptCount val="1"/>
                <c:pt idx="0">
                  <c:v>с 01.01.2022 по 30.06.2022</c:v>
                </c:pt>
              </c:strCache>
            </c:strRef>
          </c:tx>
          <c:spPr>
            <a:solidFill>
              <a:schemeClr val="accent1"/>
            </a:solidFill>
            <a:ln>
              <a:noFill/>
            </a:ln>
            <a:effectLst/>
            <a:sp3d/>
          </c:spPr>
          <c:invertIfNegative val="0"/>
          <c:cat>
            <c:strRef>
              <c:f>Лист1!$C$5:$C$20</c:f>
              <c:strCache>
                <c:ptCount val="16"/>
                <c:pt idx="0">
                  <c:v>Тверская область</c:v>
                </c:pt>
                <c:pt idx="1">
                  <c:v>Брянская область</c:v>
                </c:pt>
                <c:pt idx="2">
                  <c:v>Орловская область</c:v>
                </c:pt>
                <c:pt idx="3">
                  <c:v>Ивановская область</c:v>
                </c:pt>
                <c:pt idx="4">
                  <c:v>Тамбовская область</c:v>
                </c:pt>
                <c:pt idx="5">
                  <c:v>Калужская область</c:v>
                </c:pt>
                <c:pt idx="6">
                  <c:v>Белгородская область</c:v>
                </c:pt>
                <c:pt idx="7">
                  <c:v>Воронежская область</c:v>
                </c:pt>
                <c:pt idx="8">
                  <c:v>Тульская область</c:v>
                </c:pt>
                <c:pt idx="9">
                  <c:v>Рязанская область</c:v>
                </c:pt>
                <c:pt idx="10">
                  <c:v>Курская область</c:v>
                </c:pt>
                <c:pt idx="11">
                  <c:v>Липецкая область</c:v>
                </c:pt>
                <c:pt idx="12">
                  <c:v>Владимирская область</c:v>
                </c:pt>
                <c:pt idx="13">
                  <c:v>Смоленская область</c:v>
                </c:pt>
                <c:pt idx="14">
                  <c:v>Костромская область</c:v>
                </c:pt>
                <c:pt idx="15">
                  <c:v>Ярославская область</c:v>
                </c:pt>
              </c:strCache>
            </c:strRef>
          </c:cat>
          <c:val>
            <c:numRef>
              <c:f>Лист1!$D$5:$D$20</c:f>
              <c:numCache>
                <c:formatCode>0.00</c:formatCode>
                <c:ptCount val="16"/>
                <c:pt idx="0">
                  <c:v>23.33</c:v>
                </c:pt>
                <c:pt idx="1">
                  <c:v>25.01</c:v>
                </c:pt>
                <c:pt idx="2">
                  <c:v>25.56</c:v>
                </c:pt>
                <c:pt idx="3">
                  <c:v>26.73</c:v>
                </c:pt>
                <c:pt idx="4">
                  <c:v>26.62</c:v>
                </c:pt>
                <c:pt idx="5">
                  <c:v>27.67</c:v>
                </c:pt>
                <c:pt idx="6">
                  <c:v>28.02</c:v>
                </c:pt>
                <c:pt idx="7">
                  <c:v>28.03</c:v>
                </c:pt>
                <c:pt idx="8">
                  <c:v>29.13</c:v>
                </c:pt>
                <c:pt idx="9">
                  <c:v>31.27</c:v>
                </c:pt>
                <c:pt idx="10">
                  <c:v>32.07</c:v>
                </c:pt>
                <c:pt idx="11">
                  <c:v>32.49</c:v>
                </c:pt>
                <c:pt idx="12">
                  <c:v>32.61</c:v>
                </c:pt>
                <c:pt idx="13">
                  <c:v>32.619999999999997</c:v>
                </c:pt>
                <c:pt idx="14">
                  <c:v>35.14</c:v>
                </c:pt>
                <c:pt idx="15">
                  <c:v>38.46</c:v>
                </c:pt>
              </c:numCache>
            </c:numRef>
          </c:val>
          <c:extLst xmlns:c16r2="http://schemas.microsoft.com/office/drawing/2015/06/chart">
            <c:ext xmlns:c16="http://schemas.microsoft.com/office/drawing/2014/chart" uri="{C3380CC4-5D6E-409C-BE32-E72D297353CC}">
              <c16:uniqueId val="{00000000-7050-402A-9093-F6F6BF497776}"/>
            </c:ext>
          </c:extLst>
        </c:ser>
        <c:ser>
          <c:idx val="1"/>
          <c:order val="1"/>
          <c:tx>
            <c:strRef>
              <c:f>Лист1!$E$4</c:f>
              <c:strCache>
                <c:ptCount val="1"/>
                <c:pt idx="0">
                  <c:v>с 01.07.2022 по 31.12.2022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Лист1!$C$5:$C$20</c:f>
              <c:strCache>
                <c:ptCount val="16"/>
                <c:pt idx="0">
                  <c:v>Тверская область</c:v>
                </c:pt>
                <c:pt idx="1">
                  <c:v>Брянская область</c:v>
                </c:pt>
                <c:pt idx="2">
                  <c:v>Орловская область</c:v>
                </c:pt>
                <c:pt idx="3">
                  <c:v>Ивановская область</c:v>
                </c:pt>
                <c:pt idx="4">
                  <c:v>Тамбовская область</c:v>
                </c:pt>
                <c:pt idx="5">
                  <c:v>Калужская область</c:v>
                </c:pt>
                <c:pt idx="6">
                  <c:v>Белгородская область</c:v>
                </c:pt>
                <c:pt idx="7">
                  <c:v>Воронежская область</c:v>
                </c:pt>
                <c:pt idx="8">
                  <c:v>Тульская область</c:v>
                </c:pt>
                <c:pt idx="9">
                  <c:v>Рязанская область</c:v>
                </c:pt>
                <c:pt idx="10">
                  <c:v>Курская область</c:v>
                </c:pt>
                <c:pt idx="11">
                  <c:v>Липецкая область</c:v>
                </c:pt>
                <c:pt idx="12">
                  <c:v>Владимирская область</c:v>
                </c:pt>
                <c:pt idx="13">
                  <c:v>Смоленская область</c:v>
                </c:pt>
                <c:pt idx="14">
                  <c:v>Костромская область</c:v>
                </c:pt>
                <c:pt idx="15">
                  <c:v>Ярославская область</c:v>
                </c:pt>
              </c:strCache>
            </c:strRef>
          </c:cat>
          <c:val>
            <c:numRef>
              <c:f>Лист1!$E$5:$E$20</c:f>
              <c:numCache>
                <c:formatCode>0.00</c:formatCode>
                <c:ptCount val="16"/>
                <c:pt idx="0">
                  <c:v>23.95</c:v>
                </c:pt>
                <c:pt idx="1">
                  <c:v>26.04</c:v>
                </c:pt>
                <c:pt idx="2">
                  <c:v>26.35</c:v>
                </c:pt>
                <c:pt idx="3">
                  <c:v>27.77</c:v>
                </c:pt>
                <c:pt idx="4">
                  <c:v>28.55</c:v>
                </c:pt>
                <c:pt idx="5">
                  <c:v>28.52</c:v>
                </c:pt>
                <c:pt idx="6">
                  <c:v>28.95</c:v>
                </c:pt>
                <c:pt idx="7">
                  <c:v>29.22</c:v>
                </c:pt>
                <c:pt idx="8">
                  <c:v>30.25</c:v>
                </c:pt>
                <c:pt idx="9">
                  <c:v>32.619999999999997</c:v>
                </c:pt>
                <c:pt idx="10">
                  <c:v>33.54</c:v>
                </c:pt>
                <c:pt idx="11">
                  <c:v>34.32</c:v>
                </c:pt>
                <c:pt idx="12">
                  <c:v>34.409999999999997</c:v>
                </c:pt>
                <c:pt idx="13">
                  <c:v>34.01</c:v>
                </c:pt>
                <c:pt idx="14">
                  <c:v>36.520000000000003</c:v>
                </c:pt>
                <c:pt idx="15">
                  <c:v>39.979999999999997</c:v>
                </c:pt>
              </c:numCache>
            </c:numRef>
          </c:val>
          <c:extLst xmlns:c16r2="http://schemas.microsoft.com/office/drawing/2015/06/chart">
            <c:ext xmlns:c16="http://schemas.microsoft.com/office/drawing/2014/chart" uri="{C3380CC4-5D6E-409C-BE32-E72D297353CC}">
              <c16:uniqueId val="{00000001-7050-402A-9093-F6F6BF497776}"/>
            </c:ext>
          </c:extLst>
        </c:ser>
        <c:dLbls>
          <c:showLegendKey val="0"/>
          <c:showVal val="0"/>
          <c:showCatName val="0"/>
          <c:showSerName val="0"/>
          <c:showPercent val="0"/>
          <c:showBubbleSize val="0"/>
        </c:dLbls>
        <c:gapWidth val="150"/>
        <c:shape val="box"/>
        <c:axId val="334257152"/>
        <c:axId val="334480128"/>
        <c:axId val="0"/>
      </c:bar3DChart>
      <c:catAx>
        <c:axId val="334257152"/>
        <c:scaling>
          <c:orientation val="minMax"/>
        </c:scaling>
        <c:delete val="0"/>
        <c:axPos val="b"/>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480128"/>
        <c:crosses val="autoZero"/>
        <c:auto val="1"/>
        <c:lblAlgn val="ctr"/>
        <c:lblOffset val="100"/>
        <c:noMultiLvlLbl val="0"/>
      </c:catAx>
      <c:valAx>
        <c:axId val="334480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 руб/куб. м</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57152"/>
        <c:crosses val="autoZero"/>
        <c:crossBetween val="between"/>
      </c:valAx>
      <c:spPr>
        <a:noFill/>
        <a:ln>
          <a:noFill/>
        </a:ln>
        <a:effectLst/>
      </c:spPr>
    </c:plotArea>
    <c:legend>
      <c:legendPos val="b"/>
      <c:layout>
        <c:manualLayout>
          <c:xMode val="edge"/>
          <c:yMode val="edge"/>
          <c:x val="8.4868557199415134E-2"/>
          <c:y val="0.14961068203576658"/>
          <c:w val="0.37787150529061936"/>
          <c:h val="9.19965540052840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Средние тарифы на горячую</a:t>
            </a:r>
            <a:r>
              <a:rPr lang="ru-RU" sz="1000" b="1" baseline="0"/>
              <a:t> воду для всех категорий потребителей с НДС</a:t>
            </a:r>
            <a:endParaRPr lang="ru-RU" sz="1000" b="1"/>
          </a:p>
        </c:rich>
      </c:tx>
      <c:overlay val="0"/>
      <c:spPr>
        <a:noFill/>
        <a:ln>
          <a:noFill/>
        </a:ln>
        <a:effectLst/>
      </c:spPr>
    </c:title>
    <c:autoTitleDeleted val="0"/>
    <c:plotArea>
      <c:layout>
        <c:manualLayout>
          <c:layoutTarget val="inner"/>
          <c:xMode val="edge"/>
          <c:yMode val="edge"/>
          <c:x val="0.13349494272596971"/>
          <c:y val="0.22248894504106129"/>
          <c:w val="0.84286439533549606"/>
          <c:h val="0.40065724570278366"/>
        </c:manualLayout>
      </c:layout>
      <c:barChart>
        <c:barDir val="col"/>
        <c:grouping val="clustered"/>
        <c:varyColors val="0"/>
        <c:ser>
          <c:idx val="0"/>
          <c:order val="0"/>
          <c:tx>
            <c:strRef>
              <c:f>Лист2!$D$3</c:f>
              <c:strCache>
                <c:ptCount val="1"/>
                <c:pt idx="0">
                  <c:v>с 01.012022 по 30.06.2022</c:v>
                </c:pt>
              </c:strCache>
            </c:strRef>
          </c:tx>
          <c:spPr>
            <a:solidFill>
              <a:schemeClr val="accent1"/>
            </a:solidFill>
            <a:ln>
              <a:noFill/>
            </a:ln>
            <a:effectLst/>
          </c:spPr>
          <c:invertIfNegative val="0"/>
          <c:cat>
            <c:strRef>
              <c:f>Лист2!$C$4:$C$18</c:f>
              <c:strCache>
                <c:ptCount val="15"/>
                <c:pt idx="0">
                  <c:v>Белгородская область</c:v>
                </c:pt>
                <c:pt idx="1">
                  <c:v>Тверская область</c:v>
                </c:pt>
                <c:pt idx="2">
                  <c:v>Курская область</c:v>
                </c:pt>
                <c:pt idx="3">
                  <c:v>Орловская область</c:v>
                </c:pt>
                <c:pt idx="4">
                  <c:v>Ярославская область</c:v>
                </c:pt>
                <c:pt idx="5">
                  <c:v>Брянская область</c:v>
                </c:pt>
                <c:pt idx="6">
                  <c:v>Тамбовская область</c:v>
                </c:pt>
                <c:pt idx="7">
                  <c:v>Ивановская область</c:v>
                </c:pt>
                <c:pt idx="8">
                  <c:v>Калужская область</c:v>
                </c:pt>
                <c:pt idx="9">
                  <c:v>Костромская область</c:v>
                </c:pt>
                <c:pt idx="10">
                  <c:v>Воронежская область</c:v>
                </c:pt>
                <c:pt idx="11">
                  <c:v>Смоленская область</c:v>
                </c:pt>
                <c:pt idx="12">
                  <c:v>Тульская область</c:v>
                </c:pt>
                <c:pt idx="13">
                  <c:v>Владимирская область</c:v>
                </c:pt>
                <c:pt idx="14">
                  <c:v>г. Москва</c:v>
                </c:pt>
              </c:strCache>
            </c:strRef>
          </c:cat>
          <c:val>
            <c:numRef>
              <c:f>Лист2!$D$4:$D$18</c:f>
              <c:numCache>
                <c:formatCode>0.00</c:formatCode>
                <c:ptCount val="15"/>
                <c:pt idx="0">
                  <c:v>107.21</c:v>
                </c:pt>
                <c:pt idx="1">
                  <c:v>117.69</c:v>
                </c:pt>
                <c:pt idx="2">
                  <c:v>119.58</c:v>
                </c:pt>
                <c:pt idx="3">
                  <c:v>122.69</c:v>
                </c:pt>
                <c:pt idx="4">
                  <c:v>134.16999999999999</c:v>
                </c:pt>
                <c:pt idx="5">
                  <c:v>135.13</c:v>
                </c:pt>
                <c:pt idx="6">
                  <c:v>136.04</c:v>
                </c:pt>
                <c:pt idx="7" formatCode="#,##0.00">
                  <c:v>143.76</c:v>
                </c:pt>
                <c:pt idx="8">
                  <c:v>141.97</c:v>
                </c:pt>
                <c:pt idx="9">
                  <c:v>158.29</c:v>
                </c:pt>
                <c:pt idx="10">
                  <c:v>154.03</c:v>
                </c:pt>
                <c:pt idx="11">
                  <c:v>161.54</c:v>
                </c:pt>
                <c:pt idx="12">
                  <c:v>165.1</c:v>
                </c:pt>
                <c:pt idx="13">
                  <c:v>174.33</c:v>
                </c:pt>
                <c:pt idx="14">
                  <c:v>174.94</c:v>
                </c:pt>
              </c:numCache>
            </c:numRef>
          </c:val>
          <c:extLst xmlns:c16r2="http://schemas.microsoft.com/office/drawing/2015/06/chart">
            <c:ext xmlns:c16="http://schemas.microsoft.com/office/drawing/2014/chart" uri="{C3380CC4-5D6E-409C-BE32-E72D297353CC}">
              <c16:uniqueId val="{00000000-152A-4242-984E-4D2C5F7649FA}"/>
            </c:ext>
          </c:extLst>
        </c:ser>
        <c:ser>
          <c:idx val="1"/>
          <c:order val="1"/>
          <c:tx>
            <c:strRef>
              <c:f>Лист2!$E$3</c:f>
              <c:strCache>
                <c:ptCount val="1"/>
                <c:pt idx="0">
                  <c:v>с 01.07.2022 по 31.12.2022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Лист2!$C$4:$C$18</c:f>
              <c:strCache>
                <c:ptCount val="15"/>
                <c:pt idx="0">
                  <c:v>Белгородская область</c:v>
                </c:pt>
                <c:pt idx="1">
                  <c:v>Тверская область</c:v>
                </c:pt>
                <c:pt idx="2">
                  <c:v>Курская область</c:v>
                </c:pt>
                <c:pt idx="3">
                  <c:v>Орловская область</c:v>
                </c:pt>
                <c:pt idx="4">
                  <c:v>Ярославская область</c:v>
                </c:pt>
                <c:pt idx="5">
                  <c:v>Брянская область</c:v>
                </c:pt>
                <c:pt idx="6">
                  <c:v>Тамбовская область</c:v>
                </c:pt>
                <c:pt idx="7">
                  <c:v>Ивановская область</c:v>
                </c:pt>
                <c:pt idx="8">
                  <c:v>Калужская область</c:v>
                </c:pt>
                <c:pt idx="9">
                  <c:v>Костромская область</c:v>
                </c:pt>
                <c:pt idx="10">
                  <c:v>Воронежская область</c:v>
                </c:pt>
                <c:pt idx="11">
                  <c:v>Смоленская область</c:v>
                </c:pt>
                <c:pt idx="12">
                  <c:v>Тульская область</c:v>
                </c:pt>
                <c:pt idx="13">
                  <c:v>Владимирская область</c:v>
                </c:pt>
                <c:pt idx="14">
                  <c:v>г. Москва</c:v>
                </c:pt>
              </c:strCache>
            </c:strRef>
          </c:cat>
          <c:val>
            <c:numRef>
              <c:f>Лист2!$E$4:$E$18</c:f>
              <c:numCache>
                <c:formatCode>0.00</c:formatCode>
                <c:ptCount val="15"/>
                <c:pt idx="0">
                  <c:v>112.38</c:v>
                </c:pt>
                <c:pt idx="1">
                  <c:v>123.11</c:v>
                </c:pt>
                <c:pt idx="2">
                  <c:v>125.83</c:v>
                </c:pt>
                <c:pt idx="3">
                  <c:v>129.19</c:v>
                </c:pt>
                <c:pt idx="4">
                  <c:v>139.94999999999999</c:v>
                </c:pt>
                <c:pt idx="5">
                  <c:v>140.84</c:v>
                </c:pt>
                <c:pt idx="6">
                  <c:v>143.46</c:v>
                </c:pt>
                <c:pt idx="7" formatCode="#,##0.00">
                  <c:v>147.63</c:v>
                </c:pt>
                <c:pt idx="8">
                  <c:v>149.84</c:v>
                </c:pt>
                <c:pt idx="9">
                  <c:v>162.68</c:v>
                </c:pt>
                <c:pt idx="10">
                  <c:v>166.55</c:v>
                </c:pt>
                <c:pt idx="11">
                  <c:v>170.85</c:v>
                </c:pt>
                <c:pt idx="12">
                  <c:v>174.54</c:v>
                </c:pt>
                <c:pt idx="13">
                  <c:v>182.49</c:v>
                </c:pt>
                <c:pt idx="14">
                  <c:v>184.5</c:v>
                </c:pt>
              </c:numCache>
            </c:numRef>
          </c:val>
          <c:extLst xmlns:c16r2="http://schemas.microsoft.com/office/drawing/2015/06/chart">
            <c:ext xmlns:c16="http://schemas.microsoft.com/office/drawing/2014/chart" uri="{C3380CC4-5D6E-409C-BE32-E72D297353CC}">
              <c16:uniqueId val="{00000001-152A-4242-984E-4D2C5F7649FA}"/>
            </c:ext>
          </c:extLst>
        </c:ser>
        <c:dLbls>
          <c:showLegendKey val="0"/>
          <c:showVal val="0"/>
          <c:showCatName val="0"/>
          <c:showSerName val="0"/>
          <c:showPercent val="0"/>
          <c:showBubbleSize val="0"/>
        </c:dLbls>
        <c:gapWidth val="219"/>
        <c:overlap val="-27"/>
        <c:axId val="334241152"/>
        <c:axId val="334517376"/>
      </c:barChart>
      <c:catAx>
        <c:axId val="3342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517376"/>
        <c:crosses val="autoZero"/>
        <c:auto val="1"/>
        <c:lblAlgn val="ctr"/>
        <c:lblOffset val="100"/>
        <c:noMultiLvlLbl val="0"/>
      </c:catAx>
      <c:valAx>
        <c:axId val="3345173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 руб./куб. м</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241152"/>
        <c:crosses val="autoZero"/>
        <c:crossBetween val="between"/>
      </c:valAx>
      <c:spPr>
        <a:noFill/>
        <a:ln>
          <a:noFill/>
        </a:ln>
        <a:effectLst/>
      </c:spPr>
    </c:plotArea>
    <c:legend>
      <c:legendPos val="b"/>
      <c:layout>
        <c:manualLayout>
          <c:xMode val="edge"/>
          <c:yMode val="edge"/>
          <c:x val="0.13783944318372196"/>
          <c:y val="0.16573667394544728"/>
          <c:w val="0.52600371278541824"/>
          <c:h val="0.1062294092581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Средние тарифы на услуги водоотведения для всех категорий потребителей с НДС</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95736659976294"/>
          <c:y val="0.1551197144499552"/>
          <c:w val="0.87474782917708438"/>
          <c:h val="0.53195875241396862"/>
        </c:manualLayout>
      </c:layout>
      <c:bar3DChart>
        <c:barDir val="col"/>
        <c:grouping val="clustered"/>
        <c:varyColors val="0"/>
        <c:ser>
          <c:idx val="0"/>
          <c:order val="0"/>
          <c:tx>
            <c:strRef>
              <c:f>ВО!$F$4</c:f>
              <c:strCache>
                <c:ptCount val="1"/>
                <c:pt idx="0">
                  <c:v>с 01.01.2022 по 30.06.2022</c:v>
                </c:pt>
              </c:strCache>
            </c:strRef>
          </c:tx>
          <c:spPr>
            <a:solidFill>
              <a:schemeClr val="accent1"/>
            </a:solidFill>
            <a:ln>
              <a:noFill/>
            </a:ln>
            <a:effectLst/>
            <a:sp3d/>
          </c:spPr>
          <c:invertIfNegative val="0"/>
          <c:cat>
            <c:strRef>
              <c:f>ВО!$C$5:$E$20</c:f>
              <c:strCache>
                <c:ptCount val="16"/>
                <c:pt idx="0">
                  <c:v>Тульская область</c:v>
                </c:pt>
                <c:pt idx="1">
                  <c:v>Орловская область</c:v>
                </c:pt>
                <c:pt idx="2">
                  <c:v>Брянская область</c:v>
                </c:pt>
                <c:pt idx="3">
                  <c:v>Липецкая область</c:v>
                </c:pt>
                <c:pt idx="4">
                  <c:v>Калужская область</c:v>
                </c:pt>
                <c:pt idx="5">
                  <c:v>Ивановская область</c:v>
                </c:pt>
                <c:pt idx="6">
                  <c:v>Курская область</c:v>
                </c:pt>
                <c:pt idx="7">
                  <c:v>Воронежская область</c:v>
                </c:pt>
                <c:pt idx="8">
                  <c:v>Тверская область</c:v>
                </c:pt>
                <c:pt idx="9">
                  <c:v>Ярославская область</c:v>
                </c:pt>
                <c:pt idx="10">
                  <c:v>Белгородская область</c:v>
                </c:pt>
                <c:pt idx="11">
                  <c:v>Тамбовская область</c:v>
                </c:pt>
                <c:pt idx="12">
                  <c:v>Смоленская область</c:v>
                </c:pt>
                <c:pt idx="13">
                  <c:v>Костромская область</c:v>
                </c:pt>
                <c:pt idx="14">
                  <c:v>Владимирская область</c:v>
                </c:pt>
                <c:pt idx="15">
                  <c:v>Рязанская область</c:v>
                </c:pt>
              </c:strCache>
            </c:strRef>
          </c:cat>
          <c:val>
            <c:numRef>
              <c:f>ВО!$F$5:$F$20</c:f>
              <c:numCache>
                <c:formatCode>0.00</c:formatCode>
                <c:ptCount val="16"/>
                <c:pt idx="0">
                  <c:v>18.7</c:v>
                </c:pt>
                <c:pt idx="1">
                  <c:v>18.82</c:v>
                </c:pt>
                <c:pt idx="2">
                  <c:v>20.059999999999999</c:v>
                </c:pt>
                <c:pt idx="3">
                  <c:v>20.86</c:v>
                </c:pt>
                <c:pt idx="4">
                  <c:v>21.52</c:v>
                </c:pt>
                <c:pt idx="5">
                  <c:v>22.4</c:v>
                </c:pt>
                <c:pt idx="6">
                  <c:v>24.05</c:v>
                </c:pt>
                <c:pt idx="7">
                  <c:v>24.54</c:v>
                </c:pt>
                <c:pt idx="8">
                  <c:v>26.18</c:v>
                </c:pt>
                <c:pt idx="9">
                  <c:v>27.26</c:v>
                </c:pt>
                <c:pt idx="10">
                  <c:v>28.11</c:v>
                </c:pt>
                <c:pt idx="11">
                  <c:v>28.51</c:v>
                </c:pt>
                <c:pt idx="12">
                  <c:v>28.88</c:v>
                </c:pt>
                <c:pt idx="13">
                  <c:v>31.83</c:v>
                </c:pt>
                <c:pt idx="14">
                  <c:v>31.88</c:v>
                </c:pt>
                <c:pt idx="15">
                  <c:v>32.99</c:v>
                </c:pt>
              </c:numCache>
            </c:numRef>
          </c:val>
          <c:shape val="box"/>
          <c:extLst xmlns:c16r2="http://schemas.microsoft.com/office/drawing/2015/06/chart">
            <c:ext xmlns:c16="http://schemas.microsoft.com/office/drawing/2014/chart" uri="{C3380CC4-5D6E-409C-BE32-E72D297353CC}">
              <c16:uniqueId val="{00000000-0555-4608-AC2F-7CD9AA00F226}"/>
            </c:ext>
          </c:extLst>
        </c:ser>
        <c:ser>
          <c:idx val="1"/>
          <c:order val="1"/>
          <c:tx>
            <c:strRef>
              <c:f>ВО!$G$4</c:f>
              <c:strCache>
                <c:ptCount val="1"/>
                <c:pt idx="0">
                  <c:v>с 01.07.2022 по 31.12.2022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ВО!$C$5:$E$20</c:f>
              <c:strCache>
                <c:ptCount val="16"/>
                <c:pt idx="0">
                  <c:v>Тульская область</c:v>
                </c:pt>
                <c:pt idx="1">
                  <c:v>Орловская область</c:v>
                </c:pt>
                <c:pt idx="2">
                  <c:v>Брянская область</c:v>
                </c:pt>
                <c:pt idx="3">
                  <c:v>Липецкая область</c:v>
                </c:pt>
                <c:pt idx="4">
                  <c:v>Калужская область</c:v>
                </c:pt>
                <c:pt idx="5">
                  <c:v>Ивановская область</c:v>
                </c:pt>
                <c:pt idx="6">
                  <c:v>Курская область</c:v>
                </c:pt>
                <c:pt idx="7">
                  <c:v>Воронежская область</c:v>
                </c:pt>
                <c:pt idx="8">
                  <c:v>Тверская область</c:v>
                </c:pt>
                <c:pt idx="9">
                  <c:v>Ярославская область</c:v>
                </c:pt>
                <c:pt idx="10">
                  <c:v>Белгородская область</c:v>
                </c:pt>
                <c:pt idx="11">
                  <c:v>Тамбовская область</c:v>
                </c:pt>
                <c:pt idx="12">
                  <c:v>Смоленская область</c:v>
                </c:pt>
                <c:pt idx="13">
                  <c:v>Костромская область</c:v>
                </c:pt>
                <c:pt idx="14">
                  <c:v>Владимирская область</c:v>
                </c:pt>
                <c:pt idx="15">
                  <c:v>Рязанская область</c:v>
                </c:pt>
              </c:strCache>
            </c:strRef>
          </c:cat>
          <c:val>
            <c:numRef>
              <c:f>ВО!$G$5:$G$20</c:f>
              <c:numCache>
                <c:formatCode>0.00</c:formatCode>
                <c:ptCount val="16"/>
                <c:pt idx="0">
                  <c:v>19.82</c:v>
                </c:pt>
                <c:pt idx="1">
                  <c:v>19.48</c:v>
                </c:pt>
                <c:pt idx="2">
                  <c:v>20.68</c:v>
                </c:pt>
                <c:pt idx="3">
                  <c:v>21.91</c:v>
                </c:pt>
                <c:pt idx="4">
                  <c:v>22.16</c:v>
                </c:pt>
                <c:pt idx="5">
                  <c:v>23.26</c:v>
                </c:pt>
                <c:pt idx="6">
                  <c:v>25.37</c:v>
                </c:pt>
                <c:pt idx="7">
                  <c:v>26.98</c:v>
                </c:pt>
                <c:pt idx="8">
                  <c:v>27.11</c:v>
                </c:pt>
                <c:pt idx="9">
                  <c:v>28.87</c:v>
                </c:pt>
                <c:pt idx="10">
                  <c:v>28.35</c:v>
                </c:pt>
                <c:pt idx="11">
                  <c:v>31.2</c:v>
                </c:pt>
                <c:pt idx="12">
                  <c:v>30.26</c:v>
                </c:pt>
                <c:pt idx="13">
                  <c:v>33.35</c:v>
                </c:pt>
                <c:pt idx="14">
                  <c:v>33.130000000000003</c:v>
                </c:pt>
                <c:pt idx="15">
                  <c:v>34.33</c:v>
                </c:pt>
              </c:numCache>
            </c:numRef>
          </c:val>
          <c:shape val="box"/>
          <c:extLst xmlns:c16r2="http://schemas.microsoft.com/office/drawing/2015/06/chart">
            <c:ext xmlns:c16="http://schemas.microsoft.com/office/drawing/2014/chart" uri="{C3380CC4-5D6E-409C-BE32-E72D297353CC}">
              <c16:uniqueId val="{00000001-0555-4608-AC2F-7CD9AA00F226}"/>
            </c:ext>
          </c:extLst>
        </c:ser>
        <c:dLbls>
          <c:showLegendKey val="0"/>
          <c:showVal val="0"/>
          <c:showCatName val="0"/>
          <c:showSerName val="0"/>
          <c:showPercent val="0"/>
          <c:showBubbleSize val="0"/>
        </c:dLbls>
        <c:gapWidth val="150"/>
        <c:shape val="cylinder"/>
        <c:axId val="334843904"/>
        <c:axId val="334845440"/>
        <c:axId val="0"/>
      </c:bar3DChart>
      <c:catAx>
        <c:axId val="33484390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845440"/>
        <c:crosses val="autoZero"/>
        <c:auto val="1"/>
        <c:lblAlgn val="ctr"/>
        <c:lblOffset val="100"/>
        <c:noMultiLvlLbl val="0"/>
      </c:catAx>
      <c:valAx>
        <c:axId val="33484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 руб./куб. м</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843904"/>
        <c:crosses val="autoZero"/>
        <c:crossBetween val="between"/>
      </c:valAx>
      <c:spPr>
        <a:noFill/>
        <a:ln>
          <a:noFill/>
        </a:ln>
        <a:effectLst/>
      </c:spPr>
    </c:plotArea>
    <c:legend>
      <c:legendPos val="b"/>
      <c:layout>
        <c:manualLayout>
          <c:xMode val="edge"/>
          <c:yMode val="edge"/>
          <c:x val="0.14360454007920309"/>
          <c:y val="0.18137237791236901"/>
          <c:w val="0.31728049760749444"/>
          <c:h val="9.6883712946762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Единые тарифы на услугу по обращению с ТКО </a:t>
            </a:r>
          </a:p>
          <a:p>
            <a:pPr>
              <a:defRPr sz="1000" b="1" i="0" u="none" strike="noStrike" kern="1200" spc="0" baseline="0">
                <a:solidFill>
                  <a:schemeClr val="tx1">
                    <a:lumMod val="65000"/>
                    <a:lumOff val="35000"/>
                  </a:schemeClr>
                </a:solidFill>
                <a:latin typeface="+mn-lt"/>
                <a:ea typeface="+mn-ea"/>
                <a:cs typeface="+mn-cs"/>
              </a:defRPr>
            </a:pPr>
            <a:r>
              <a:rPr lang="ru-RU" sz="1000" b="1"/>
              <a:t>с НДС (НДС не облагается)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с 01.01.2022 по 30.06.2022</c:v>
          </c:tx>
          <c:spPr>
            <a:solidFill>
              <a:schemeClr val="accent1"/>
            </a:solidFill>
            <a:ln>
              <a:noFill/>
            </a:ln>
            <a:effectLst/>
            <a:sp3d/>
          </c:spPr>
          <c:invertIfNegative val="0"/>
          <c:cat>
            <c:strRef>
              <c:f>'Сортировка 2021'!$B$5:$B$22</c:f>
              <c:strCache>
                <c:ptCount val="18"/>
                <c:pt idx="0">
                  <c:v>Орловская область</c:v>
                </c:pt>
                <c:pt idx="1">
                  <c:v>Калужская область</c:v>
                </c:pt>
                <c:pt idx="2">
                  <c:v>Брянская область</c:v>
                </c:pt>
                <c:pt idx="3">
                  <c:v>Рязанская область</c:v>
                </c:pt>
                <c:pt idx="4">
                  <c:v>Белгородская область</c:v>
                </c:pt>
                <c:pt idx="5">
                  <c:v>Ярославская область</c:v>
                </c:pt>
                <c:pt idx="6">
                  <c:v>Липецкая область</c:v>
                </c:pt>
                <c:pt idx="7">
                  <c:v>Воронежская область</c:v>
                </c:pt>
                <c:pt idx="8">
                  <c:v>Владимирская область</c:v>
                </c:pt>
                <c:pt idx="9">
                  <c:v>Тверская область</c:v>
                </c:pt>
                <c:pt idx="10">
                  <c:v>Ивановская область</c:v>
                </c:pt>
                <c:pt idx="11">
                  <c:v>Костромская область</c:v>
                </c:pt>
                <c:pt idx="12">
                  <c:v>Тамбовская область</c:v>
                </c:pt>
                <c:pt idx="13">
                  <c:v>Курская область</c:v>
                </c:pt>
                <c:pt idx="14">
                  <c:v>Тульская область</c:v>
                </c:pt>
                <c:pt idx="15">
                  <c:v>Смоленская область</c:v>
                </c:pt>
                <c:pt idx="16">
                  <c:v>г. Москва</c:v>
                </c:pt>
                <c:pt idx="17">
                  <c:v>Московская область</c:v>
                </c:pt>
              </c:strCache>
            </c:strRef>
          </c:cat>
          <c:val>
            <c:numRef>
              <c:f>'Сортировка 2021'!$C$5:$C$22</c:f>
              <c:numCache>
                <c:formatCode>#,##0.00</c:formatCode>
                <c:ptCount val="18"/>
                <c:pt idx="0">
                  <c:v>455.47</c:v>
                </c:pt>
                <c:pt idx="1">
                  <c:v>459.9</c:v>
                </c:pt>
                <c:pt idx="2">
                  <c:v>455.66</c:v>
                </c:pt>
                <c:pt idx="3">
                  <c:v>504.96</c:v>
                </c:pt>
                <c:pt idx="4">
                  <c:v>480.29</c:v>
                </c:pt>
                <c:pt idx="5">
                  <c:v>536.08000000000004</c:v>
                </c:pt>
                <c:pt idx="6">
                  <c:v>529.58249999999998</c:v>
                </c:pt>
                <c:pt idx="7">
                  <c:v>542.88888888888891</c:v>
                </c:pt>
                <c:pt idx="8">
                  <c:v>545.41</c:v>
                </c:pt>
                <c:pt idx="9">
                  <c:v>558.33000000000004</c:v>
                </c:pt>
                <c:pt idx="10">
                  <c:v>549.85</c:v>
                </c:pt>
                <c:pt idx="11">
                  <c:v>546.96333333333325</c:v>
                </c:pt>
                <c:pt idx="12">
                  <c:v>591.57000000000005</c:v>
                </c:pt>
                <c:pt idx="13">
                  <c:v>613.31333333333328</c:v>
                </c:pt>
                <c:pt idx="14">
                  <c:v>618.16000000000008</c:v>
                </c:pt>
                <c:pt idx="15">
                  <c:v>617.38</c:v>
                </c:pt>
                <c:pt idx="16">
                  <c:v>839.23</c:v>
                </c:pt>
                <c:pt idx="17">
                  <c:v>869.79428571428559</c:v>
                </c:pt>
              </c:numCache>
            </c:numRef>
          </c:val>
          <c:extLst xmlns:c16r2="http://schemas.microsoft.com/office/drawing/2015/06/chart">
            <c:ext xmlns:c16="http://schemas.microsoft.com/office/drawing/2014/chart" uri="{C3380CC4-5D6E-409C-BE32-E72D297353CC}">
              <c16:uniqueId val="{00000000-A766-48BC-97F5-F813DDB31E14}"/>
            </c:ext>
          </c:extLst>
        </c:ser>
        <c:ser>
          <c:idx val="1"/>
          <c:order val="1"/>
          <c:tx>
            <c:v>с 01.07.2022 по 31.12.2022</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'Сортировка 2021'!$B$5:$B$22</c:f>
              <c:strCache>
                <c:ptCount val="18"/>
                <c:pt idx="0">
                  <c:v>Орловская область</c:v>
                </c:pt>
                <c:pt idx="1">
                  <c:v>Калужская область</c:v>
                </c:pt>
                <c:pt idx="2">
                  <c:v>Брянская область</c:v>
                </c:pt>
                <c:pt idx="3">
                  <c:v>Рязанская область</c:v>
                </c:pt>
                <c:pt idx="4">
                  <c:v>Белгородская область</c:v>
                </c:pt>
                <c:pt idx="5">
                  <c:v>Ярославская область</c:v>
                </c:pt>
                <c:pt idx="6">
                  <c:v>Липецкая область</c:v>
                </c:pt>
                <c:pt idx="7">
                  <c:v>Воронежская область</c:v>
                </c:pt>
                <c:pt idx="8">
                  <c:v>Владимирская область</c:v>
                </c:pt>
                <c:pt idx="9">
                  <c:v>Тверская область</c:v>
                </c:pt>
                <c:pt idx="10">
                  <c:v>Ивановская область</c:v>
                </c:pt>
                <c:pt idx="11">
                  <c:v>Костромская область</c:v>
                </c:pt>
                <c:pt idx="12">
                  <c:v>Тамбовская область</c:v>
                </c:pt>
                <c:pt idx="13">
                  <c:v>Курская область</c:v>
                </c:pt>
                <c:pt idx="14">
                  <c:v>Тульская область</c:v>
                </c:pt>
                <c:pt idx="15">
                  <c:v>Смоленская область</c:v>
                </c:pt>
                <c:pt idx="16">
                  <c:v>г. Москва</c:v>
                </c:pt>
                <c:pt idx="17">
                  <c:v>Московская область</c:v>
                </c:pt>
              </c:strCache>
            </c:strRef>
          </c:cat>
          <c:val>
            <c:numRef>
              <c:f>'Сортировка 2021'!$D$5:$D$22</c:f>
              <c:numCache>
                <c:formatCode>#,##0.00</c:formatCode>
                <c:ptCount val="18"/>
                <c:pt idx="0">
                  <c:v>473.35</c:v>
                </c:pt>
                <c:pt idx="1">
                  <c:v>473.7</c:v>
                </c:pt>
                <c:pt idx="2">
                  <c:v>479.88</c:v>
                </c:pt>
                <c:pt idx="3">
                  <c:v>504.96</c:v>
                </c:pt>
                <c:pt idx="4">
                  <c:v>506.35</c:v>
                </c:pt>
                <c:pt idx="5">
                  <c:v>536.08000000000004</c:v>
                </c:pt>
                <c:pt idx="6">
                  <c:v>546.17499999999995</c:v>
                </c:pt>
                <c:pt idx="7">
                  <c:v>550.81555555555553</c:v>
                </c:pt>
                <c:pt idx="8">
                  <c:v>555.67000000000007</c:v>
                </c:pt>
                <c:pt idx="9">
                  <c:v>564.34</c:v>
                </c:pt>
                <c:pt idx="10">
                  <c:v>568.54</c:v>
                </c:pt>
                <c:pt idx="11">
                  <c:v>571.1633333333333</c:v>
                </c:pt>
                <c:pt idx="12">
                  <c:v>596.08000000000004</c:v>
                </c:pt>
                <c:pt idx="13">
                  <c:v>638.18666666666672</c:v>
                </c:pt>
                <c:pt idx="14">
                  <c:v>640.89</c:v>
                </c:pt>
                <c:pt idx="15">
                  <c:v>642.5</c:v>
                </c:pt>
                <c:pt idx="16">
                  <c:v>839.23</c:v>
                </c:pt>
                <c:pt idx="17">
                  <c:v>921.02285714285711</c:v>
                </c:pt>
              </c:numCache>
            </c:numRef>
          </c:val>
          <c:extLst xmlns:c16r2="http://schemas.microsoft.com/office/drawing/2015/06/chart">
            <c:ext xmlns:c16="http://schemas.microsoft.com/office/drawing/2014/chart" uri="{C3380CC4-5D6E-409C-BE32-E72D297353CC}">
              <c16:uniqueId val="{00000001-A766-48BC-97F5-F813DDB31E14}"/>
            </c:ext>
          </c:extLst>
        </c:ser>
        <c:dLbls>
          <c:showLegendKey val="0"/>
          <c:showVal val="0"/>
          <c:showCatName val="0"/>
          <c:showSerName val="0"/>
          <c:showPercent val="0"/>
          <c:showBubbleSize val="0"/>
        </c:dLbls>
        <c:gapWidth val="150"/>
        <c:shape val="box"/>
        <c:axId val="335061760"/>
        <c:axId val="335063296"/>
        <c:axId val="0"/>
      </c:bar3DChart>
      <c:catAx>
        <c:axId val="335061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63296"/>
        <c:crosses val="autoZero"/>
        <c:auto val="1"/>
        <c:lblAlgn val="ctr"/>
        <c:lblOffset val="100"/>
        <c:noMultiLvlLbl val="0"/>
      </c:catAx>
      <c:valAx>
        <c:axId val="335063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Тариф, руб./куб. м</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06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ru-RU" sz="1000" b="1"/>
              <a:t>Средние нормативы накопления ТКО</a:t>
            </a:r>
          </a:p>
        </c:rich>
      </c:tx>
      <c:layout>
        <c:manualLayout>
          <c:xMode val="edge"/>
          <c:yMode val="edge"/>
          <c:x val="0.28466241891658683"/>
          <c:y val="3.1387210870433294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'Сортировка 2021'!$F$5:$F$22</c:f>
              <c:strCache>
                <c:ptCount val="18"/>
                <c:pt idx="0">
                  <c:v>Московская область</c:v>
                </c:pt>
                <c:pt idx="1">
                  <c:v>г. Москва</c:v>
                </c:pt>
                <c:pt idx="2">
                  <c:v>Смоленская область</c:v>
                </c:pt>
                <c:pt idx="3">
                  <c:v>Тверская область</c:v>
                </c:pt>
                <c:pt idx="4">
                  <c:v>Курская область</c:v>
                </c:pt>
                <c:pt idx="5">
                  <c:v>Брянская область</c:v>
                </c:pt>
                <c:pt idx="6">
                  <c:v>Калужская область</c:v>
                </c:pt>
                <c:pt idx="7">
                  <c:v>Ивановская область</c:v>
                </c:pt>
                <c:pt idx="8">
                  <c:v>Тамбовская область</c:v>
                </c:pt>
                <c:pt idx="9">
                  <c:v>Орловская область</c:v>
                </c:pt>
                <c:pt idx="10">
                  <c:v>Ярославская область</c:v>
                </c:pt>
                <c:pt idx="11">
                  <c:v>Рязанская область</c:v>
                </c:pt>
                <c:pt idx="12">
                  <c:v>Белгородская область</c:v>
                </c:pt>
                <c:pt idx="13">
                  <c:v>Костромская область</c:v>
                </c:pt>
                <c:pt idx="14">
                  <c:v>Липецкая область</c:v>
                </c:pt>
                <c:pt idx="15">
                  <c:v>Владимирская область</c:v>
                </c:pt>
                <c:pt idx="16">
                  <c:v>Воронежская область</c:v>
                </c:pt>
                <c:pt idx="17">
                  <c:v>Тульская область</c:v>
                </c:pt>
              </c:strCache>
            </c:strRef>
          </c:cat>
          <c:val>
            <c:numRef>
              <c:f>'Сортировка 2021'!$G$5:$G$22</c:f>
              <c:numCache>
                <c:formatCode>#,##0.000</c:formatCode>
                <c:ptCount val="18"/>
                <c:pt idx="0">
                  <c:v>0.14556208333333331</c:v>
                </c:pt>
                <c:pt idx="1">
                  <c:v>0.15022222222222223</c:v>
                </c:pt>
                <c:pt idx="2">
                  <c:v>0.15166666666666667</c:v>
                </c:pt>
                <c:pt idx="3">
                  <c:v>0.15741666666666668</c:v>
                </c:pt>
                <c:pt idx="4">
                  <c:v>0.16249999999999998</c:v>
                </c:pt>
                <c:pt idx="5">
                  <c:v>0.16916666666666666</c:v>
                </c:pt>
                <c:pt idx="6">
                  <c:v>0.17262962962962961</c:v>
                </c:pt>
                <c:pt idx="7">
                  <c:v>0.18</c:v>
                </c:pt>
                <c:pt idx="8">
                  <c:v>0.18</c:v>
                </c:pt>
                <c:pt idx="9">
                  <c:v>0.1875</c:v>
                </c:pt>
                <c:pt idx="10">
                  <c:v>0.19004166666666666</c:v>
                </c:pt>
                <c:pt idx="11">
                  <c:v>0.19124999999999998</c:v>
                </c:pt>
                <c:pt idx="12">
                  <c:v>0.19166666666666665</c:v>
                </c:pt>
                <c:pt idx="13">
                  <c:v>0.1933333333333333</c:v>
                </c:pt>
                <c:pt idx="14">
                  <c:v>0.19750000000000001</c:v>
                </c:pt>
                <c:pt idx="15">
                  <c:v>0.19999999999999998</c:v>
                </c:pt>
                <c:pt idx="16">
                  <c:v>0.20583333333333334</c:v>
                </c:pt>
                <c:pt idx="17">
                  <c:v>0.20624999999999999</c:v>
                </c:pt>
              </c:numCache>
            </c:numRef>
          </c:val>
          <c:extLst xmlns:c16r2="http://schemas.microsoft.com/office/drawing/2015/06/chart">
            <c:ext xmlns:c16="http://schemas.microsoft.com/office/drawing/2014/chart" uri="{C3380CC4-5D6E-409C-BE32-E72D297353CC}">
              <c16:uniqueId val="{00000000-C4FE-40FA-8A30-8F40673177AD}"/>
            </c:ext>
          </c:extLst>
        </c:ser>
        <c:dLbls>
          <c:dLblPos val="outEnd"/>
          <c:showLegendKey val="0"/>
          <c:showVal val="1"/>
          <c:showCatName val="0"/>
          <c:showSerName val="0"/>
          <c:showPercent val="0"/>
          <c:showBubbleSize val="0"/>
        </c:dLbls>
        <c:gapWidth val="219"/>
        <c:overlap val="-27"/>
        <c:axId val="335280768"/>
        <c:axId val="335349248"/>
      </c:barChart>
      <c:catAx>
        <c:axId val="33528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349248"/>
        <c:crosses val="autoZero"/>
        <c:auto val="1"/>
        <c:lblAlgn val="ctr"/>
        <c:lblOffset val="100"/>
        <c:noMultiLvlLbl val="0"/>
      </c:catAx>
      <c:valAx>
        <c:axId val="33534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Норматив, куб. м на 1 чел. в месяц</a:t>
                </a:r>
              </a:p>
            </c:rich>
          </c:tx>
          <c:layout>
            <c:manualLayout>
              <c:xMode val="edge"/>
              <c:yMode val="edge"/>
              <c:x val="1.0743446497636441E-2"/>
              <c:y val="0.11449196895867172"/>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280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0.16667</cdr:x>
      <cdr:y>0.10543</cdr:y>
    </cdr:from>
    <cdr:to>
      <cdr:x>0.32083</cdr:x>
      <cdr:y>0.15194</cdr:y>
    </cdr:to>
    <cdr:sp macro="" textlink="">
      <cdr:nvSpPr>
        <cdr:cNvPr id="2" name="TextBox 1">
          <a:extLst xmlns:a="http://schemas.openxmlformats.org/drawingml/2006/main">
            <a:ext uri="{FF2B5EF4-FFF2-40B4-BE49-F238E27FC236}">
              <a16:creationId xmlns="" xmlns:a16="http://schemas.microsoft.com/office/drawing/2014/main" id="{196E18E9-5ADE-44E4-A956-559281B22443}"/>
            </a:ext>
          </a:extLst>
        </cdr:cNvPr>
        <cdr:cNvSpPr txBox="1"/>
      </cdr:nvSpPr>
      <cdr:spPr>
        <a:xfrm xmlns:a="http://schemas.openxmlformats.org/drawingml/2006/main">
          <a:off x="762000" y="323850"/>
          <a:ext cx="70485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0.12471</cdr:x>
      <cdr:y>0.08285</cdr:y>
    </cdr:from>
    <cdr:to>
      <cdr:x>0.32231</cdr:x>
      <cdr:y>0.16413</cdr:y>
    </cdr:to>
    <cdr:sp macro="" textlink="">
      <cdr:nvSpPr>
        <cdr:cNvPr id="3" name="TextBox 2">
          <a:extLst xmlns:a="http://schemas.openxmlformats.org/drawingml/2006/main">
            <a:ext uri="{FF2B5EF4-FFF2-40B4-BE49-F238E27FC236}">
              <a16:creationId xmlns="" xmlns:a16="http://schemas.microsoft.com/office/drawing/2014/main" id="{21B2B3C0-895E-48E5-A733-201F60DBA920}"/>
            </a:ext>
          </a:extLst>
        </cdr:cNvPr>
        <cdr:cNvSpPr txBox="1"/>
      </cdr:nvSpPr>
      <cdr:spPr>
        <a:xfrm xmlns:a="http://schemas.openxmlformats.org/drawingml/2006/main">
          <a:off x="762430" y="306401"/>
          <a:ext cx="1208129" cy="300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accent2">
                  <a:lumMod val="75000"/>
                </a:schemeClr>
              </a:solidFill>
            </a:rPr>
            <a:t>7,7 млрд. руб.</a:t>
          </a:r>
        </a:p>
      </cdr:txBody>
    </cdr:sp>
  </cdr:relSizeAnchor>
  <cdr:relSizeAnchor xmlns:cdr="http://schemas.openxmlformats.org/drawingml/2006/chartDrawing">
    <cdr:from>
      <cdr:x>0.2857</cdr:x>
      <cdr:y>0.02696</cdr:y>
    </cdr:from>
    <cdr:to>
      <cdr:x>0.49418</cdr:x>
      <cdr:y>0.09663</cdr:y>
    </cdr:to>
    <cdr:sp macro="" textlink="">
      <cdr:nvSpPr>
        <cdr:cNvPr id="4" name="TextBox 3">
          <a:extLst xmlns:a="http://schemas.openxmlformats.org/drawingml/2006/main">
            <a:ext uri="{FF2B5EF4-FFF2-40B4-BE49-F238E27FC236}">
              <a16:creationId xmlns="" xmlns:a16="http://schemas.microsoft.com/office/drawing/2014/main" id="{91B887F6-91DC-4FCF-BBF7-10FF4D06016B}"/>
            </a:ext>
          </a:extLst>
        </cdr:cNvPr>
        <cdr:cNvSpPr txBox="1"/>
      </cdr:nvSpPr>
      <cdr:spPr>
        <a:xfrm xmlns:a="http://schemas.openxmlformats.org/drawingml/2006/main">
          <a:off x="1746731" y="99692"/>
          <a:ext cx="1274572" cy="25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accent2">
                  <a:lumMod val="75000"/>
                </a:schemeClr>
              </a:solidFill>
            </a:rPr>
            <a:t>8,6 млрд. руб.</a:t>
          </a:r>
        </a:p>
      </cdr:txBody>
    </cdr:sp>
  </cdr:relSizeAnchor>
  <cdr:relSizeAnchor xmlns:cdr="http://schemas.openxmlformats.org/drawingml/2006/chartDrawing">
    <cdr:from>
      <cdr:x>0.66875</cdr:x>
      <cdr:y>0.09579</cdr:y>
    </cdr:from>
    <cdr:to>
      <cdr:x>0.89167</cdr:x>
      <cdr:y>0.15385</cdr:y>
    </cdr:to>
    <cdr:sp macro="" textlink="">
      <cdr:nvSpPr>
        <cdr:cNvPr id="5" name="TextBox 4">
          <a:extLst xmlns:a="http://schemas.openxmlformats.org/drawingml/2006/main">
            <a:ext uri="{FF2B5EF4-FFF2-40B4-BE49-F238E27FC236}">
              <a16:creationId xmlns="" xmlns:a16="http://schemas.microsoft.com/office/drawing/2014/main" id="{1225B454-6571-4E33-8137-9B292FCD6063}"/>
            </a:ext>
          </a:extLst>
        </cdr:cNvPr>
        <cdr:cNvSpPr txBox="1"/>
      </cdr:nvSpPr>
      <cdr:spPr>
        <a:xfrm xmlns:a="http://schemas.openxmlformats.org/drawingml/2006/main">
          <a:off x="3057525" y="314326"/>
          <a:ext cx="10191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0.45082</cdr:x>
      <cdr:y>0.05623</cdr:y>
    </cdr:from>
    <cdr:to>
      <cdr:x>0.6635</cdr:x>
      <cdr:y>0.13171</cdr:y>
    </cdr:to>
    <cdr:sp macro="" textlink="">
      <cdr:nvSpPr>
        <cdr:cNvPr id="6" name="TextBox 5">
          <a:extLst xmlns:a="http://schemas.openxmlformats.org/drawingml/2006/main">
            <a:ext uri="{FF2B5EF4-FFF2-40B4-BE49-F238E27FC236}">
              <a16:creationId xmlns="" xmlns:a16="http://schemas.microsoft.com/office/drawing/2014/main" id="{68A1F589-83CE-4FC7-B9D6-B32BA9395026}"/>
            </a:ext>
          </a:extLst>
        </cdr:cNvPr>
        <cdr:cNvSpPr txBox="1"/>
      </cdr:nvSpPr>
      <cdr:spPr>
        <a:xfrm xmlns:a="http://schemas.openxmlformats.org/drawingml/2006/main">
          <a:off x="2756194" y="207944"/>
          <a:ext cx="1300311" cy="279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accent2">
                  <a:lumMod val="75000"/>
                </a:schemeClr>
              </a:solidFill>
            </a:rPr>
            <a:t>8,5 млрд. руб.</a:t>
          </a:r>
        </a:p>
      </cdr:txBody>
    </cdr:sp>
  </cdr:relSizeAnchor>
</c:userShapes>
</file>

<file path=word/theme/theme1.xml><?xml version="1.0" encoding="utf-8"?>
<a:theme xmlns:a="http://schemas.openxmlformats.org/drawingml/2006/main" name="Annual Repor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PublishDate>
  <Abstract>Деятельность в цифрах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ct:contentTypeSchema xmlns:ct="http://schemas.microsoft.com/office/2006/metadata/contentType" xmlns:ma="http://schemas.microsoft.com/office/2006/metadata/properties/metaAttributes" ct:_="" ma:_="" ma:contentTypeName="TemplateFile" ma:contentTypeID="0x010100BB2780C3CC07BD4BAA623FF9571645580400D1570604EA743043A2641365C0E91715" ma:contentTypeVersion="55" ma:contentTypeDescription="Create a new document." ma:contentTypeScope="" ma:versionID="2c496a0f341a72d7e8cbd42eb499a6d4">
  <xsd:schema xmlns:xsd="http://www.w3.org/2001/XMLSchema" xmlns:xs="http://www.w3.org/2001/XMLSchema" xmlns:p="http://schemas.microsoft.com/office/2006/metadata/properties" xmlns:ns2="9d035d7d-02e5-4a00-8b62-9a556aabc7b5" xmlns:ns3="91e8d559-4d54-460d-ba58-5d5027f88b4d" targetNamespace="http://schemas.microsoft.com/office/2006/metadata/properties" ma:root="true" ma:fieldsID="2bcea688bd265da693c2f253e50f4ab0" ns2:_="" ns3:_="">
    <xsd:import namespace="9d035d7d-02e5-4a00-8b62-9a556aabc7b5"/>
    <xsd:import namespace="91e8d559-4d54-460d-ba58-5d5027f88b4d"/>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35d7d-02e5-4a00-8b62-9a556aabc7b5"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117081-80f4-4e10-b46d-e6dc6854316c}"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41FC7ADF-4C62-4413-95B2-CDE72C4AD396}" ma:internalName="CSXSubmissionMarket" ma:readOnly="false" ma:showField="MarketName" ma:web="9d035d7d-02e5-4a00-8b62-9a556aabc7b5">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e663266-dbf1-446f-b076-28feab654da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CD722278-12DA-4BA9-B56C-2624CA46C480}" ma:internalName="InProjectListLookup" ma:readOnly="true" ma:showField="InProjectLis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65226a81-6f17-445b-9321-8ea42e2eee04}"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CD722278-12DA-4BA9-B56C-2624CA46C480}" ma:internalName="LastCompleteVersionLookup" ma:readOnly="true" ma:showField="LastComplete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CD722278-12DA-4BA9-B56C-2624CA46C480}" ma:internalName="LastPreviewErrorLookup" ma:readOnly="true" ma:showField="LastPreview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CD722278-12DA-4BA9-B56C-2624CA46C480}" ma:internalName="LastPreviewResultLookup" ma:readOnly="true" ma:showField="LastPreview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CD722278-12DA-4BA9-B56C-2624CA46C480}" ma:internalName="LastPreviewAttemptDateLookup" ma:readOnly="true" ma:showField="LastPreview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CD722278-12DA-4BA9-B56C-2624CA46C480}" ma:internalName="LastPreviewedByLookup" ma:readOnly="true" ma:showField="LastPreview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CD722278-12DA-4BA9-B56C-2624CA46C480}" ma:internalName="LastPreviewTimeLookup" ma:readOnly="true" ma:showField="LastPreview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CD722278-12DA-4BA9-B56C-2624CA46C480}" ma:internalName="LastPreviewVersionLookup" ma:readOnly="true" ma:showField="LastPreview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CD722278-12DA-4BA9-B56C-2624CA46C480}" ma:internalName="LastPublishErrorLookup" ma:readOnly="true" ma:showField="LastPublishError"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CD722278-12DA-4BA9-B56C-2624CA46C480}" ma:internalName="LastPublishResultLookup" ma:readOnly="true" ma:showField="LastPublishResult"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CD722278-12DA-4BA9-B56C-2624CA46C480}" ma:internalName="LastPublishAttemptDateLookup" ma:readOnly="true" ma:showField="LastPublishAttemptDat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CD722278-12DA-4BA9-B56C-2624CA46C480}" ma:internalName="LastPublishedByLookup" ma:readOnly="true" ma:showField="LastPublishedBy"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CD722278-12DA-4BA9-B56C-2624CA46C480}" ma:internalName="LastPublishTimeLookup" ma:readOnly="true" ma:showField="LastPublishTi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CD722278-12DA-4BA9-B56C-2624CA46C480}" ma:internalName="LastPublishVersionLookup" ma:readOnly="true" ma:showField="LastPublishVersion"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116CC8E-FCD3-4331-849C-1BF4DB8052AE}" ma:internalName="LocLastLocAttemptVersionLookup" ma:readOnly="false" ma:showField="LastLocAttemptVersion" ma:web="9d035d7d-02e5-4a00-8b62-9a556aabc7b5">
      <xsd:simpleType>
        <xsd:restriction base="dms:Lookup"/>
      </xsd:simpleType>
    </xsd:element>
    <xsd:element name="LocLastLocAttemptVersionTypeLookup" ma:index="72" nillable="true" ma:displayName="Loc Last Loc Attempt Version Type" ma:default="" ma:list="{B116CC8E-FCD3-4331-849C-1BF4DB8052AE}" ma:internalName="LocLastLocAttemptVersionTypeLookup" ma:readOnly="true" ma:showField="LastLocAttemptVersionType" ma:web="9d035d7d-02e5-4a00-8b62-9a556aabc7b5">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116CC8E-FCD3-4331-849C-1BF4DB8052AE}" ma:internalName="LocNewPublishedVersionLookup" ma:readOnly="true" ma:showField="NewPublishedVersion" ma:web="9d035d7d-02e5-4a00-8b62-9a556aabc7b5">
      <xsd:simpleType>
        <xsd:restriction base="dms:Lookup"/>
      </xsd:simpleType>
    </xsd:element>
    <xsd:element name="LocOverallHandbackStatusLookup" ma:index="76" nillable="true" ma:displayName="Loc Overall Handback Status" ma:default="" ma:list="{B116CC8E-FCD3-4331-849C-1BF4DB8052AE}" ma:internalName="LocOverallHandbackStatusLookup" ma:readOnly="true" ma:showField="OverallHandbackStatus" ma:web="9d035d7d-02e5-4a00-8b62-9a556aabc7b5">
      <xsd:simpleType>
        <xsd:restriction base="dms:Lookup"/>
      </xsd:simpleType>
    </xsd:element>
    <xsd:element name="LocOverallLocStatusLookup" ma:index="77" nillable="true" ma:displayName="Loc Overall Localize Status" ma:default="" ma:list="{B116CC8E-FCD3-4331-849C-1BF4DB8052AE}" ma:internalName="LocOverallLocStatusLookup" ma:readOnly="true" ma:showField="OverallLocStatus" ma:web="9d035d7d-02e5-4a00-8b62-9a556aabc7b5">
      <xsd:simpleType>
        <xsd:restriction base="dms:Lookup"/>
      </xsd:simpleType>
    </xsd:element>
    <xsd:element name="LocOverallPreviewStatusLookup" ma:index="78" nillable="true" ma:displayName="Loc Overall Preview Status" ma:default="" ma:list="{B116CC8E-FCD3-4331-849C-1BF4DB8052AE}" ma:internalName="LocOverallPreviewStatusLookup" ma:readOnly="true" ma:showField="OverallPreviewStatus" ma:web="9d035d7d-02e5-4a00-8b62-9a556aabc7b5">
      <xsd:simpleType>
        <xsd:restriction base="dms:Lookup"/>
      </xsd:simpleType>
    </xsd:element>
    <xsd:element name="LocOverallPublishStatusLookup" ma:index="79" nillable="true" ma:displayName="Loc Overall Publish Status" ma:default="" ma:list="{B116CC8E-FCD3-4331-849C-1BF4DB8052AE}" ma:internalName="LocOverallPublishStatusLookup" ma:readOnly="true" ma:showField="OverallPublishStatus" ma:web="9d035d7d-02e5-4a00-8b62-9a556aabc7b5">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116CC8E-FCD3-4331-849C-1BF4DB8052AE}" ma:internalName="LocProcessedForHandoffsLookup" ma:readOnly="true" ma:showField="ProcessedForHandoffs" ma:web="9d035d7d-02e5-4a00-8b62-9a556aabc7b5">
      <xsd:simpleType>
        <xsd:restriction base="dms:Lookup"/>
      </xsd:simpleType>
    </xsd:element>
    <xsd:element name="LocProcessedForMarketsLookup" ma:index="82" nillable="true" ma:displayName="Loc Processed For Markets" ma:default="" ma:list="{B116CC8E-FCD3-4331-849C-1BF4DB8052AE}" ma:internalName="LocProcessedForMarketsLookup" ma:readOnly="true" ma:showField="ProcessedForMarkets" ma:web="9d035d7d-02e5-4a00-8b62-9a556aabc7b5">
      <xsd:simpleType>
        <xsd:restriction base="dms:Lookup"/>
      </xsd:simpleType>
    </xsd:element>
    <xsd:element name="LocPublishedDependentAssetsLookup" ma:index="83" nillable="true" ma:displayName="Loc Published Dependent Assets" ma:default="" ma:list="{B116CC8E-FCD3-4331-849C-1BF4DB8052AE}" ma:internalName="LocPublishedDependentAssetsLookup" ma:readOnly="true" ma:showField="PublishedDependentAssets" ma:web="9d035d7d-02e5-4a00-8b62-9a556aabc7b5">
      <xsd:simpleType>
        <xsd:restriction base="dms:Lookup"/>
      </xsd:simpleType>
    </xsd:element>
    <xsd:element name="LocPublishedLinkedAssetsLookup" ma:index="84" nillable="true" ma:displayName="Loc Published Linked Assets" ma:default="" ma:list="{B116CC8E-FCD3-4331-849C-1BF4DB8052AE}" ma:internalName="LocPublishedLinkedAssetsLookup" ma:readOnly="true" ma:showField="PublishedLinkedAssets" ma:web="9d035d7d-02e5-4a00-8b62-9a556aabc7b5">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c95181ba-569f-436f-adb3-78c3831fea5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41FC7ADF-4C62-4413-95B2-CDE72C4AD396}" ma:internalName="Markets" ma:readOnly="false" ma:showField="MarketName"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CD722278-12DA-4BA9-B56C-2624CA46C480}" ma:internalName="NumOfRatingsLookup" ma:readOnly="true" ma:showField="NumOfRating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CD722278-12DA-4BA9-B56C-2624CA46C480}" ma:internalName="PublishStatusLookup" ma:readOnly="false" ma:showField="PublishStatus"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a34c0026-7bf6-479c-b6e7-24710140ce31}"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0ef119a3-9350-4d50-81f0-e824a5745f43}" ma:internalName="TaxCatchAll" ma:showField="CatchAllData"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0ef119a3-9350-4d50-81f0-e824a5745f43}" ma:internalName="TaxCatchAllLabel" ma:readOnly="true" ma:showField="CatchAllDataLabel" ma:web="9d035d7d-02e5-4a00-8b62-9a556aabc7b5">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e8d559-4d54-460d-ba58-5d5027f88b4d"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irectSourceMarket xmlns="9d035d7d-02e5-4a00-8b62-9a556aabc7b5">english</DirectSourceMarket>
    <LocComments xmlns="9d035d7d-02e5-4a00-8b62-9a556aabc7b5" xsi:nil="true"/>
    <ApprovalStatus xmlns="9d035d7d-02e5-4a00-8b62-9a556aabc7b5">InProgress</ApprovalStatus>
    <MarketSpecific xmlns="9d035d7d-02e5-4a00-8b62-9a556aabc7b5">false</MarketSpecific>
    <ThumbnailAssetId xmlns="9d035d7d-02e5-4a00-8b62-9a556aabc7b5" xsi:nil="true"/>
    <PrimaryImageGen xmlns="9d035d7d-02e5-4a00-8b62-9a556aabc7b5">false</PrimaryImageGen>
    <LegacyData xmlns="9d035d7d-02e5-4a00-8b62-9a556aabc7b5" xsi:nil="true"/>
    <TPFriendlyName xmlns="9d035d7d-02e5-4a00-8b62-9a556aabc7b5" xsi:nil="true"/>
    <BlockPublish xmlns="9d035d7d-02e5-4a00-8b62-9a556aabc7b5">false</BlockPublish>
    <NumericId xmlns="9d035d7d-02e5-4a00-8b62-9a556aabc7b5" xsi:nil="true"/>
    <LocRecommendedHandoff xmlns="9d035d7d-02e5-4a00-8b62-9a556aabc7b5" xsi:nil="true"/>
    <BusinessGroup xmlns="9d035d7d-02e5-4a00-8b62-9a556aabc7b5" xsi:nil="true"/>
    <SourceTitle xmlns="9d035d7d-02e5-4a00-8b62-9a556aabc7b5" xsi:nil="true"/>
    <OpenTemplate xmlns="9d035d7d-02e5-4a00-8b62-9a556aabc7b5">true</OpenTemplate>
    <APEditor xmlns="9d035d7d-02e5-4a00-8b62-9a556aabc7b5">
      <UserInfo>
        <DisplayName/>
        <AccountId xsi:nil="true"/>
        <AccountType/>
      </UserInfo>
    </APEditor>
    <UALocComments xmlns="9d035d7d-02e5-4a00-8b62-9a556aabc7b5" xsi:nil="true"/>
    <ParentAssetId xmlns="9d035d7d-02e5-4a00-8b62-9a556aabc7b5" xsi:nil="true"/>
    <PublishStatusLookup xmlns="9d035d7d-02e5-4a00-8b62-9a556aabc7b5">
      <Value>404880</Value>
      <Value>404881</Value>
    </PublishStatusLookup>
    <FeatureTagsTaxHTField0 xmlns="9d035d7d-02e5-4a00-8b62-9a556aabc7b5">
      <Terms xmlns="http://schemas.microsoft.com/office/infopath/2007/PartnerControls"/>
    </FeatureTagsTaxHTField0>
    <IntlLangReviewDate xmlns="9d035d7d-02e5-4a00-8b62-9a556aabc7b5" xsi:nil="true"/>
    <Providers xmlns="9d035d7d-02e5-4a00-8b62-9a556aabc7b5" xsi:nil="true"/>
    <MachineTranslated xmlns="9d035d7d-02e5-4a00-8b62-9a556aabc7b5">false</MachineTranslated>
    <OriginalSourceMarket xmlns="9d035d7d-02e5-4a00-8b62-9a556aabc7b5">english</OriginalSourceMarket>
    <APDescription xmlns="9d035d7d-02e5-4a00-8b62-9a556aabc7b5">Use this classic annual report template to create a great report for your business. Change the color using themes, and personalize it by inserting your company logo. Instructional text walks you through how to build the report you need. Additional matching templates are available in the Timeless design set.
</APDescription>
    <TPInstallLocation xmlns="9d035d7d-02e5-4a00-8b62-9a556aabc7b5" xsi:nil="true"/>
    <ClipArtFilename xmlns="9d035d7d-02e5-4a00-8b62-9a556aabc7b5" xsi:nil="true"/>
    <ContentItem xmlns="9d035d7d-02e5-4a00-8b62-9a556aabc7b5" xsi:nil="true"/>
    <PublishTargets xmlns="9d035d7d-02e5-4a00-8b62-9a556aabc7b5">OfficeOnlineVNext,OfflineBuild</PublishTargets>
    <TimesCloned xmlns="9d035d7d-02e5-4a00-8b62-9a556aabc7b5" xsi:nil="true"/>
    <FriendlyTitle xmlns="9d035d7d-02e5-4a00-8b62-9a556aabc7b5" xsi:nil="true"/>
    <AssetStart xmlns="9d035d7d-02e5-4a00-8b62-9a556aabc7b5">2012-06-13T08:15:11+00:00</AssetStart>
    <AcquiredFrom xmlns="9d035d7d-02e5-4a00-8b62-9a556aabc7b5">Internal MS</AcquiredFrom>
    <LastHandOff xmlns="9d035d7d-02e5-4a00-8b62-9a556aabc7b5" xsi:nil="true"/>
    <Provider xmlns="9d035d7d-02e5-4a00-8b62-9a556aabc7b5" xsi:nil="true"/>
    <TPClientViewer xmlns="9d035d7d-02e5-4a00-8b62-9a556aabc7b5" xsi:nil="true"/>
    <CSXHash xmlns="9d035d7d-02e5-4a00-8b62-9a556aabc7b5" xsi:nil="true"/>
    <IsDeleted xmlns="9d035d7d-02e5-4a00-8b62-9a556aabc7b5">false</IsDeleted>
    <ShowIn xmlns="9d035d7d-02e5-4a00-8b62-9a556aabc7b5">Show everywhere</ShowIn>
    <UANotes xmlns="9d035d7d-02e5-4a00-8b62-9a556aabc7b5" xsi:nil="true"/>
    <TemplateStatus xmlns="9d035d7d-02e5-4a00-8b62-9a556aabc7b5">Complete</TemplateStatus>
    <Downloads xmlns="9d035d7d-02e5-4a00-8b62-9a556aabc7b5">0</Downloads>
    <InternalTagsTaxHTField0 xmlns="9d035d7d-02e5-4a00-8b62-9a556aabc7b5">
      <Terms xmlns="http://schemas.microsoft.com/office/infopath/2007/PartnerControls"/>
    </InternalTagsTaxHTField0>
    <VoteCount xmlns="9d035d7d-02e5-4a00-8b62-9a556aabc7b5" xsi:nil="true"/>
    <OOCacheId xmlns="9d035d7d-02e5-4a00-8b62-9a556aabc7b5" xsi:nil="true"/>
    <AssetExpire xmlns="9d035d7d-02e5-4a00-8b62-9a556aabc7b5">2029-01-01T00:00:00+00:00</AssetExpire>
    <DSATActionTaken xmlns="9d035d7d-02e5-4a00-8b62-9a556aabc7b5" xsi:nil="true"/>
    <CSXSubmissionMarket xmlns="9d035d7d-02e5-4a00-8b62-9a556aabc7b5" xsi:nil="true"/>
    <TPExecutable xmlns="9d035d7d-02e5-4a00-8b62-9a556aabc7b5" xsi:nil="true"/>
    <SubmitterId xmlns="9d035d7d-02e5-4a00-8b62-9a556aabc7b5" xsi:nil="true"/>
    <EditorialTags xmlns="9d035d7d-02e5-4a00-8b62-9a556aabc7b5" xsi:nil="true"/>
    <AssetType xmlns="9d035d7d-02e5-4a00-8b62-9a556aabc7b5">TP</AssetType>
    <CSXUpdate xmlns="9d035d7d-02e5-4a00-8b62-9a556aabc7b5">false</CSXUpdate>
    <BugNumber xmlns="9d035d7d-02e5-4a00-8b62-9a556aabc7b5" xsi:nil="true"/>
    <ApprovalLog xmlns="9d035d7d-02e5-4a00-8b62-9a556aabc7b5" xsi:nil="true"/>
    <CSXSubmissionDate xmlns="9d035d7d-02e5-4a00-8b62-9a556aabc7b5" xsi:nil="true"/>
    <Milestone xmlns="9d035d7d-02e5-4a00-8b62-9a556aabc7b5" xsi:nil="true"/>
    <OriginAsset xmlns="9d035d7d-02e5-4a00-8b62-9a556aabc7b5" xsi:nil="true"/>
    <TPComponent xmlns="9d035d7d-02e5-4a00-8b62-9a556aabc7b5" xsi:nil="true"/>
    <RecommendationsModifier xmlns="9d035d7d-02e5-4a00-8b62-9a556aabc7b5" xsi:nil="true"/>
    <Component xmlns="91e8d559-4d54-460d-ba58-5d5027f88b4d" xsi:nil="true"/>
    <Description0 xmlns="91e8d559-4d54-460d-ba58-5d5027f88b4d" xsi:nil="true"/>
    <AssetId xmlns="9d035d7d-02e5-4a00-8b62-9a556aabc7b5">TP102835061</AssetId>
    <TPApplication xmlns="9d035d7d-02e5-4a00-8b62-9a556aabc7b5" xsi:nil="true"/>
    <TPLaunchHelpLink xmlns="9d035d7d-02e5-4a00-8b62-9a556aabc7b5" xsi:nil="true"/>
    <PolicheckWords xmlns="9d035d7d-02e5-4a00-8b62-9a556aabc7b5" xsi:nil="true"/>
    <IntlLocPriority xmlns="9d035d7d-02e5-4a00-8b62-9a556aabc7b5" xsi:nil="true"/>
    <CrawlForDependencies xmlns="9d035d7d-02e5-4a00-8b62-9a556aabc7b5">false</CrawlForDependencies>
    <IntlLangReviewer xmlns="9d035d7d-02e5-4a00-8b62-9a556aabc7b5" xsi:nil="true"/>
    <HandoffToMSDN xmlns="9d035d7d-02e5-4a00-8b62-9a556aabc7b5" xsi:nil="true"/>
    <PlannedPubDate xmlns="9d035d7d-02e5-4a00-8b62-9a556aabc7b5" xsi:nil="true"/>
    <TrustLevel xmlns="9d035d7d-02e5-4a00-8b62-9a556aabc7b5">1 Microsoft Managed Content</TrustLevel>
    <LocLastLocAttemptVersionLookup xmlns="9d035d7d-02e5-4a00-8b62-9a556aabc7b5">183892</LocLastLocAttemptVersionLookup>
    <TemplateTemplateType xmlns="9d035d7d-02e5-4a00-8b62-9a556aabc7b5">Word Document Template</TemplateTemplateType>
    <IsSearchable xmlns="9d035d7d-02e5-4a00-8b62-9a556aabc7b5">true</IsSearchable>
    <TPNamespace xmlns="9d035d7d-02e5-4a00-8b62-9a556aabc7b5" xsi:nil="true"/>
    <TaxCatchAll xmlns="9d035d7d-02e5-4a00-8b62-9a556aabc7b5"/>
    <CampaignTagsTaxHTField0 xmlns="9d035d7d-02e5-4a00-8b62-9a556aabc7b5">
      <Terms xmlns="http://schemas.microsoft.com/office/infopath/2007/PartnerControls"/>
    </CampaignTagsTaxHTField0>
    <Markets xmlns="9d035d7d-02e5-4a00-8b62-9a556aabc7b5"/>
    <IntlLangReview xmlns="9d035d7d-02e5-4a00-8b62-9a556aabc7b5">false</IntlLangReview>
    <OutputCachingOn xmlns="9d035d7d-02e5-4a00-8b62-9a556aabc7b5">false</OutputCachingOn>
    <UAProjectedTotalWords xmlns="9d035d7d-02e5-4a00-8b62-9a556aabc7b5" xsi:nil="true"/>
    <LocMarketGroupTiers2 xmlns="9d035d7d-02e5-4a00-8b62-9a556aabc7b5" xsi:nil="true"/>
    <AverageRating xmlns="9d035d7d-02e5-4a00-8b62-9a556aabc7b5" xsi:nil="true"/>
    <TPAppVersion xmlns="9d035d7d-02e5-4a00-8b62-9a556aabc7b5" xsi:nil="true"/>
    <TPCommandLine xmlns="9d035d7d-02e5-4a00-8b62-9a556aabc7b5" xsi:nil="true"/>
    <APAuthor xmlns="9d035d7d-02e5-4a00-8b62-9a556aabc7b5">
      <UserInfo>
        <DisplayName>System Account</DisplayName>
        <AccountId>1073741823</AccountId>
        <AccountType/>
      </UserInfo>
    </APAuthor>
    <LocManualTestRequired xmlns="9d035d7d-02e5-4a00-8b62-9a556aabc7b5">false</LocManualTestRequired>
    <EditorialStatus xmlns="9d035d7d-02e5-4a00-8b62-9a556aabc7b5">Complete</EditorialStatus>
    <TPLaunchHelpLinkType xmlns="9d035d7d-02e5-4a00-8b62-9a556aabc7b5">Template</TPLaunchHelpLinkType>
    <OriginalRelease xmlns="9d035d7d-02e5-4a00-8b62-9a556aabc7b5">15</OriginalRelease>
    <LastModifiedDateTime xmlns="9d035d7d-02e5-4a00-8b62-9a556aabc7b5" xsi:nil="true"/>
    <ScenarioTagsTaxHTField0 xmlns="9d035d7d-02e5-4a00-8b62-9a556aabc7b5">
      <Terms xmlns="http://schemas.microsoft.com/office/infopath/2007/PartnerControls"/>
    </ScenarioTagsTaxHTField0>
    <LocalizationTagsTaxHTField0 xmlns="9d035d7d-02e5-4a00-8b62-9a556aabc7b5">
      <Terms xmlns="http://schemas.microsoft.com/office/infopath/2007/PartnerControls"/>
    </LocalizationTagsTaxHTField0>
    <UACurrentWords xmlns="9d035d7d-02e5-4a00-8b62-9a556aabc7b5" xsi:nil="true"/>
    <ArtSampleDocs xmlns="9d035d7d-02e5-4a00-8b62-9a556aabc7b5" xsi:nil="true"/>
    <UALocRecommendation xmlns="9d035d7d-02e5-4a00-8b62-9a556aabc7b5">Localize</UALocRecommendation>
    <Manager xmlns="9d035d7d-02e5-4a00-8b62-9a556aabc7b5" xsi:nil="true"/>
  </documentManagement>
</p:properti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9888AA-241A-4A25-BA49-95EF44C12A19}">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EEB8016B-CD15-4794-8667-982207350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35d7d-02e5-4a00-8b62-9a556aabc7b5"/>
    <ds:schemaRef ds:uri="91e8d559-4d54-460d-ba58-5d5027f88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FAFA71-6260-436B-BF8C-8C57035F7258}">
  <ds:schemaRefs>
    <ds:schemaRef ds:uri="http://schemas.microsoft.com/office/2006/metadata/properties"/>
    <ds:schemaRef ds:uri="http://schemas.microsoft.com/office/infopath/2007/PartnerControls"/>
    <ds:schemaRef ds:uri="9d035d7d-02e5-4a00-8b62-9a556aabc7b5"/>
    <ds:schemaRef ds:uri="91e8d559-4d54-460d-ba58-5d5027f88b4d"/>
  </ds:schemaRefs>
</ds:datastoreItem>
</file>

<file path=customXml/itemProps6.xml><?xml version="1.0" encoding="utf-8"?>
<ds:datastoreItem xmlns:ds="http://schemas.openxmlformats.org/officeDocument/2006/customXml" ds:itemID="{9FE3ED4E-5612-41E0-AFDF-F526ECCC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tf02835063_win32</Template>
  <TotalTime>164</TotalTime>
  <Pages>24</Pages>
  <Words>4567</Words>
  <Characters>26037</Characters>
  <Application>Microsoft Office Word</Application>
  <DocSecurity>0</DocSecurity>
  <Lines>216</Lines>
  <Paragraphs>61</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20</vt:i4>
      </vt:variant>
    </vt:vector>
  </HeadingPairs>
  <TitlesOfParts>
    <vt:vector size="22" baseType="lpstr">
      <vt:lpstr>Отчет о деятельности</vt:lpstr>
      <vt:lpstr/>
      <vt:lpstr>Нашим акционерам</vt:lpstr>
      <vt:lpstr>    Стратегические основные положения</vt:lpstr>
      <vt:lpstr>    Основные финансовые положения</vt:lpstr>
      <vt:lpstr>    Основные положения о работе</vt:lpstr>
      <vt:lpstr>    Взгляд вперед</vt:lpstr>
      <vt:lpstr>Финансовая сводка</vt:lpstr>
      <vt:lpstr>Финансовые отчеты</vt:lpstr>
      <vt:lpstr>    Отчет о финансовом положении</vt:lpstr>
      <vt:lpstr>    Отчет о совокупном доходе (прибылях и убытках)</vt:lpstr>
      <vt:lpstr>    Отчет об изменениях собственного капитала</vt:lpstr>
      <vt:lpstr>    Отчет о движении денежных средств</vt:lpstr>
      <vt:lpstr>Примечания к финансовым отчетам</vt:lpstr>
      <vt:lpstr>    Счета</vt:lpstr>
      <vt:lpstr>    Задолженность</vt:lpstr>
      <vt:lpstr>    Действующее предприятие</vt:lpstr>
      <vt:lpstr>    Потенциальные обязательства</vt:lpstr>
      <vt:lpstr>    Основные положения</vt:lpstr>
      <vt:lpstr>Отчет независимого аудитора</vt:lpstr>
      <vt:lpstr>Контактные данные</vt:lpstr>
      <vt:lpstr>Сведения об организации</vt:lpstr>
    </vt:vector>
  </TitlesOfParts>
  <Company/>
  <LinksUpToDate>false</LinksUpToDate>
  <CharactersWithSpaces>30543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деятельности</dc:title>
  <dc:creator>Гущина Н.Б.</dc:creator>
  <cp:lastModifiedBy>Павлычев С.Ю.</cp:lastModifiedBy>
  <cp:revision>14</cp:revision>
  <dcterms:created xsi:type="dcterms:W3CDTF">2022-03-07T21:49:00Z</dcterms:created>
  <dcterms:modified xsi:type="dcterms:W3CDTF">2026-07-01T12:42:00Z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12479000</vt:r8>
  </property>
  <property fmtid="{D5CDD505-2E9C-101B-9397-08002B2CF9AE}" pid="3" name="HiddenCategoryTags">
    <vt:lpwstr/>
  </property>
  <property fmtid="{D5CDD505-2E9C-101B-9397-08002B2CF9AE}" pid="4" name="InternalTags">
    <vt:lpwstr/>
  </property>
  <property fmtid="{D5CDD505-2E9C-101B-9397-08002B2CF9AE}" pid="5" name="ContentTypeId">
    <vt:lpwstr>0x010100BB2780C3CC07BD4BAA623FF9571645580400D1570604EA743043A2641365C0E91715</vt:lpwstr>
  </property>
  <property fmtid="{D5CDD505-2E9C-101B-9397-08002B2CF9AE}" pid="6" name="FeatureTags">
    <vt:lpwstr/>
  </property>
  <property fmtid="{D5CDD505-2E9C-101B-9397-08002B2CF9AE}" pid="7" name="LocalizationTags">
    <vt:lpwstr/>
  </property>
  <property fmtid="{D5CDD505-2E9C-101B-9397-08002B2CF9AE}" pid="8" name="CategoryTags">
    <vt:lpwstr/>
  </property>
  <property fmtid="{D5CDD505-2E9C-101B-9397-08002B2CF9AE}" pid="9" name="Applications">
    <vt:lpwstr/>
  </property>
  <property fmtid="{D5CDD505-2E9C-101B-9397-08002B2CF9AE}" pid="10" name="CampaignTags">
    <vt:lpwstr/>
  </property>
  <property fmtid="{D5CDD505-2E9C-101B-9397-08002B2CF9AE}" pid="11" name="ScenarioTags">
    <vt:lpwstr/>
  </property>
</Properties>
</file>