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FC" w:rsidRDefault="00356FFC" w:rsidP="00356FFC">
      <w:pPr>
        <w:tabs>
          <w:tab w:val="left" w:pos="8789"/>
        </w:tabs>
        <w:jc w:val="right"/>
        <w:rPr>
          <w:b/>
          <w:sz w:val="24"/>
          <w:szCs w:val="24"/>
        </w:rPr>
      </w:pPr>
      <w:r>
        <w:rPr>
          <w:b/>
          <w:sz w:val="24"/>
          <w:szCs w:val="24"/>
        </w:rPr>
        <w:t>Утверждаю</w:t>
      </w:r>
    </w:p>
    <w:p w:rsidR="00356FFC" w:rsidRDefault="00356FFC" w:rsidP="00356FFC">
      <w:pPr>
        <w:tabs>
          <w:tab w:val="left" w:pos="8789"/>
        </w:tabs>
        <w:jc w:val="right"/>
        <w:rPr>
          <w:b/>
          <w:sz w:val="24"/>
          <w:szCs w:val="24"/>
        </w:rPr>
      </w:pPr>
      <w:r>
        <w:rPr>
          <w:b/>
          <w:sz w:val="24"/>
          <w:szCs w:val="24"/>
        </w:rPr>
        <w:t>Председатель Правления</w:t>
      </w:r>
    </w:p>
    <w:p w:rsidR="00356FFC" w:rsidRDefault="00356FFC" w:rsidP="00356FFC">
      <w:pPr>
        <w:tabs>
          <w:tab w:val="left" w:pos="8789"/>
        </w:tabs>
        <w:jc w:val="right"/>
        <w:rPr>
          <w:b/>
          <w:sz w:val="24"/>
          <w:szCs w:val="24"/>
        </w:rPr>
      </w:pPr>
      <w:r>
        <w:rPr>
          <w:b/>
          <w:sz w:val="24"/>
          <w:szCs w:val="24"/>
        </w:rPr>
        <w:t>Департамента энергетики и тарифов</w:t>
      </w:r>
    </w:p>
    <w:p w:rsidR="00356FFC" w:rsidRDefault="00356FFC" w:rsidP="00356FFC">
      <w:pPr>
        <w:tabs>
          <w:tab w:val="left" w:pos="8789"/>
        </w:tabs>
        <w:jc w:val="right"/>
        <w:rPr>
          <w:b/>
          <w:sz w:val="24"/>
          <w:szCs w:val="24"/>
        </w:rPr>
      </w:pPr>
      <w:r>
        <w:rPr>
          <w:b/>
          <w:sz w:val="24"/>
          <w:szCs w:val="24"/>
        </w:rPr>
        <w:t>Ивановской области</w:t>
      </w:r>
    </w:p>
    <w:p w:rsidR="00356FFC" w:rsidRDefault="00356FFC" w:rsidP="00356FFC">
      <w:pPr>
        <w:tabs>
          <w:tab w:val="left" w:pos="8789"/>
        </w:tabs>
        <w:jc w:val="right"/>
        <w:rPr>
          <w:b/>
          <w:sz w:val="24"/>
          <w:szCs w:val="24"/>
        </w:rPr>
      </w:pPr>
    </w:p>
    <w:p w:rsidR="00356FFC" w:rsidRDefault="00356FFC" w:rsidP="00356FFC">
      <w:pPr>
        <w:tabs>
          <w:tab w:val="left" w:pos="8789"/>
        </w:tabs>
        <w:jc w:val="right"/>
        <w:rPr>
          <w:b/>
          <w:sz w:val="24"/>
          <w:szCs w:val="24"/>
          <w:u w:val="single"/>
        </w:rPr>
      </w:pPr>
      <w:r>
        <w:rPr>
          <w:b/>
          <w:sz w:val="24"/>
          <w:szCs w:val="24"/>
        </w:rPr>
        <w:t>______________________Е.Н. Морева</w:t>
      </w:r>
    </w:p>
    <w:p w:rsidR="00356FFC" w:rsidRDefault="00356FFC" w:rsidP="00356FFC">
      <w:pPr>
        <w:tabs>
          <w:tab w:val="left" w:pos="8789"/>
        </w:tabs>
        <w:jc w:val="center"/>
        <w:rPr>
          <w:b/>
          <w:sz w:val="24"/>
          <w:szCs w:val="24"/>
          <w:u w:val="single"/>
        </w:rPr>
      </w:pPr>
    </w:p>
    <w:p w:rsidR="00356FFC" w:rsidRDefault="00356FFC" w:rsidP="007949B5">
      <w:pPr>
        <w:tabs>
          <w:tab w:val="left" w:pos="8789"/>
        </w:tabs>
        <w:jc w:val="center"/>
        <w:rPr>
          <w:b/>
          <w:sz w:val="24"/>
          <w:szCs w:val="24"/>
          <w:u w:val="single"/>
        </w:rPr>
      </w:pPr>
    </w:p>
    <w:p w:rsidR="00356FFC" w:rsidRDefault="00356FFC" w:rsidP="007949B5">
      <w:pPr>
        <w:tabs>
          <w:tab w:val="left" w:pos="8789"/>
        </w:tabs>
        <w:jc w:val="center"/>
        <w:rPr>
          <w:b/>
          <w:sz w:val="24"/>
          <w:szCs w:val="24"/>
          <w:u w:val="single"/>
        </w:rPr>
      </w:pPr>
    </w:p>
    <w:p w:rsidR="00356FFC" w:rsidRDefault="00356FFC" w:rsidP="007949B5">
      <w:pPr>
        <w:tabs>
          <w:tab w:val="left" w:pos="8789"/>
        </w:tabs>
        <w:jc w:val="center"/>
        <w:rPr>
          <w:b/>
          <w:sz w:val="24"/>
          <w:szCs w:val="24"/>
          <w:u w:val="single"/>
        </w:rPr>
      </w:pPr>
    </w:p>
    <w:p w:rsidR="007949B5" w:rsidRPr="007949B5" w:rsidRDefault="007949B5" w:rsidP="007949B5">
      <w:pPr>
        <w:tabs>
          <w:tab w:val="left" w:pos="8789"/>
        </w:tabs>
        <w:jc w:val="center"/>
        <w:rPr>
          <w:b/>
          <w:sz w:val="24"/>
          <w:szCs w:val="24"/>
          <w:u w:val="single"/>
        </w:rPr>
      </w:pPr>
      <w:proofErr w:type="gramStart"/>
      <w:r w:rsidRPr="007949B5">
        <w:rPr>
          <w:b/>
          <w:sz w:val="24"/>
          <w:szCs w:val="24"/>
          <w:u w:val="single"/>
        </w:rPr>
        <w:t>П</w:t>
      </w:r>
      <w:proofErr w:type="gramEnd"/>
      <w:r w:rsidRPr="007949B5">
        <w:rPr>
          <w:b/>
          <w:sz w:val="24"/>
          <w:szCs w:val="24"/>
          <w:u w:val="single"/>
        </w:rPr>
        <w:t xml:space="preserve"> Р О Т О К О Л  № 49/1</w:t>
      </w:r>
    </w:p>
    <w:p w:rsidR="007949B5" w:rsidRPr="007949B5" w:rsidRDefault="007949B5" w:rsidP="007949B5">
      <w:pPr>
        <w:tabs>
          <w:tab w:val="left" w:pos="8789"/>
        </w:tabs>
        <w:jc w:val="center"/>
        <w:rPr>
          <w:sz w:val="24"/>
          <w:szCs w:val="24"/>
        </w:rPr>
      </w:pPr>
      <w:r w:rsidRPr="007949B5">
        <w:rPr>
          <w:sz w:val="24"/>
          <w:szCs w:val="24"/>
        </w:rPr>
        <w:t>заседания Правления Департамента энергетики и тарифов Ивановской области</w:t>
      </w:r>
    </w:p>
    <w:p w:rsidR="007949B5" w:rsidRPr="007949B5" w:rsidRDefault="007949B5" w:rsidP="007949B5">
      <w:pPr>
        <w:jc w:val="center"/>
        <w:rPr>
          <w:sz w:val="24"/>
          <w:szCs w:val="24"/>
        </w:rPr>
      </w:pPr>
    </w:p>
    <w:p w:rsidR="007949B5" w:rsidRPr="007949B5" w:rsidRDefault="007949B5" w:rsidP="007949B5">
      <w:pPr>
        <w:jc w:val="center"/>
        <w:rPr>
          <w:sz w:val="24"/>
          <w:szCs w:val="24"/>
        </w:rPr>
      </w:pPr>
      <w:r w:rsidRPr="007949B5">
        <w:rPr>
          <w:sz w:val="24"/>
          <w:szCs w:val="24"/>
        </w:rPr>
        <w:t>10 декабря 2024 г.</w:t>
      </w:r>
      <w:r w:rsidRPr="007949B5">
        <w:rPr>
          <w:sz w:val="24"/>
          <w:szCs w:val="24"/>
        </w:rPr>
        <w:tab/>
        <w:t xml:space="preserve"> </w:t>
      </w:r>
      <w:r w:rsidRPr="007949B5">
        <w:rPr>
          <w:sz w:val="24"/>
          <w:szCs w:val="24"/>
        </w:rPr>
        <w:tab/>
      </w:r>
      <w:r w:rsidRPr="007949B5">
        <w:rPr>
          <w:sz w:val="24"/>
          <w:szCs w:val="24"/>
        </w:rPr>
        <w:tab/>
      </w:r>
      <w:r w:rsidRPr="007949B5">
        <w:rPr>
          <w:sz w:val="24"/>
          <w:szCs w:val="24"/>
        </w:rPr>
        <w:tab/>
      </w:r>
      <w:r w:rsidRPr="007949B5">
        <w:rPr>
          <w:sz w:val="24"/>
          <w:szCs w:val="24"/>
        </w:rPr>
        <w:tab/>
      </w:r>
      <w:r w:rsidRPr="007949B5">
        <w:rPr>
          <w:sz w:val="24"/>
          <w:szCs w:val="24"/>
        </w:rPr>
        <w:tab/>
      </w:r>
      <w:r w:rsidRPr="007949B5">
        <w:rPr>
          <w:sz w:val="24"/>
          <w:szCs w:val="24"/>
        </w:rPr>
        <w:tab/>
      </w:r>
      <w:r w:rsidRPr="007949B5">
        <w:rPr>
          <w:sz w:val="24"/>
          <w:szCs w:val="24"/>
        </w:rPr>
        <w:tab/>
        <w:t xml:space="preserve">  </w:t>
      </w:r>
      <w:r w:rsidRPr="007949B5">
        <w:rPr>
          <w:sz w:val="24"/>
          <w:szCs w:val="24"/>
        </w:rPr>
        <w:tab/>
        <w:t xml:space="preserve">      г. Иваново</w:t>
      </w:r>
    </w:p>
    <w:p w:rsidR="007949B5" w:rsidRPr="007949B5" w:rsidRDefault="007949B5" w:rsidP="007949B5">
      <w:pPr>
        <w:tabs>
          <w:tab w:val="left" w:pos="8789"/>
        </w:tabs>
        <w:jc w:val="center"/>
        <w:rPr>
          <w:sz w:val="24"/>
          <w:szCs w:val="24"/>
        </w:rPr>
      </w:pPr>
    </w:p>
    <w:p w:rsidR="007949B5" w:rsidRPr="007949B5" w:rsidRDefault="007949B5" w:rsidP="007949B5">
      <w:pPr>
        <w:widowControl/>
        <w:spacing w:line="264" w:lineRule="auto"/>
        <w:jc w:val="both"/>
        <w:rPr>
          <w:sz w:val="24"/>
          <w:szCs w:val="24"/>
        </w:rPr>
      </w:pPr>
      <w:r w:rsidRPr="007949B5">
        <w:rPr>
          <w:sz w:val="24"/>
          <w:szCs w:val="24"/>
        </w:rPr>
        <w:t>Присутствовали:</w:t>
      </w:r>
    </w:p>
    <w:p w:rsidR="007949B5" w:rsidRPr="007949B5" w:rsidRDefault="007949B5" w:rsidP="007949B5">
      <w:pPr>
        <w:widowControl/>
        <w:spacing w:line="264" w:lineRule="auto"/>
        <w:jc w:val="both"/>
        <w:rPr>
          <w:sz w:val="24"/>
          <w:szCs w:val="24"/>
        </w:rPr>
      </w:pPr>
      <w:r w:rsidRPr="007949B5">
        <w:rPr>
          <w:sz w:val="24"/>
          <w:szCs w:val="24"/>
        </w:rPr>
        <w:t>Председатель Правления: Морева Е.Н.</w:t>
      </w:r>
    </w:p>
    <w:p w:rsidR="007949B5" w:rsidRPr="007949B5" w:rsidRDefault="007949B5" w:rsidP="007949B5">
      <w:pPr>
        <w:spacing w:line="264" w:lineRule="auto"/>
        <w:jc w:val="both"/>
        <w:rPr>
          <w:sz w:val="24"/>
          <w:szCs w:val="24"/>
        </w:rPr>
      </w:pPr>
      <w:r w:rsidRPr="007949B5">
        <w:rPr>
          <w:sz w:val="24"/>
          <w:szCs w:val="24"/>
        </w:rPr>
        <w:t>Члены Правления: Бугаева С.Е., Гущина Н.Б., Турбачкина Е.В., Полозов И.Г., Коннова Е.А., Агапова О.П.</w:t>
      </w:r>
    </w:p>
    <w:p w:rsidR="007949B5" w:rsidRPr="007949B5" w:rsidRDefault="007949B5" w:rsidP="007949B5">
      <w:pPr>
        <w:spacing w:line="264" w:lineRule="auto"/>
        <w:jc w:val="both"/>
        <w:rPr>
          <w:sz w:val="24"/>
          <w:szCs w:val="24"/>
        </w:rPr>
      </w:pPr>
      <w:r w:rsidRPr="007949B5">
        <w:rPr>
          <w:sz w:val="24"/>
          <w:szCs w:val="24"/>
        </w:rPr>
        <w:t>От Департамента энергетики и тарифов Ивановской области: Сергеев М.А., Назарова О.А., Кузьмичева Е.С.</w:t>
      </w:r>
    </w:p>
    <w:p w:rsidR="007949B5" w:rsidRPr="007949B5" w:rsidRDefault="007949B5" w:rsidP="007949B5">
      <w:pPr>
        <w:widowControl/>
        <w:spacing w:line="264" w:lineRule="auto"/>
        <w:jc w:val="both"/>
        <w:rPr>
          <w:sz w:val="24"/>
          <w:szCs w:val="24"/>
        </w:rPr>
      </w:pPr>
      <w:r w:rsidRPr="007949B5">
        <w:rPr>
          <w:sz w:val="24"/>
          <w:szCs w:val="24"/>
        </w:rPr>
        <w:t>От УФАС России по Ивановской области: Виднова З.Б. (на праве совещательного голоса, участие в голосовании не принимает).</w:t>
      </w:r>
    </w:p>
    <w:p w:rsidR="007949B5" w:rsidRPr="007949B5" w:rsidRDefault="007949B5" w:rsidP="007949B5">
      <w:pPr>
        <w:widowControl/>
        <w:spacing w:line="264" w:lineRule="auto"/>
        <w:jc w:val="both"/>
        <w:rPr>
          <w:sz w:val="24"/>
          <w:szCs w:val="24"/>
        </w:rPr>
      </w:pPr>
      <w:r w:rsidRPr="007949B5">
        <w:rPr>
          <w:sz w:val="24"/>
          <w:szCs w:val="24"/>
        </w:rPr>
        <w:t>От Ассоциации «НП Совет рынка»: Кулешов А.И.</w:t>
      </w:r>
    </w:p>
    <w:p w:rsidR="007949B5" w:rsidRPr="007949B5" w:rsidRDefault="007949B5" w:rsidP="007949B5">
      <w:pPr>
        <w:widowControl/>
        <w:spacing w:line="264" w:lineRule="auto"/>
        <w:jc w:val="both"/>
        <w:rPr>
          <w:sz w:val="24"/>
          <w:szCs w:val="24"/>
        </w:rPr>
      </w:pPr>
      <w:r w:rsidRPr="007949B5">
        <w:rPr>
          <w:sz w:val="24"/>
          <w:szCs w:val="24"/>
        </w:rPr>
        <w:t>От ООО «ИВЭЛС»: Лизунов И.А., Костерин И.С.</w:t>
      </w:r>
    </w:p>
    <w:p w:rsidR="007949B5" w:rsidRPr="007949B5" w:rsidRDefault="007949B5" w:rsidP="007949B5">
      <w:pPr>
        <w:widowControl/>
        <w:spacing w:line="264" w:lineRule="auto"/>
        <w:jc w:val="both"/>
        <w:rPr>
          <w:sz w:val="24"/>
          <w:szCs w:val="24"/>
        </w:rPr>
      </w:pPr>
      <w:r w:rsidRPr="007949B5">
        <w:rPr>
          <w:sz w:val="24"/>
          <w:szCs w:val="24"/>
        </w:rPr>
        <w:t>От филиала ПАО «Россети Центр и Приволжье» - «Ивэнерго»: Ухтин А.А., Цымаенко И.А.</w:t>
      </w:r>
    </w:p>
    <w:p w:rsidR="007949B5" w:rsidRPr="007949B5" w:rsidRDefault="007949B5" w:rsidP="007949B5">
      <w:pPr>
        <w:widowControl/>
        <w:spacing w:line="264" w:lineRule="auto"/>
        <w:jc w:val="both"/>
        <w:rPr>
          <w:sz w:val="24"/>
          <w:szCs w:val="24"/>
        </w:rPr>
      </w:pPr>
      <w:r w:rsidRPr="007949B5">
        <w:rPr>
          <w:sz w:val="24"/>
          <w:szCs w:val="24"/>
        </w:rPr>
        <w:t>От АО «Объединенные электрические сети»: Луховской Г.С. (по доверенности № 150 от 28.10.2024), Поспелова Н.А.</w:t>
      </w:r>
    </w:p>
    <w:p w:rsidR="007949B5" w:rsidRPr="007949B5" w:rsidRDefault="007949B5" w:rsidP="007949B5">
      <w:pPr>
        <w:spacing w:line="264" w:lineRule="auto"/>
        <w:jc w:val="both"/>
        <w:rPr>
          <w:sz w:val="24"/>
          <w:szCs w:val="24"/>
        </w:rPr>
      </w:pPr>
      <w:r w:rsidRPr="007949B5">
        <w:rPr>
          <w:sz w:val="24"/>
          <w:szCs w:val="24"/>
        </w:rPr>
        <w:t>Ответственный секретарь Правления: Колесова С.А.</w:t>
      </w:r>
    </w:p>
    <w:p w:rsidR="005B384C" w:rsidRPr="001159E4" w:rsidRDefault="005B384C" w:rsidP="005B384C">
      <w:pPr>
        <w:jc w:val="both"/>
        <w:rPr>
          <w:sz w:val="24"/>
          <w:szCs w:val="24"/>
        </w:rPr>
      </w:pPr>
    </w:p>
    <w:p w:rsidR="005B384C" w:rsidRPr="001159E4" w:rsidRDefault="005B384C" w:rsidP="005B384C">
      <w:pPr>
        <w:tabs>
          <w:tab w:val="left" w:pos="851"/>
        </w:tabs>
        <w:ind w:firstLine="567"/>
        <w:jc w:val="center"/>
        <w:rPr>
          <w:b/>
          <w:sz w:val="24"/>
          <w:szCs w:val="24"/>
        </w:rPr>
      </w:pPr>
      <w:r w:rsidRPr="001159E4">
        <w:rPr>
          <w:b/>
          <w:sz w:val="24"/>
          <w:szCs w:val="24"/>
        </w:rPr>
        <w:t>П О В Е С Т К А:</w:t>
      </w:r>
    </w:p>
    <w:p w:rsidR="005B384C" w:rsidRPr="001159E4" w:rsidRDefault="005B384C" w:rsidP="005B384C">
      <w:pPr>
        <w:tabs>
          <w:tab w:val="left" w:pos="851"/>
        </w:tabs>
        <w:ind w:firstLine="567"/>
        <w:jc w:val="center"/>
        <w:rPr>
          <w:b/>
          <w:sz w:val="24"/>
          <w:szCs w:val="24"/>
        </w:rPr>
      </w:pPr>
    </w:p>
    <w:p w:rsidR="005B4D9E" w:rsidRDefault="007A5684" w:rsidP="00805B4E">
      <w:pPr>
        <w:pStyle w:val="aa"/>
        <w:numPr>
          <w:ilvl w:val="0"/>
          <w:numId w:val="5"/>
        </w:numPr>
        <w:tabs>
          <w:tab w:val="left" w:pos="0"/>
          <w:tab w:val="left" w:pos="709"/>
          <w:tab w:val="left" w:pos="851"/>
        </w:tabs>
        <w:ind w:left="0" w:firstLine="567"/>
        <w:jc w:val="both"/>
        <w:rPr>
          <w:b/>
          <w:bCs/>
          <w:sz w:val="24"/>
          <w:szCs w:val="24"/>
        </w:rPr>
      </w:pPr>
      <w:r w:rsidRPr="001159E4">
        <w:rPr>
          <w:b/>
          <w:bCs/>
          <w:sz w:val="24"/>
          <w:szCs w:val="24"/>
        </w:rPr>
        <w:t>О единых (котловых) тарифах на услуги по передаче электрической энергии для потребителей Ивановской области</w:t>
      </w:r>
      <w:r w:rsidR="0038321A">
        <w:rPr>
          <w:b/>
          <w:bCs/>
          <w:sz w:val="24"/>
          <w:szCs w:val="24"/>
        </w:rPr>
        <w:t xml:space="preserve"> на 2025 год</w:t>
      </w:r>
      <w:r w:rsidRPr="001159E4">
        <w:rPr>
          <w:b/>
          <w:bCs/>
          <w:sz w:val="24"/>
          <w:szCs w:val="24"/>
        </w:rPr>
        <w:t>.</w:t>
      </w:r>
    </w:p>
    <w:p w:rsidR="00356FFC" w:rsidRDefault="00356FFC" w:rsidP="00805B4E">
      <w:pPr>
        <w:pStyle w:val="aa"/>
        <w:numPr>
          <w:ilvl w:val="0"/>
          <w:numId w:val="5"/>
        </w:numPr>
        <w:tabs>
          <w:tab w:val="left" w:pos="0"/>
          <w:tab w:val="left" w:pos="709"/>
          <w:tab w:val="left" w:pos="851"/>
        </w:tabs>
        <w:ind w:left="0" w:firstLine="567"/>
        <w:jc w:val="both"/>
        <w:rPr>
          <w:b/>
          <w:bCs/>
          <w:sz w:val="24"/>
          <w:szCs w:val="24"/>
        </w:rPr>
      </w:pPr>
      <w:bookmarkStart w:id="0" w:name="_Hlk185930446"/>
      <w:r w:rsidRPr="00356FFC">
        <w:rPr>
          <w:b/>
          <w:bCs/>
          <w:sz w:val="24"/>
          <w:szCs w:val="24"/>
        </w:rPr>
        <w:t>. Об индивидуальных тарифах на услуги по передаче электрической энергии для взаиморасчетов между сетевыми организациями Ивановской области на 2025 год</w:t>
      </w:r>
    </w:p>
    <w:bookmarkEnd w:id="0"/>
    <w:p w:rsidR="00356FFC" w:rsidRDefault="00356FFC" w:rsidP="00356FFC">
      <w:pPr>
        <w:pStyle w:val="aa"/>
        <w:numPr>
          <w:ilvl w:val="0"/>
          <w:numId w:val="5"/>
        </w:numPr>
        <w:tabs>
          <w:tab w:val="left" w:pos="0"/>
          <w:tab w:val="left" w:pos="709"/>
          <w:tab w:val="left" w:pos="851"/>
          <w:tab w:val="left" w:pos="1134"/>
        </w:tabs>
        <w:ind w:left="0" w:firstLine="567"/>
        <w:jc w:val="both"/>
        <w:rPr>
          <w:b/>
          <w:bCs/>
          <w:sz w:val="24"/>
          <w:szCs w:val="24"/>
        </w:rPr>
      </w:pPr>
      <w:r w:rsidRPr="00356FFC">
        <w:rPr>
          <w:b/>
          <w:bCs/>
          <w:sz w:val="24"/>
          <w:szCs w:val="24"/>
        </w:rPr>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356FFC" w:rsidRDefault="00356FFC" w:rsidP="00356FFC">
      <w:pPr>
        <w:pStyle w:val="aa"/>
        <w:numPr>
          <w:ilvl w:val="0"/>
          <w:numId w:val="5"/>
        </w:numPr>
        <w:tabs>
          <w:tab w:val="left" w:pos="0"/>
          <w:tab w:val="left" w:pos="709"/>
          <w:tab w:val="left" w:pos="851"/>
          <w:tab w:val="left" w:pos="1134"/>
        </w:tabs>
        <w:ind w:left="0" w:firstLine="567"/>
        <w:jc w:val="both"/>
        <w:rPr>
          <w:b/>
          <w:bCs/>
          <w:sz w:val="24"/>
          <w:szCs w:val="24"/>
        </w:rPr>
      </w:pPr>
      <w:r w:rsidRPr="00356FFC">
        <w:rPr>
          <w:b/>
          <w:bCs/>
          <w:sz w:val="24"/>
          <w:szCs w:val="24"/>
        </w:rPr>
        <w:t>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p w:rsidR="00356FFC" w:rsidRDefault="00356FFC" w:rsidP="00356FFC">
      <w:pPr>
        <w:pStyle w:val="aa"/>
        <w:numPr>
          <w:ilvl w:val="0"/>
          <w:numId w:val="5"/>
        </w:numPr>
        <w:tabs>
          <w:tab w:val="left" w:pos="0"/>
          <w:tab w:val="left" w:pos="709"/>
          <w:tab w:val="left" w:pos="851"/>
          <w:tab w:val="left" w:pos="1134"/>
        </w:tabs>
        <w:ind w:left="0" w:firstLine="567"/>
        <w:jc w:val="both"/>
        <w:rPr>
          <w:b/>
          <w:bCs/>
          <w:sz w:val="24"/>
          <w:szCs w:val="24"/>
        </w:rPr>
      </w:pPr>
      <w:r w:rsidRPr="00356FFC">
        <w:rPr>
          <w:b/>
          <w:bCs/>
          <w:sz w:val="24"/>
          <w:szCs w:val="24"/>
        </w:rPr>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p>
    <w:p w:rsidR="00356FFC" w:rsidRPr="00356FFC" w:rsidRDefault="00356FFC" w:rsidP="00356FFC">
      <w:pPr>
        <w:tabs>
          <w:tab w:val="left" w:pos="0"/>
          <w:tab w:val="left" w:pos="709"/>
          <w:tab w:val="left" w:pos="851"/>
          <w:tab w:val="left" w:pos="1134"/>
        </w:tabs>
        <w:jc w:val="both"/>
        <w:rPr>
          <w:b/>
          <w:bCs/>
          <w:sz w:val="24"/>
          <w:szCs w:val="24"/>
        </w:rPr>
      </w:pPr>
    </w:p>
    <w:p w:rsidR="00356FFC" w:rsidRPr="00630E3B" w:rsidRDefault="004C3F09" w:rsidP="00630E3B">
      <w:pPr>
        <w:pStyle w:val="aa"/>
        <w:numPr>
          <w:ilvl w:val="0"/>
          <w:numId w:val="6"/>
        </w:numPr>
        <w:tabs>
          <w:tab w:val="left" w:pos="0"/>
          <w:tab w:val="left" w:pos="709"/>
          <w:tab w:val="left" w:pos="851"/>
        </w:tabs>
        <w:ind w:left="0" w:firstLine="567"/>
        <w:jc w:val="both"/>
        <w:rPr>
          <w:b/>
          <w:bCs/>
          <w:sz w:val="24"/>
          <w:szCs w:val="24"/>
        </w:rPr>
      </w:pPr>
      <w:r w:rsidRPr="001159E4">
        <w:rPr>
          <w:b/>
          <w:bCs/>
          <w:sz w:val="24"/>
          <w:szCs w:val="24"/>
        </w:rPr>
        <w:t>СЛУШАЛИ:</w:t>
      </w:r>
      <w:r w:rsidR="00A23C58" w:rsidRPr="001159E4">
        <w:rPr>
          <w:b/>
          <w:bCs/>
          <w:sz w:val="24"/>
          <w:szCs w:val="24"/>
        </w:rPr>
        <w:tab/>
      </w:r>
      <w:r w:rsidR="0038321A" w:rsidRPr="0038321A">
        <w:rPr>
          <w:b/>
          <w:bCs/>
          <w:sz w:val="24"/>
          <w:szCs w:val="24"/>
        </w:rPr>
        <w:t xml:space="preserve">О единых (котловых) тарифах на услуги по передаче электрической энергии для потребителей Ивановской области на 2025 год </w:t>
      </w:r>
      <w:r w:rsidR="0069698E" w:rsidRPr="001159E4">
        <w:rPr>
          <w:b/>
          <w:bCs/>
          <w:sz w:val="24"/>
          <w:szCs w:val="24"/>
        </w:rPr>
        <w:t>(Морева, Коннова).</w:t>
      </w:r>
    </w:p>
    <w:p w:rsidR="00754A8C" w:rsidRPr="0022750E" w:rsidRDefault="00754A8C" w:rsidP="00754A8C">
      <w:pPr>
        <w:tabs>
          <w:tab w:val="left" w:pos="993"/>
        </w:tabs>
        <w:autoSpaceDE w:val="0"/>
        <w:autoSpaceDN w:val="0"/>
        <w:adjustRightInd w:val="0"/>
        <w:ind w:firstLine="567"/>
        <w:jc w:val="both"/>
        <w:rPr>
          <w:bCs/>
          <w:sz w:val="24"/>
          <w:szCs w:val="24"/>
        </w:rPr>
      </w:pPr>
      <w:r w:rsidRPr="0022750E">
        <w:rPr>
          <w:bCs/>
          <w:sz w:val="24"/>
          <w:szCs w:val="24"/>
        </w:rPr>
        <w:t xml:space="preserve">На заседаниях Правления Департамента </w:t>
      </w:r>
      <w:r w:rsidR="0022750E" w:rsidRPr="0022750E">
        <w:rPr>
          <w:bCs/>
          <w:sz w:val="24"/>
          <w:szCs w:val="24"/>
        </w:rPr>
        <w:t xml:space="preserve">(см. протоколы от 06.12.2024 № 48/4, от 10.12.2024 №49/1) </w:t>
      </w:r>
      <w:r w:rsidRPr="0022750E">
        <w:rPr>
          <w:bCs/>
          <w:sz w:val="24"/>
          <w:szCs w:val="24"/>
        </w:rPr>
        <w:t xml:space="preserve">рассмотрены вопросы по включению НВВ </w:t>
      </w:r>
      <w:r w:rsidR="0022750E" w:rsidRPr="0022750E">
        <w:rPr>
          <w:bCs/>
          <w:sz w:val="24"/>
          <w:szCs w:val="24"/>
        </w:rPr>
        <w:t>4</w:t>
      </w:r>
      <w:r w:rsidRPr="0022750E">
        <w:rPr>
          <w:bCs/>
          <w:sz w:val="24"/>
          <w:szCs w:val="24"/>
        </w:rPr>
        <w:t>-</w:t>
      </w:r>
      <w:r w:rsidR="0022750E" w:rsidRPr="0022750E">
        <w:rPr>
          <w:bCs/>
          <w:sz w:val="24"/>
          <w:szCs w:val="24"/>
        </w:rPr>
        <w:t>х</w:t>
      </w:r>
      <w:r w:rsidRPr="0022750E">
        <w:rPr>
          <w:bCs/>
          <w:sz w:val="24"/>
          <w:szCs w:val="24"/>
        </w:rPr>
        <w:t xml:space="preserve"> сетевых организаций в расчет единых (котловых) тарифов на услуги по передаче электрической энергии для потребителей Ивановской области на 202</w:t>
      </w:r>
      <w:r w:rsidR="0022750E" w:rsidRPr="0022750E">
        <w:rPr>
          <w:bCs/>
          <w:sz w:val="24"/>
          <w:szCs w:val="24"/>
        </w:rPr>
        <w:t>5</w:t>
      </w:r>
      <w:r w:rsidRPr="0022750E">
        <w:rPr>
          <w:bCs/>
          <w:sz w:val="24"/>
          <w:szCs w:val="24"/>
        </w:rPr>
        <w:t xml:space="preserve"> год. Специалистами Департамента подготовлено экспертное заключение по расчету единых (котловых) тарифов на услуги по передаче электрической энергии для потребителей Ивановской области на 202</w:t>
      </w:r>
      <w:r w:rsidR="00BC63D3" w:rsidRPr="0022750E">
        <w:rPr>
          <w:bCs/>
          <w:sz w:val="24"/>
          <w:szCs w:val="24"/>
        </w:rPr>
        <w:t>5</w:t>
      </w:r>
      <w:r w:rsidRPr="0022750E">
        <w:rPr>
          <w:bCs/>
          <w:sz w:val="24"/>
          <w:szCs w:val="24"/>
        </w:rPr>
        <w:t xml:space="preserve"> год.</w:t>
      </w:r>
    </w:p>
    <w:p w:rsidR="00754A8C" w:rsidRPr="0022750E" w:rsidRDefault="00754A8C" w:rsidP="00754A8C">
      <w:pPr>
        <w:tabs>
          <w:tab w:val="left" w:pos="709"/>
          <w:tab w:val="left" w:pos="851"/>
          <w:tab w:val="left" w:pos="4020"/>
        </w:tabs>
        <w:ind w:firstLine="567"/>
        <w:jc w:val="both"/>
        <w:rPr>
          <w:sz w:val="24"/>
          <w:szCs w:val="24"/>
        </w:rPr>
      </w:pPr>
      <w:r w:rsidRPr="0022750E">
        <w:rPr>
          <w:sz w:val="24"/>
          <w:szCs w:val="24"/>
        </w:rPr>
        <w:t>При проведении расчета Департамент руководствовался:</w:t>
      </w:r>
    </w:p>
    <w:p w:rsidR="0022750E" w:rsidRPr="0022750E" w:rsidRDefault="0022750E" w:rsidP="0022750E">
      <w:pPr>
        <w:widowControl/>
        <w:ind w:firstLine="567"/>
        <w:jc w:val="both"/>
        <w:rPr>
          <w:sz w:val="24"/>
          <w:szCs w:val="24"/>
        </w:rPr>
      </w:pPr>
      <w:r w:rsidRPr="0022750E">
        <w:rPr>
          <w:sz w:val="24"/>
          <w:szCs w:val="24"/>
        </w:rPr>
        <w:t>- Федеральным законом от 26.03.2003 № 35-ФЗ «Об электроэнергетике»,</w:t>
      </w:r>
    </w:p>
    <w:p w:rsidR="0022750E" w:rsidRPr="0022750E" w:rsidRDefault="0022750E" w:rsidP="0022750E">
      <w:pPr>
        <w:widowControl/>
        <w:ind w:firstLine="567"/>
        <w:jc w:val="both"/>
        <w:rPr>
          <w:sz w:val="24"/>
          <w:szCs w:val="24"/>
        </w:rPr>
      </w:pPr>
      <w:r w:rsidRPr="0022750E">
        <w:rPr>
          <w:sz w:val="24"/>
          <w:szCs w:val="24"/>
        </w:rPr>
        <w:t>- постановлением Правительства Российской Федерации от 29.12.2011 № 1178 «О ценообразовании в области регулируемых цен (тарифов) в электроэнергетике»,</w:t>
      </w:r>
    </w:p>
    <w:p w:rsidR="0022750E" w:rsidRPr="0022750E" w:rsidRDefault="0022750E" w:rsidP="0022750E">
      <w:pPr>
        <w:widowControl/>
        <w:ind w:firstLine="567"/>
        <w:jc w:val="both"/>
        <w:rPr>
          <w:sz w:val="24"/>
          <w:szCs w:val="24"/>
        </w:rPr>
      </w:pPr>
      <w:r w:rsidRPr="0022750E">
        <w:rPr>
          <w:sz w:val="24"/>
          <w:szCs w:val="24"/>
        </w:rPr>
        <w:t>-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w:t>
      </w:r>
    </w:p>
    <w:p w:rsidR="0022750E" w:rsidRPr="0022750E" w:rsidRDefault="0022750E" w:rsidP="0022750E">
      <w:pPr>
        <w:widowControl/>
        <w:ind w:firstLine="567"/>
        <w:jc w:val="both"/>
        <w:rPr>
          <w:sz w:val="24"/>
          <w:szCs w:val="24"/>
        </w:rPr>
      </w:pPr>
      <w:r w:rsidRPr="0022750E">
        <w:rPr>
          <w:sz w:val="24"/>
          <w:szCs w:val="24"/>
        </w:rPr>
        <w:t>- постановлением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22750E" w:rsidRPr="0022750E" w:rsidRDefault="0022750E" w:rsidP="0022750E">
      <w:pPr>
        <w:widowControl/>
        <w:ind w:firstLine="567"/>
        <w:jc w:val="both"/>
        <w:rPr>
          <w:sz w:val="24"/>
          <w:szCs w:val="24"/>
        </w:rPr>
      </w:pPr>
      <w:r w:rsidRPr="0022750E">
        <w:rPr>
          <w:sz w:val="24"/>
          <w:szCs w:val="24"/>
        </w:rPr>
        <w:t>- Стандартами раскрытия информации субъектами оптового и розничных рынков электрической энергии (далее – Стандарты раскрытия информации), утвержденными постановлением Правительства РФ от 21.01.2004 № 24,</w:t>
      </w:r>
    </w:p>
    <w:p w:rsidR="0022750E" w:rsidRPr="0022750E" w:rsidRDefault="0022750E" w:rsidP="0022750E">
      <w:pPr>
        <w:widowControl/>
        <w:ind w:firstLine="567"/>
        <w:jc w:val="both"/>
        <w:rPr>
          <w:sz w:val="24"/>
          <w:szCs w:val="24"/>
        </w:rPr>
      </w:pPr>
      <w:r w:rsidRPr="0022750E">
        <w:rPr>
          <w:sz w:val="24"/>
          <w:szCs w:val="24"/>
        </w:rPr>
        <w:t>-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22750E" w:rsidRPr="0022750E" w:rsidRDefault="0022750E" w:rsidP="0022750E">
      <w:pPr>
        <w:widowControl/>
        <w:ind w:firstLine="567"/>
        <w:jc w:val="both"/>
        <w:rPr>
          <w:sz w:val="24"/>
          <w:szCs w:val="24"/>
        </w:rPr>
      </w:pPr>
      <w:r w:rsidRPr="0022750E">
        <w:rPr>
          <w:sz w:val="24"/>
          <w:szCs w:val="24"/>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22750E" w:rsidRPr="0022750E" w:rsidRDefault="0022750E" w:rsidP="0022750E">
      <w:pPr>
        <w:widowControl/>
        <w:ind w:firstLine="567"/>
        <w:jc w:val="both"/>
        <w:rPr>
          <w:sz w:val="24"/>
          <w:szCs w:val="24"/>
        </w:rPr>
      </w:pPr>
      <w:r w:rsidRPr="0022750E">
        <w:rPr>
          <w:sz w:val="24"/>
          <w:szCs w:val="24"/>
        </w:rPr>
        <w:t>- приказом ФАС России от 31.10.2024 № 816/24 «Об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2025 - 2029 годы и долгосрочных параметров регулирования деятельности публичного акционерного общества «Федеральная сетевая компания – Россети» с применением метода доходности инвестированного капитала на 2025 - 2029 годы»,</w:t>
      </w:r>
    </w:p>
    <w:p w:rsidR="0022750E" w:rsidRPr="0022750E" w:rsidRDefault="0022750E" w:rsidP="0022750E">
      <w:pPr>
        <w:widowControl/>
        <w:ind w:firstLine="567"/>
        <w:jc w:val="both"/>
        <w:rPr>
          <w:sz w:val="24"/>
          <w:szCs w:val="24"/>
        </w:rPr>
      </w:pPr>
      <w:r w:rsidRPr="0022750E">
        <w:rPr>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2025 год по Ивановской области, опубликованным Ассоциацией «НП Совет рынка» в сети Интернет,</w:t>
      </w:r>
    </w:p>
    <w:p w:rsidR="0022750E" w:rsidRPr="0022750E" w:rsidRDefault="0022750E" w:rsidP="0022750E">
      <w:pPr>
        <w:widowControl/>
        <w:ind w:firstLine="567"/>
        <w:jc w:val="both"/>
        <w:rPr>
          <w:sz w:val="24"/>
          <w:szCs w:val="24"/>
        </w:rPr>
      </w:pPr>
      <w:r w:rsidRPr="0022750E">
        <w:rPr>
          <w:sz w:val="24"/>
          <w:szCs w:val="24"/>
        </w:rPr>
        <w:t>- приказом ФАС России от 11.10.2024 № 718/24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w:t>
      </w:r>
    </w:p>
    <w:p w:rsidR="0022750E" w:rsidRPr="0022750E" w:rsidRDefault="0022750E" w:rsidP="0022750E">
      <w:pPr>
        <w:widowControl/>
        <w:ind w:firstLine="567"/>
        <w:jc w:val="both"/>
        <w:rPr>
          <w:sz w:val="24"/>
          <w:szCs w:val="24"/>
        </w:rPr>
      </w:pPr>
      <w:r w:rsidRPr="0022750E">
        <w:rPr>
          <w:sz w:val="24"/>
          <w:szCs w:val="24"/>
        </w:rPr>
        <w:t>- приказом ФАС России от 24.10.2024 № 766/24 «Об утверждении предельных минимальных 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оказываемые потребителям, не относящимся к населению и приравненным к нему категориям потребителей, по субъектам Российской Федерации на 2025 год»,</w:t>
      </w:r>
    </w:p>
    <w:p w:rsidR="0022750E" w:rsidRPr="0022750E" w:rsidRDefault="0022750E" w:rsidP="0022750E">
      <w:pPr>
        <w:widowControl/>
        <w:ind w:firstLine="567"/>
        <w:jc w:val="both"/>
        <w:rPr>
          <w:sz w:val="24"/>
          <w:szCs w:val="24"/>
        </w:rPr>
      </w:pPr>
      <w:r w:rsidRPr="0022750E">
        <w:rPr>
          <w:sz w:val="24"/>
          <w:szCs w:val="24"/>
        </w:rPr>
        <w:t xml:space="preserve">- приказом ФАС России от 24.10.2024 № 767/24 «Об утверждении предельных минимальных и максимальных уровней тарифов на услуги по передаче электрической энергии </w:t>
      </w:r>
      <w:r w:rsidRPr="0022750E">
        <w:rPr>
          <w:sz w:val="24"/>
          <w:szCs w:val="24"/>
        </w:rPr>
        <w:lastRenderedPageBreak/>
        <w:t>по сетям, принадлежащим на праве собственности или ином законном основании территориальным сетевым организациям, поставляемой населению и приравненным к нему категориям потребителей, по субъектам Российской Федерации на 2025 год»,</w:t>
      </w:r>
    </w:p>
    <w:p w:rsidR="0022750E" w:rsidRPr="0022750E" w:rsidRDefault="0022750E" w:rsidP="0022750E">
      <w:pPr>
        <w:widowControl/>
        <w:ind w:firstLine="567"/>
        <w:jc w:val="both"/>
        <w:rPr>
          <w:sz w:val="24"/>
          <w:szCs w:val="24"/>
        </w:rPr>
      </w:pPr>
      <w:r w:rsidRPr="0022750E">
        <w:rPr>
          <w:sz w:val="24"/>
          <w:szCs w:val="24"/>
        </w:rPr>
        <w:t>-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г. № 20-э/2,</w:t>
      </w:r>
    </w:p>
    <w:p w:rsidR="0022750E" w:rsidRPr="0022750E" w:rsidRDefault="0022750E" w:rsidP="0022750E">
      <w:pPr>
        <w:widowControl/>
        <w:ind w:firstLine="567"/>
        <w:jc w:val="both"/>
        <w:rPr>
          <w:sz w:val="24"/>
          <w:szCs w:val="24"/>
        </w:rPr>
      </w:pPr>
      <w:r w:rsidRPr="0022750E">
        <w:rPr>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w:t>
      </w:r>
    </w:p>
    <w:p w:rsidR="0022750E" w:rsidRPr="0022750E" w:rsidRDefault="0022750E" w:rsidP="0022750E">
      <w:pPr>
        <w:widowControl/>
        <w:ind w:firstLine="567"/>
        <w:jc w:val="both"/>
        <w:rPr>
          <w:sz w:val="24"/>
          <w:szCs w:val="24"/>
        </w:rPr>
      </w:pPr>
      <w:r w:rsidRPr="0022750E">
        <w:rPr>
          <w:sz w:val="24"/>
          <w:szCs w:val="24"/>
        </w:rPr>
        <w:t>-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приказом ФАС России от 27.05.2022 № 412/22,</w:t>
      </w:r>
    </w:p>
    <w:p w:rsidR="0022750E" w:rsidRPr="0022750E" w:rsidRDefault="0022750E" w:rsidP="0022750E">
      <w:pPr>
        <w:widowControl/>
        <w:ind w:firstLine="567"/>
        <w:jc w:val="both"/>
        <w:rPr>
          <w:sz w:val="24"/>
          <w:szCs w:val="24"/>
        </w:rPr>
      </w:pPr>
      <w:r w:rsidRPr="0022750E">
        <w:rPr>
          <w:sz w:val="24"/>
          <w:szCs w:val="24"/>
        </w:rPr>
        <w:t>- приказом ФАС России от 27.11.2024 № 785/23 «Об утверждении индикативных цен на электрическую энергию и на мощность для населения и приравненных к нему категорий потребителей на 2025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2025 год»,</w:t>
      </w:r>
    </w:p>
    <w:p w:rsidR="0022750E" w:rsidRPr="0022750E" w:rsidRDefault="0022750E" w:rsidP="0022750E">
      <w:pPr>
        <w:widowControl/>
        <w:ind w:firstLine="567"/>
        <w:jc w:val="both"/>
        <w:rPr>
          <w:sz w:val="24"/>
          <w:szCs w:val="24"/>
        </w:rPr>
      </w:pPr>
      <w:r w:rsidRPr="0022750E">
        <w:rPr>
          <w:sz w:val="24"/>
          <w:szCs w:val="24"/>
        </w:rPr>
        <w:t>- приказом Минэнерго России от 16.10.2024 № 1916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2025 год»,</w:t>
      </w:r>
    </w:p>
    <w:p w:rsidR="0022750E" w:rsidRPr="0022750E" w:rsidRDefault="0022750E" w:rsidP="0022750E">
      <w:pPr>
        <w:widowControl/>
        <w:ind w:firstLine="567"/>
        <w:jc w:val="both"/>
        <w:rPr>
          <w:sz w:val="24"/>
          <w:szCs w:val="24"/>
        </w:rPr>
      </w:pPr>
      <w:r w:rsidRPr="0022750E">
        <w:rPr>
          <w:sz w:val="24"/>
          <w:szCs w:val="24"/>
        </w:rPr>
        <w:t>- приказом ФАС России от 22.02.2022 № 141/22 «Об утверждении Методических указаний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w:t>
      </w:r>
    </w:p>
    <w:p w:rsidR="0022750E" w:rsidRPr="0022750E" w:rsidRDefault="0022750E" w:rsidP="0022750E">
      <w:pPr>
        <w:widowControl/>
        <w:ind w:firstLine="567"/>
        <w:jc w:val="both"/>
        <w:rPr>
          <w:sz w:val="24"/>
          <w:szCs w:val="24"/>
        </w:rPr>
      </w:pPr>
      <w:r w:rsidRPr="0022750E">
        <w:rPr>
          <w:sz w:val="24"/>
          <w:szCs w:val="24"/>
        </w:rPr>
        <w:t>- приказом ФСТ России от 11.09.2014 № 215-э/1 «Об утверждении Методических указаний по определению выпадающих доходов, связанных с осуществлением технологического присоединения к электрическим сетям»,</w:t>
      </w:r>
    </w:p>
    <w:p w:rsidR="0022750E" w:rsidRPr="0022750E" w:rsidRDefault="0022750E" w:rsidP="0022750E">
      <w:pPr>
        <w:widowControl/>
        <w:ind w:firstLine="567"/>
        <w:jc w:val="both"/>
        <w:rPr>
          <w:sz w:val="24"/>
          <w:szCs w:val="24"/>
        </w:rPr>
      </w:pPr>
      <w:r w:rsidRPr="0022750E">
        <w:rPr>
          <w:sz w:val="24"/>
          <w:szCs w:val="24"/>
        </w:rPr>
        <w:t>- приказом Министерства энергетики РФ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22750E" w:rsidRPr="0022750E" w:rsidRDefault="0022750E" w:rsidP="0022750E">
      <w:pPr>
        <w:widowControl/>
        <w:ind w:firstLine="567"/>
        <w:jc w:val="both"/>
        <w:rPr>
          <w:sz w:val="24"/>
          <w:szCs w:val="24"/>
        </w:rPr>
      </w:pPr>
      <w:r w:rsidRPr="0022750E">
        <w:rPr>
          <w:sz w:val="24"/>
          <w:szCs w:val="24"/>
        </w:rPr>
        <w:t>- постановлением Департамента энергетики и тарифов Ивановской области от 08.11.2024 № 41-э/1 «О тарифах на электрическую энергию для населения и приравненных к нему категорий потребителей по Ивановской области на 2025 год»,</w:t>
      </w:r>
    </w:p>
    <w:p w:rsidR="0022750E" w:rsidRPr="0022750E" w:rsidRDefault="0022750E" w:rsidP="0022750E">
      <w:pPr>
        <w:widowControl/>
        <w:ind w:firstLine="567"/>
        <w:jc w:val="both"/>
        <w:rPr>
          <w:sz w:val="24"/>
          <w:szCs w:val="24"/>
        </w:rPr>
      </w:pPr>
      <w:r w:rsidRPr="0022750E">
        <w:rPr>
          <w:sz w:val="24"/>
          <w:szCs w:val="24"/>
        </w:rPr>
        <w:t>- постановлением Департамента энергетики и тарифов Ивановской области от 06.12.2024 № 48-э/1 «О сбытовых надбавках для гарантирующих поставщиков электрической энергии на территории Ивановской области»,</w:t>
      </w:r>
    </w:p>
    <w:p w:rsidR="0022750E" w:rsidRPr="0022750E" w:rsidRDefault="0022750E" w:rsidP="0022750E">
      <w:pPr>
        <w:widowControl/>
        <w:ind w:firstLine="567"/>
        <w:jc w:val="both"/>
        <w:rPr>
          <w:sz w:val="24"/>
          <w:szCs w:val="24"/>
        </w:rPr>
      </w:pPr>
      <w:r w:rsidRPr="0022750E">
        <w:rPr>
          <w:sz w:val="24"/>
          <w:szCs w:val="24"/>
        </w:rPr>
        <w:t>- сводным прогнозным балансом производства и поставок электрической энергии (мощности) в рамках ЕЭС России по Ивановской области на 2025 год, утвержденным приказом ФАС России от 11 октября 2024 № 720/24-ДСП,</w:t>
      </w:r>
    </w:p>
    <w:p w:rsidR="0022750E" w:rsidRPr="0022750E" w:rsidRDefault="0022750E" w:rsidP="0022750E">
      <w:pPr>
        <w:widowControl/>
        <w:ind w:firstLine="567"/>
        <w:jc w:val="both"/>
        <w:rPr>
          <w:sz w:val="24"/>
          <w:szCs w:val="24"/>
        </w:rPr>
      </w:pPr>
      <w:r w:rsidRPr="0022750E">
        <w:rPr>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2025 год на период до 2026-2027 годов.</w:t>
      </w:r>
    </w:p>
    <w:p w:rsidR="0022750E" w:rsidRDefault="0022750E" w:rsidP="00754A8C">
      <w:pPr>
        <w:ind w:firstLine="567"/>
        <w:jc w:val="both"/>
        <w:rPr>
          <w:sz w:val="24"/>
          <w:szCs w:val="24"/>
        </w:rPr>
      </w:pPr>
    </w:p>
    <w:p w:rsidR="0022750E" w:rsidRPr="0022750E" w:rsidRDefault="0022750E" w:rsidP="0022750E">
      <w:pPr>
        <w:widowControl/>
        <w:ind w:firstLine="567"/>
        <w:jc w:val="both"/>
        <w:rPr>
          <w:sz w:val="24"/>
          <w:szCs w:val="24"/>
        </w:rPr>
      </w:pPr>
      <w:r w:rsidRPr="0022750E">
        <w:rPr>
          <w:sz w:val="24"/>
          <w:szCs w:val="24"/>
        </w:rPr>
        <w:t>Расчет единых (котловых) тарифов на услуги по передаче электрической энергии (далее – единые (котловые) тарифы) произведен на 2025 год с календарной разбивкой, исходя из суммарной величины необходимой валовой выручки 4-х территориальных сетевых организаций, оказывающих услуги по передаче электрической энергии.</w:t>
      </w:r>
    </w:p>
    <w:p w:rsidR="0022750E" w:rsidRPr="0022750E" w:rsidRDefault="0022750E" w:rsidP="0022750E">
      <w:pPr>
        <w:widowControl/>
        <w:jc w:val="center"/>
        <w:rPr>
          <w:sz w:val="24"/>
          <w:szCs w:val="24"/>
        </w:rPr>
      </w:pPr>
    </w:p>
    <w:tbl>
      <w:tblPr>
        <w:tblW w:w="1014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08"/>
        <w:gridCol w:w="9435"/>
      </w:tblGrid>
      <w:tr w:rsidR="0022750E" w:rsidRPr="0022750E" w:rsidTr="00356FFC">
        <w:trPr>
          <w:jc w:val="center"/>
        </w:trPr>
        <w:tc>
          <w:tcPr>
            <w:tcW w:w="708" w:type="dxa"/>
          </w:tcPr>
          <w:p w:rsidR="0022750E" w:rsidRPr="0022750E" w:rsidRDefault="0022750E" w:rsidP="0022750E">
            <w:pPr>
              <w:widowControl/>
              <w:rPr>
                <w:sz w:val="24"/>
                <w:szCs w:val="24"/>
              </w:rPr>
            </w:pPr>
            <w:r w:rsidRPr="0022750E">
              <w:rPr>
                <w:sz w:val="24"/>
                <w:szCs w:val="24"/>
              </w:rPr>
              <w:t>1</w:t>
            </w:r>
          </w:p>
        </w:tc>
        <w:tc>
          <w:tcPr>
            <w:tcW w:w="9435" w:type="dxa"/>
          </w:tcPr>
          <w:p w:rsidR="0022750E" w:rsidRPr="0022750E" w:rsidRDefault="0022750E" w:rsidP="0022750E">
            <w:pPr>
              <w:widowControl/>
              <w:rPr>
                <w:sz w:val="24"/>
                <w:szCs w:val="24"/>
              </w:rPr>
            </w:pPr>
            <w:r w:rsidRPr="0022750E">
              <w:rPr>
                <w:sz w:val="24"/>
                <w:szCs w:val="24"/>
              </w:rPr>
              <w:t>ПАО «Россети Центр и Приволжье» (филиал «Ивэнерго»)</w:t>
            </w:r>
          </w:p>
        </w:tc>
      </w:tr>
      <w:tr w:rsidR="0022750E" w:rsidRPr="0022750E" w:rsidTr="00356FFC">
        <w:trPr>
          <w:trHeight w:val="275"/>
          <w:jc w:val="center"/>
        </w:trPr>
        <w:tc>
          <w:tcPr>
            <w:tcW w:w="708" w:type="dxa"/>
          </w:tcPr>
          <w:p w:rsidR="0022750E" w:rsidRPr="0022750E" w:rsidRDefault="0022750E" w:rsidP="0022750E">
            <w:pPr>
              <w:widowControl/>
              <w:rPr>
                <w:sz w:val="24"/>
                <w:szCs w:val="24"/>
              </w:rPr>
            </w:pPr>
            <w:r w:rsidRPr="0022750E">
              <w:rPr>
                <w:sz w:val="24"/>
                <w:szCs w:val="24"/>
              </w:rPr>
              <w:lastRenderedPageBreak/>
              <w:t>2</w:t>
            </w:r>
          </w:p>
        </w:tc>
        <w:tc>
          <w:tcPr>
            <w:tcW w:w="9435" w:type="dxa"/>
          </w:tcPr>
          <w:p w:rsidR="0022750E" w:rsidRPr="0022750E" w:rsidRDefault="0022750E" w:rsidP="0022750E">
            <w:pPr>
              <w:widowControl/>
              <w:rPr>
                <w:sz w:val="24"/>
                <w:szCs w:val="24"/>
              </w:rPr>
            </w:pPr>
            <w:r w:rsidRPr="0022750E">
              <w:rPr>
                <w:sz w:val="24"/>
                <w:szCs w:val="24"/>
              </w:rPr>
              <w:t>АО «Объединенные электрические сети»</w:t>
            </w:r>
          </w:p>
        </w:tc>
      </w:tr>
      <w:tr w:rsidR="0022750E" w:rsidRPr="0022750E" w:rsidTr="00356FFC">
        <w:trPr>
          <w:jc w:val="center"/>
        </w:trPr>
        <w:tc>
          <w:tcPr>
            <w:tcW w:w="708" w:type="dxa"/>
          </w:tcPr>
          <w:p w:rsidR="0022750E" w:rsidRPr="0022750E" w:rsidRDefault="0022750E" w:rsidP="0022750E">
            <w:pPr>
              <w:widowControl/>
              <w:rPr>
                <w:sz w:val="24"/>
                <w:szCs w:val="24"/>
              </w:rPr>
            </w:pPr>
            <w:r w:rsidRPr="0022750E">
              <w:rPr>
                <w:sz w:val="24"/>
                <w:szCs w:val="24"/>
              </w:rPr>
              <w:t>3</w:t>
            </w:r>
          </w:p>
        </w:tc>
        <w:tc>
          <w:tcPr>
            <w:tcW w:w="9435" w:type="dxa"/>
          </w:tcPr>
          <w:p w:rsidR="0022750E" w:rsidRPr="0022750E" w:rsidRDefault="0022750E" w:rsidP="0022750E">
            <w:pPr>
              <w:widowControl/>
              <w:rPr>
                <w:sz w:val="24"/>
                <w:szCs w:val="24"/>
              </w:rPr>
            </w:pPr>
            <w:r w:rsidRPr="0022750E">
              <w:rPr>
                <w:sz w:val="24"/>
                <w:szCs w:val="24"/>
              </w:rPr>
              <w:t>ООО «ИВЭЛС»</w:t>
            </w:r>
          </w:p>
        </w:tc>
      </w:tr>
      <w:tr w:rsidR="0022750E" w:rsidRPr="0022750E" w:rsidTr="00356FFC">
        <w:trPr>
          <w:jc w:val="center"/>
        </w:trPr>
        <w:tc>
          <w:tcPr>
            <w:tcW w:w="708" w:type="dxa"/>
          </w:tcPr>
          <w:p w:rsidR="0022750E" w:rsidRPr="0022750E" w:rsidRDefault="0022750E" w:rsidP="0022750E">
            <w:pPr>
              <w:widowControl/>
              <w:rPr>
                <w:sz w:val="24"/>
                <w:szCs w:val="24"/>
              </w:rPr>
            </w:pPr>
            <w:r w:rsidRPr="0022750E">
              <w:rPr>
                <w:sz w:val="24"/>
                <w:szCs w:val="24"/>
              </w:rPr>
              <w:t>4</w:t>
            </w:r>
          </w:p>
        </w:tc>
        <w:tc>
          <w:tcPr>
            <w:tcW w:w="9435" w:type="dxa"/>
          </w:tcPr>
          <w:p w:rsidR="0022750E" w:rsidRPr="0022750E" w:rsidRDefault="0022750E" w:rsidP="0022750E">
            <w:pPr>
              <w:widowControl/>
              <w:rPr>
                <w:sz w:val="24"/>
                <w:szCs w:val="24"/>
              </w:rPr>
            </w:pPr>
            <w:r w:rsidRPr="0022750E">
              <w:rPr>
                <w:sz w:val="24"/>
                <w:szCs w:val="24"/>
              </w:rPr>
              <w:t>АО «Оборонэнерго» (филиал «Волго-Вятский»)</w:t>
            </w:r>
          </w:p>
        </w:tc>
      </w:tr>
    </w:tbl>
    <w:p w:rsidR="0022750E" w:rsidRPr="0022750E" w:rsidRDefault="0022750E" w:rsidP="0022750E">
      <w:pPr>
        <w:widowControl/>
        <w:ind w:firstLine="720"/>
        <w:jc w:val="both"/>
        <w:rPr>
          <w:sz w:val="24"/>
          <w:szCs w:val="24"/>
          <w:u w:val="single"/>
        </w:rPr>
      </w:pPr>
    </w:p>
    <w:p w:rsidR="0022750E" w:rsidRPr="0022750E" w:rsidRDefault="0022750E" w:rsidP="0022750E">
      <w:pPr>
        <w:widowControl/>
        <w:ind w:firstLine="720"/>
        <w:jc w:val="both"/>
        <w:rPr>
          <w:sz w:val="24"/>
          <w:szCs w:val="24"/>
          <w:u w:val="single"/>
        </w:rPr>
      </w:pPr>
      <w:r w:rsidRPr="0022750E">
        <w:rPr>
          <w:sz w:val="24"/>
          <w:szCs w:val="24"/>
          <w:u w:val="single"/>
          <w:lang w:val="en-US"/>
        </w:rPr>
        <w:t>I</w:t>
      </w:r>
      <w:r w:rsidRPr="0022750E">
        <w:rPr>
          <w:sz w:val="24"/>
          <w:szCs w:val="24"/>
          <w:u w:val="single"/>
        </w:rPr>
        <w:t>. На период с 01.01.2025г. по 30.06.2025г.:</w:t>
      </w:r>
    </w:p>
    <w:p w:rsidR="0022750E" w:rsidRPr="0022750E" w:rsidRDefault="0022750E" w:rsidP="0022750E">
      <w:pPr>
        <w:widowControl/>
        <w:tabs>
          <w:tab w:val="left" w:pos="4020"/>
        </w:tabs>
        <w:ind w:firstLine="540"/>
        <w:jc w:val="both"/>
        <w:rPr>
          <w:sz w:val="24"/>
          <w:szCs w:val="24"/>
        </w:rPr>
      </w:pPr>
      <w:r w:rsidRPr="0022750E">
        <w:rPr>
          <w:sz w:val="24"/>
          <w:szCs w:val="24"/>
        </w:rPr>
        <w:t xml:space="preserve">Суммарная величина необходимой валовой выручки сетевых организаций составляет </w:t>
      </w:r>
      <w:r w:rsidR="0031336F">
        <w:rPr>
          <w:sz w:val="24"/>
          <w:szCs w:val="24"/>
        </w:rPr>
        <w:t xml:space="preserve">       </w:t>
      </w:r>
      <w:r w:rsidRPr="0022750E">
        <w:rPr>
          <w:b/>
          <w:sz w:val="24"/>
          <w:szCs w:val="24"/>
        </w:rPr>
        <w:t xml:space="preserve">4 149 876,42 </w:t>
      </w:r>
      <w:r w:rsidRPr="0022750E">
        <w:rPr>
          <w:sz w:val="24"/>
          <w:szCs w:val="24"/>
        </w:rPr>
        <w:t>тыс. руб., в том числе:</w:t>
      </w:r>
    </w:p>
    <w:p w:rsidR="0022750E" w:rsidRPr="0022750E" w:rsidRDefault="0022750E" w:rsidP="0022750E">
      <w:pPr>
        <w:widowControl/>
        <w:ind w:firstLine="540"/>
        <w:jc w:val="both"/>
        <w:rPr>
          <w:sz w:val="24"/>
          <w:szCs w:val="24"/>
        </w:rPr>
      </w:pPr>
      <w:r w:rsidRPr="0022750E">
        <w:rPr>
          <w:sz w:val="24"/>
          <w:szCs w:val="24"/>
        </w:rPr>
        <w:t xml:space="preserve">1. Расходы на содержание сетей – </w:t>
      </w:r>
      <w:r w:rsidRPr="0022750E">
        <w:rPr>
          <w:b/>
          <w:sz w:val="24"/>
          <w:szCs w:val="24"/>
        </w:rPr>
        <w:t>3 406 920,32</w:t>
      </w:r>
      <w:r w:rsidRPr="0022750E">
        <w:rPr>
          <w:sz w:val="24"/>
          <w:szCs w:val="24"/>
        </w:rPr>
        <w:t xml:space="preserve"> тыс.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«Россети».</w:t>
      </w:r>
    </w:p>
    <w:p w:rsidR="0022750E" w:rsidRPr="0022750E" w:rsidRDefault="0022750E" w:rsidP="0022750E">
      <w:pPr>
        <w:widowControl/>
        <w:ind w:firstLine="708"/>
        <w:jc w:val="both"/>
        <w:rPr>
          <w:sz w:val="24"/>
          <w:szCs w:val="24"/>
        </w:rPr>
      </w:pPr>
      <w:r w:rsidRPr="0022750E">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22750E" w:rsidRPr="0022750E" w:rsidRDefault="0022750E" w:rsidP="0022750E">
      <w:pPr>
        <w:widowControl/>
        <w:ind w:firstLine="720"/>
        <w:jc w:val="both"/>
        <w:rPr>
          <w:sz w:val="24"/>
          <w:szCs w:val="24"/>
        </w:rPr>
      </w:pPr>
      <w:r w:rsidRPr="0022750E">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22750E">
        <w:rPr>
          <w:b/>
          <w:sz w:val="24"/>
          <w:szCs w:val="24"/>
        </w:rPr>
        <w:t xml:space="preserve">742 956,09 </w:t>
      </w:r>
      <w:r w:rsidRPr="0022750E">
        <w:rPr>
          <w:sz w:val="24"/>
          <w:szCs w:val="24"/>
        </w:rPr>
        <w:t>тыс. руб.</w:t>
      </w:r>
    </w:p>
    <w:p w:rsidR="0022750E" w:rsidRPr="0022750E" w:rsidRDefault="0022750E" w:rsidP="0022750E">
      <w:pPr>
        <w:widowControl/>
        <w:ind w:firstLine="720"/>
        <w:jc w:val="both"/>
        <w:rPr>
          <w:sz w:val="24"/>
          <w:szCs w:val="24"/>
        </w:rPr>
      </w:pPr>
      <w:r w:rsidRPr="0022750E">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22750E">
        <w:rPr>
          <w:i/>
          <w:sz w:val="24"/>
          <w:szCs w:val="24"/>
        </w:rPr>
        <w:t xml:space="preserve">178,1355 </w:t>
      </w:r>
      <w:r w:rsidRPr="0022750E">
        <w:rPr>
          <w:sz w:val="24"/>
          <w:szCs w:val="24"/>
        </w:rPr>
        <w:t>млн. кВтч и прогнозных тарифов на электроэнергию на 2025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33"/>
        <w:gridCol w:w="3265"/>
      </w:tblGrid>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 п/п</w:t>
            </w:r>
          </w:p>
        </w:tc>
        <w:tc>
          <w:tcPr>
            <w:tcW w:w="6333" w:type="dxa"/>
            <w:vAlign w:val="center"/>
          </w:tcPr>
          <w:p w:rsidR="0022750E" w:rsidRPr="0022750E" w:rsidRDefault="0022750E" w:rsidP="0022750E">
            <w:pPr>
              <w:widowControl/>
              <w:tabs>
                <w:tab w:val="left" w:pos="4020"/>
              </w:tabs>
              <w:jc w:val="center"/>
              <w:rPr>
                <w:sz w:val="24"/>
                <w:szCs w:val="24"/>
              </w:rPr>
            </w:pPr>
            <w:r w:rsidRPr="0022750E">
              <w:rPr>
                <w:sz w:val="24"/>
                <w:szCs w:val="24"/>
              </w:rPr>
              <w:t>Наименование показателя</w:t>
            </w:r>
          </w:p>
        </w:tc>
        <w:tc>
          <w:tcPr>
            <w:tcW w:w="3265" w:type="dxa"/>
            <w:vAlign w:val="center"/>
          </w:tcPr>
          <w:p w:rsidR="0022750E" w:rsidRPr="0022750E" w:rsidRDefault="0022750E" w:rsidP="0022750E">
            <w:pPr>
              <w:widowControl/>
              <w:tabs>
                <w:tab w:val="left" w:pos="4020"/>
              </w:tabs>
              <w:jc w:val="center"/>
              <w:rPr>
                <w:sz w:val="24"/>
                <w:szCs w:val="24"/>
              </w:rPr>
            </w:pPr>
            <w:r w:rsidRPr="0022750E">
              <w:rPr>
                <w:sz w:val="24"/>
                <w:szCs w:val="24"/>
              </w:rPr>
              <w:t>Сумма, тыс. руб.</w:t>
            </w:r>
          </w:p>
        </w:tc>
      </w:tr>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1</w:t>
            </w:r>
          </w:p>
        </w:tc>
        <w:tc>
          <w:tcPr>
            <w:tcW w:w="6333" w:type="dxa"/>
          </w:tcPr>
          <w:p w:rsidR="0022750E" w:rsidRPr="0022750E" w:rsidRDefault="0022750E" w:rsidP="0022750E">
            <w:pPr>
              <w:widowControl/>
              <w:tabs>
                <w:tab w:val="left" w:pos="4020"/>
              </w:tabs>
              <w:jc w:val="both"/>
              <w:rPr>
                <w:sz w:val="24"/>
                <w:szCs w:val="24"/>
              </w:rPr>
            </w:pPr>
            <w:r w:rsidRPr="0022750E">
              <w:rPr>
                <w:sz w:val="24"/>
                <w:szCs w:val="24"/>
              </w:rPr>
              <w:t>Суммарная НВВ сетевых организаций на содержание электрических сетей с учетом стоимости услуг ПАО «Россети»</w:t>
            </w:r>
          </w:p>
        </w:tc>
        <w:tc>
          <w:tcPr>
            <w:tcW w:w="3265" w:type="dxa"/>
            <w:vAlign w:val="center"/>
          </w:tcPr>
          <w:p w:rsidR="0022750E" w:rsidRPr="0022750E" w:rsidRDefault="0022750E" w:rsidP="0022750E">
            <w:pPr>
              <w:widowControl/>
              <w:jc w:val="right"/>
              <w:rPr>
                <w:sz w:val="24"/>
                <w:szCs w:val="24"/>
              </w:rPr>
            </w:pPr>
            <w:r w:rsidRPr="0022750E">
              <w:rPr>
                <w:sz w:val="24"/>
                <w:szCs w:val="24"/>
              </w:rPr>
              <w:t>3 406 920,32</w:t>
            </w:r>
          </w:p>
        </w:tc>
      </w:tr>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2</w:t>
            </w:r>
          </w:p>
        </w:tc>
        <w:tc>
          <w:tcPr>
            <w:tcW w:w="6333" w:type="dxa"/>
          </w:tcPr>
          <w:p w:rsidR="0022750E" w:rsidRPr="0022750E" w:rsidRDefault="0022750E" w:rsidP="0022750E">
            <w:pPr>
              <w:widowControl/>
              <w:tabs>
                <w:tab w:val="left" w:pos="4020"/>
              </w:tabs>
              <w:jc w:val="both"/>
              <w:rPr>
                <w:sz w:val="24"/>
                <w:szCs w:val="24"/>
              </w:rPr>
            </w:pPr>
            <w:r w:rsidRPr="0022750E">
              <w:rPr>
                <w:sz w:val="24"/>
                <w:szCs w:val="24"/>
              </w:rPr>
              <w:t>Расходы сетевых организаций на покупку электроэнергии для компенсации потерь в электрических сетях</w:t>
            </w:r>
          </w:p>
        </w:tc>
        <w:tc>
          <w:tcPr>
            <w:tcW w:w="3265" w:type="dxa"/>
            <w:vAlign w:val="center"/>
          </w:tcPr>
          <w:p w:rsidR="0022750E" w:rsidRPr="0022750E" w:rsidRDefault="0022750E" w:rsidP="0022750E">
            <w:pPr>
              <w:widowControl/>
              <w:jc w:val="right"/>
              <w:rPr>
                <w:sz w:val="24"/>
                <w:szCs w:val="24"/>
              </w:rPr>
            </w:pPr>
            <w:r w:rsidRPr="0022750E">
              <w:rPr>
                <w:sz w:val="24"/>
                <w:szCs w:val="24"/>
              </w:rPr>
              <w:t>742 956,09</w:t>
            </w:r>
          </w:p>
        </w:tc>
      </w:tr>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3</w:t>
            </w:r>
          </w:p>
        </w:tc>
        <w:tc>
          <w:tcPr>
            <w:tcW w:w="6333" w:type="dxa"/>
          </w:tcPr>
          <w:p w:rsidR="0022750E" w:rsidRPr="0022750E" w:rsidRDefault="0022750E" w:rsidP="0022750E">
            <w:pPr>
              <w:widowControl/>
              <w:tabs>
                <w:tab w:val="left" w:pos="4020"/>
              </w:tabs>
              <w:jc w:val="both"/>
              <w:rPr>
                <w:sz w:val="24"/>
                <w:szCs w:val="24"/>
              </w:rPr>
            </w:pPr>
            <w:r w:rsidRPr="0022750E">
              <w:rPr>
                <w:sz w:val="24"/>
                <w:szCs w:val="24"/>
              </w:rPr>
              <w:t>Итого НВВ, включаемая в расчет единых (котловых) тарифов на услуги по передаче электрической энергии на период с 01.01.2025 по 30.06.2025</w:t>
            </w:r>
          </w:p>
        </w:tc>
        <w:tc>
          <w:tcPr>
            <w:tcW w:w="3265" w:type="dxa"/>
            <w:vAlign w:val="center"/>
          </w:tcPr>
          <w:p w:rsidR="0022750E" w:rsidRPr="0022750E" w:rsidRDefault="0022750E" w:rsidP="0022750E">
            <w:pPr>
              <w:widowControl/>
              <w:jc w:val="right"/>
              <w:rPr>
                <w:sz w:val="24"/>
                <w:szCs w:val="24"/>
              </w:rPr>
            </w:pPr>
            <w:r w:rsidRPr="0022750E">
              <w:rPr>
                <w:sz w:val="24"/>
                <w:szCs w:val="24"/>
              </w:rPr>
              <w:t>4 149 876,42</w:t>
            </w:r>
          </w:p>
        </w:tc>
      </w:tr>
    </w:tbl>
    <w:p w:rsidR="00564665" w:rsidRDefault="00564665" w:rsidP="0022750E">
      <w:pPr>
        <w:widowControl/>
        <w:ind w:firstLine="708"/>
        <w:jc w:val="both"/>
        <w:rPr>
          <w:sz w:val="24"/>
          <w:szCs w:val="24"/>
        </w:rPr>
      </w:pPr>
    </w:p>
    <w:p w:rsidR="0022750E" w:rsidRPr="0022750E" w:rsidRDefault="0022750E" w:rsidP="0022750E">
      <w:pPr>
        <w:widowControl/>
        <w:ind w:firstLine="708"/>
        <w:jc w:val="both"/>
        <w:rPr>
          <w:sz w:val="24"/>
          <w:szCs w:val="24"/>
        </w:rPr>
      </w:pPr>
      <w:r w:rsidRPr="0022750E">
        <w:rPr>
          <w:sz w:val="24"/>
          <w:szCs w:val="24"/>
        </w:rPr>
        <w:t>Согласно расчетам, произведенным исходя из необходимой валовой выручки сетевых организаций, распределенной в соответствии с объемом условных единиц оборудования по каждой территориальной сетевой организации, экономически обоснованные размеры единых (котловых) тарифов на услуги по передаче электрической энергии, дифференцированных по уровням напряжения, на период с 01.01.2025г. по 30.06.2025г. составляют:</w:t>
      </w:r>
    </w:p>
    <w:p w:rsidR="0022750E" w:rsidRPr="0022750E" w:rsidRDefault="0022750E" w:rsidP="0022750E">
      <w:pPr>
        <w:widowControl/>
        <w:ind w:firstLine="708"/>
        <w:jc w:val="both"/>
        <w:rPr>
          <w:sz w:val="24"/>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417"/>
        <w:gridCol w:w="1418"/>
        <w:gridCol w:w="1275"/>
        <w:gridCol w:w="1418"/>
        <w:gridCol w:w="1417"/>
      </w:tblGrid>
      <w:tr w:rsidR="0022750E" w:rsidRPr="0022750E" w:rsidTr="00B94876">
        <w:tc>
          <w:tcPr>
            <w:tcW w:w="3119" w:type="dxa"/>
            <w:shd w:val="clear" w:color="auto" w:fill="auto"/>
            <w:vAlign w:val="center"/>
          </w:tcPr>
          <w:p w:rsidR="0022750E" w:rsidRPr="0022750E" w:rsidRDefault="0022750E" w:rsidP="0022750E">
            <w:pPr>
              <w:widowControl/>
              <w:jc w:val="center"/>
              <w:rPr>
                <w:sz w:val="24"/>
                <w:szCs w:val="24"/>
              </w:rPr>
            </w:pPr>
            <w:r w:rsidRPr="0022750E">
              <w:rPr>
                <w:sz w:val="24"/>
                <w:szCs w:val="24"/>
              </w:rPr>
              <w:t>Наименование показателя</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Ед. изм.</w:t>
            </w:r>
          </w:p>
        </w:tc>
        <w:tc>
          <w:tcPr>
            <w:tcW w:w="1418"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ВН</w:t>
            </w:r>
          </w:p>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p>
        </w:tc>
        <w:tc>
          <w:tcPr>
            <w:tcW w:w="1275"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СН-1</w:t>
            </w:r>
          </w:p>
        </w:tc>
        <w:tc>
          <w:tcPr>
            <w:tcW w:w="1418"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СН-2</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НН</w:t>
            </w:r>
          </w:p>
        </w:tc>
      </w:tr>
      <w:tr w:rsidR="0022750E" w:rsidRPr="0022750E" w:rsidTr="00B94876">
        <w:tc>
          <w:tcPr>
            <w:tcW w:w="3119" w:type="dxa"/>
            <w:shd w:val="clear" w:color="auto" w:fill="auto"/>
          </w:tcPr>
          <w:p w:rsidR="0022750E" w:rsidRPr="0022750E" w:rsidRDefault="0022750E" w:rsidP="0022750E">
            <w:pPr>
              <w:widowControl/>
              <w:rPr>
                <w:sz w:val="24"/>
                <w:szCs w:val="24"/>
              </w:rPr>
            </w:pPr>
            <w:r w:rsidRPr="0022750E">
              <w:rPr>
                <w:sz w:val="24"/>
                <w:szCs w:val="24"/>
              </w:rPr>
              <w:t xml:space="preserve">Ставка на оплату содержания электрических сетей </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руб./МВт в месяц</w:t>
            </w:r>
          </w:p>
        </w:tc>
        <w:tc>
          <w:tcPr>
            <w:tcW w:w="1418" w:type="dxa"/>
            <w:shd w:val="clear" w:color="auto" w:fill="auto"/>
            <w:vAlign w:val="center"/>
          </w:tcPr>
          <w:p w:rsidR="0022750E" w:rsidRPr="0022750E" w:rsidRDefault="0022750E" w:rsidP="0022750E">
            <w:pPr>
              <w:widowControl/>
              <w:jc w:val="right"/>
            </w:pPr>
            <w:r w:rsidRPr="0022750E">
              <w:t>454 990,71</w:t>
            </w:r>
          </w:p>
        </w:tc>
        <w:tc>
          <w:tcPr>
            <w:tcW w:w="1275" w:type="dxa"/>
            <w:shd w:val="clear" w:color="auto" w:fill="auto"/>
            <w:vAlign w:val="center"/>
          </w:tcPr>
          <w:p w:rsidR="0022750E" w:rsidRPr="0022750E" w:rsidRDefault="0022750E" w:rsidP="0022750E">
            <w:pPr>
              <w:widowControl/>
              <w:jc w:val="right"/>
            </w:pPr>
            <w:r w:rsidRPr="0022750E">
              <w:t>785 512,57</w:t>
            </w:r>
          </w:p>
        </w:tc>
        <w:tc>
          <w:tcPr>
            <w:tcW w:w="1418" w:type="dxa"/>
            <w:shd w:val="clear" w:color="auto" w:fill="auto"/>
            <w:vAlign w:val="center"/>
          </w:tcPr>
          <w:p w:rsidR="0022750E" w:rsidRPr="0022750E" w:rsidRDefault="0022750E" w:rsidP="0022750E">
            <w:pPr>
              <w:widowControl/>
              <w:jc w:val="right"/>
            </w:pPr>
            <w:r w:rsidRPr="0022750E">
              <w:t>1 088 949,11</w:t>
            </w:r>
          </w:p>
        </w:tc>
        <w:tc>
          <w:tcPr>
            <w:tcW w:w="1417" w:type="dxa"/>
            <w:shd w:val="clear" w:color="auto" w:fill="auto"/>
            <w:vAlign w:val="center"/>
          </w:tcPr>
          <w:p w:rsidR="0022750E" w:rsidRPr="0022750E" w:rsidRDefault="0022750E" w:rsidP="0022750E">
            <w:pPr>
              <w:widowControl/>
              <w:jc w:val="right"/>
            </w:pPr>
            <w:r w:rsidRPr="0022750E">
              <w:t>1 503 517,33</w:t>
            </w:r>
          </w:p>
        </w:tc>
      </w:tr>
      <w:tr w:rsidR="0022750E" w:rsidRPr="0022750E" w:rsidTr="00B94876">
        <w:tc>
          <w:tcPr>
            <w:tcW w:w="3119" w:type="dxa"/>
            <w:shd w:val="clear" w:color="auto" w:fill="auto"/>
          </w:tcPr>
          <w:p w:rsidR="0022750E" w:rsidRPr="0022750E" w:rsidRDefault="0022750E" w:rsidP="0022750E">
            <w:pPr>
              <w:widowControl/>
              <w:rPr>
                <w:sz w:val="24"/>
                <w:szCs w:val="24"/>
              </w:rPr>
            </w:pPr>
            <w:r w:rsidRPr="0022750E">
              <w:rPr>
                <w:sz w:val="24"/>
                <w:szCs w:val="24"/>
              </w:rPr>
              <w:t>Ставка на оплату технологического расхода (потерь) электроэнергии в процессе ее передачи</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руб./тыс. кВтч</w:t>
            </w:r>
          </w:p>
        </w:tc>
        <w:tc>
          <w:tcPr>
            <w:tcW w:w="1418" w:type="dxa"/>
            <w:shd w:val="clear" w:color="auto" w:fill="auto"/>
            <w:vAlign w:val="center"/>
          </w:tcPr>
          <w:p w:rsidR="0022750E" w:rsidRPr="0022750E" w:rsidRDefault="0022750E" w:rsidP="0022750E">
            <w:pPr>
              <w:widowControl/>
              <w:jc w:val="right"/>
            </w:pPr>
            <w:r w:rsidRPr="0022750E">
              <w:t>132,72</w:t>
            </w:r>
          </w:p>
        </w:tc>
        <w:tc>
          <w:tcPr>
            <w:tcW w:w="1275" w:type="dxa"/>
            <w:shd w:val="clear" w:color="auto" w:fill="auto"/>
            <w:vAlign w:val="center"/>
          </w:tcPr>
          <w:p w:rsidR="0022750E" w:rsidRPr="0022750E" w:rsidRDefault="0022750E" w:rsidP="0022750E">
            <w:pPr>
              <w:widowControl/>
              <w:jc w:val="right"/>
            </w:pPr>
            <w:r w:rsidRPr="0022750E">
              <w:t>182,67</w:t>
            </w:r>
          </w:p>
        </w:tc>
        <w:tc>
          <w:tcPr>
            <w:tcW w:w="1418" w:type="dxa"/>
            <w:shd w:val="clear" w:color="auto" w:fill="auto"/>
            <w:vAlign w:val="center"/>
          </w:tcPr>
          <w:p w:rsidR="0022750E" w:rsidRPr="0022750E" w:rsidRDefault="0022750E" w:rsidP="0022750E">
            <w:pPr>
              <w:widowControl/>
              <w:jc w:val="right"/>
            </w:pPr>
            <w:r w:rsidRPr="0022750E">
              <w:t>323,33</w:t>
            </w:r>
          </w:p>
        </w:tc>
        <w:tc>
          <w:tcPr>
            <w:tcW w:w="1417" w:type="dxa"/>
            <w:shd w:val="clear" w:color="auto" w:fill="auto"/>
            <w:vAlign w:val="center"/>
          </w:tcPr>
          <w:p w:rsidR="0022750E" w:rsidRPr="0022750E" w:rsidRDefault="0022750E" w:rsidP="0022750E">
            <w:pPr>
              <w:widowControl/>
              <w:jc w:val="right"/>
            </w:pPr>
            <w:r w:rsidRPr="0022750E">
              <w:t>869,15</w:t>
            </w:r>
          </w:p>
        </w:tc>
      </w:tr>
      <w:tr w:rsidR="0022750E" w:rsidRPr="0022750E" w:rsidTr="00B94876">
        <w:tc>
          <w:tcPr>
            <w:tcW w:w="3119" w:type="dxa"/>
            <w:shd w:val="clear" w:color="auto" w:fill="auto"/>
          </w:tcPr>
          <w:p w:rsidR="0022750E" w:rsidRPr="0022750E" w:rsidRDefault="0022750E" w:rsidP="0022750E">
            <w:pPr>
              <w:widowControl/>
              <w:rPr>
                <w:sz w:val="24"/>
                <w:szCs w:val="24"/>
              </w:rPr>
            </w:pPr>
            <w:r w:rsidRPr="0022750E">
              <w:rPr>
                <w:sz w:val="24"/>
                <w:szCs w:val="24"/>
              </w:rPr>
              <w:t>Одноставочный тариф</w:t>
            </w:r>
          </w:p>
        </w:tc>
        <w:tc>
          <w:tcPr>
            <w:tcW w:w="1417" w:type="dxa"/>
            <w:shd w:val="clear" w:color="auto" w:fill="auto"/>
          </w:tcPr>
          <w:p w:rsidR="0022750E" w:rsidRPr="0022750E" w:rsidRDefault="0022750E" w:rsidP="0022750E">
            <w:pPr>
              <w:widowControl/>
              <w:jc w:val="center"/>
              <w:rPr>
                <w:sz w:val="24"/>
                <w:szCs w:val="24"/>
              </w:rPr>
            </w:pPr>
            <w:r w:rsidRPr="0022750E">
              <w:rPr>
                <w:sz w:val="24"/>
                <w:szCs w:val="24"/>
              </w:rPr>
              <w:t>руб./кВт·ч</w:t>
            </w:r>
          </w:p>
        </w:tc>
        <w:tc>
          <w:tcPr>
            <w:tcW w:w="1418" w:type="dxa"/>
            <w:shd w:val="clear" w:color="auto" w:fill="auto"/>
            <w:vAlign w:val="center"/>
          </w:tcPr>
          <w:p w:rsidR="0022750E" w:rsidRPr="0022750E" w:rsidRDefault="0022750E" w:rsidP="0022750E">
            <w:pPr>
              <w:widowControl/>
              <w:jc w:val="right"/>
            </w:pPr>
            <w:r w:rsidRPr="0022750E">
              <w:t>0,98061</w:t>
            </w:r>
          </w:p>
        </w:tc>
        <w:tc>
          <w:tcPr>
            <w:tcW w:w="1275" w:type="dxa"/>
            <w:shd w:val="clear" w:color="auto" w:fill="auto"/>
            <w:vAlign w:val="center"/>
          </w:tcPr>
          <w:p w:rsidR="0022750E" w:rsidRPr="0022750E" w:rsidRDefault="0022750E" w:rsidP="0022750E">
            <w:pPr>
              <w:widowControl/>
              <w:jc w:val="right"/>
            </w:pPr>
            <w:r w:rsidRPr="0022750E">
              <w:t>1,63861</w:t>
            </w:r>
          </w:p>
        </w:tc>
        <w:tc>
          <w:tcPr>
            <w:tcW w:w="1418" w:type="dxa"/>
            <w:shd w:val="clear" w:color="auto" w:fill="auto"/>
            <w:vAlign w:val="center"/>
          </w:tcPr>
          <w:p w:rsidR="0022750E" w:rsidRPr="0022750E" w:rsidRDefault="0022750E" w:rsidP="0022750E">
            <w:pPr>
              <w:widowControl/>
              <w:jc w:val="right"/>
            </w:pPr>
            <w:r w:rsidRPr="0022750E">
              <w:t>2,68352</w:t>
            </w:r>
          </w:p>
        </w:tc>
        <w:tc>
          <w:tcPr>
            <w:tcW w:w="1417" w:type="dxa"/>
            <w:shd w:val="clear" w:color="auto" w:fill="auto"/>
            <w:vAlign w:val="center"/>
          </w:tcPr>
          <w:p w:rsidR="0022750E" w:rsidRPr="0022750E" w:rsidRDefault="0022750E" w:rsidP="0022750E">
            <w:pPr>
              <w:widowControl/>
              <w:jc w:val="right"/>
            </w:pPr>
            <w:r w:rsidRPr="0022750E">
              <w:t>4,22566</w:t>
            </w:r>
          </w:p>
        </w:tc>
      </w:tr>
    </w:tbl>
    <w:p w:rsidR="00564665" w:rsidRDefault="00564665" w:rsidP="0022750E">
      <w:pPr>
        <w:widowControl/>
        <w:ind w:firstLine="708"/>
        <w:jc w:val="both"/>
        <w:rPr>
          <w:sz w:val="24"/>
          <w:szCs w:val="24"/>
        </w:rPr>
      </w:pPr>
    </w:p>
    <w:p w:rsidR="0022750E" w:rsidRPr="0022750E" w:rsidRDefault="0022750E" w:rsidP="0022750E">
      <w:pPr>
        <w:widowControl/>
        <w:ind w:firstLine="708"/>
        <w:jc w:val="both"/>
        <w:rPr>
          <w:sz w:val="24"/>
          <w:szCs w:val="24"/>
        </w:rPr>
      </w:pPr>
      <w:r w:rsidRPr="0022750E">
        <w:rPr>
          <w:sz w:val="24"/>
          <w:szCs w:val="24"/>
        </w:rPr>
        <w:t xml:space="preserve">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w:t>
      </w:r>
      <w:r w:rsidRPr="0022750E">
        <w:rPr>
          <w:sz w:val="24"/>
          <w:szCs w:val="24"/>
        </w:rPr>
        <w:lastRenderedPageBreak/>
        <w:t>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 осуществляют.</w:t>
      </w:r>
    </w:p>
    <w:p w:rsidR="0022750E" w:rsidRPr="0022750E" w:rsidRDefault="0022750E" w:rsidP="0022750E">
      <w:pPr>
        <w:widowControl/>
        <w:ind w:firstLine="720"/>
        <w:jc w:val="both"/>
        <w:rPr>
          <w:sz w:val="24"/>
          <w:szCs w:val="24"/>
        </w:rPr>
      </w:pPr>
      <w:r w:rsidRPr="0022750E">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940 555,51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22750E" w:rsidRPr="0022750E" w:rsidRDefault="0022750E" w:rsidP="0022750E">
      <w:pPr>
        <w:widowControl/>
        <w:ind w:firstLine="720"/>
        <w:jc w:val="both"/>
        <w:rPr>
          <w:sz w:val="24"/>
          <w:szCs w:val="24"/>
          <w:u w:val="single"/>
        </w:rPr>
      </w:pPr>
    </w:p>
    <w:p w:rsidR="0022750E" w:rsidRPr="0022750E" w:rsidRDefault="0022750E" w:rsidP="0022750E">
      <w:pPr>
        <w:widowControl/>
        <w:ind w:firstLine="720"/>
        <w:jc w:val="both"/>
        <w:rPr>
          <w:sz w:val="24"/>
          <w:szCs w:val="24"/>
          <w:u w:val="single"/>
        </w:rPr>
      </w:pPr>
      <w:r w:rsidRPr="0022750E">
        <w:rPr>
          <w:sz w:val="24"/>
          <w:szCs w:val="24"/>
          <w:u w:val="single"/>
          <w:lang w:val="en-US"/>
        </w:rPr>
        <w:t>II</w:t>
      </w:r>
      <w:r w:rsidRPr="0022750E">
        <w:rPr>
          <w:sz w:val="24"/>
          <w:szCs w:val="24"/>
          <w:u w:val="single"/>
        </w:rPr>
        <w:t>. На период с 01.07.2025г. по 31.12.2025г.:</w:t>
      </w:r>
    </w:p>
    <w:p w:rsidR="0022750E" w:rsidRPr="0022750E" w:rsidRDefault="0022750E" w:rsidP="0022750E">
      <w:pPr>
        <w:widowControl/>
        <w:ind w:firstLine="720"/>
        <w:jc w:val="both"/>
        <w:rPr>
          <w:sz w:val="24"/>
          <w:szCs w:val="24"/>
        </w:rPr>
      </w:pPr>
      <w:r w:rsidRPr="0022750E">
        <w:rPr>
          <w:sz w:val="24"/>
          <w:szCs w:val="24"/>
        </w:rPr>
        <w:t xml:space="preserve">Суммарная величина необходимой валовой выручки сетевых организаций составляет </w:t>
      </w:r>
      <w:r w:rsidR="0031336F">
        <w:rPr>
          <w:sz w:val="24"/>
          <w:szCs w:val="24"/>
        </w:rPr>
        <w:t xml:space="preserve">      </w:t>
      </w:r>
      <w:r w:rsidRPr="0022750E">
        <w:rPr>
          <w:b/>
          <w:sz w:val="24"/>
          <w:szCs w:val="24"/>
        </w:rPr>
        <w:t xml:space="preserve">4 596 805,30 </w:t>
      </w:r>
      <w:r w:rsidRPr="0022750E">
        <w:rPr>
          <w:sz w:val="24"/>
          <w:szCs w:val="24"/>
        </w:rPr>
        <w:t>тыс. руб., в том числе:</w:t>
      </w:r>
    </w:p>
    <w:p w:rsidR="0022750E" w:rsidRPr="0022750E" w:rsidRDefault="0022750E" w:rsidP="0022750E">
      <w:pPr>
        <w:widowControl/>
        <w:ind w:firstLine="720"/>
        <w:jc w:val="both"/>
        <w:rPr>
          <w:sz w:val="24"/>
          <w:szCs w:val="24"/>
        </w:rPr>
      </w:pPr>
      <w:r w:rsidRPr="0022750E">
        <w:rPr>
          <w:sz w:val="24"/>
          <w:szCs w:val="24"/>
        </w:rPr>
        <w:t xml:space="preserve">1. Расходы на содержание сетей – </w:t>
      </w:r>
      <w:r w:rsidRPr="0022750E">
        <w:rPr>
          <w:b/>
          <w:sz w:val="24"/>
          <w:szCs w:val="24"/>
        </w:rPr>
        <w:t xml:space="preserve">3 818 416,80 </w:t>
      </w:r>
      <w:r w:rsidRPr="0022750E">
        <w:rPr>
          <w:sz w:val="24"/>
          <w:szCs w:val="24"/>
        </w:rPr>
        <w:t>тыс. руб., включающие в себя собственные расходы организаций на содержание электрических сетей и расходы по оплате услуг за передачу электрической энергии по единой национальной (общероссийской) электрической сети (ЕНЭС), оказываемых ПАО «Россети».</w:t>
      </w:r>
    </w:p>
    <w:p w:rsidR="0022750E" w:rsidRPr="0022750E" w:rsidRDefault="0022750E" w:rsidP="0022750E">
      <w:pPr>
        <w:widowControl/>
        <w:ind w:firstLine="720"/>
        <w:jc w:val="both"/>
        <w:rPr>
          <w:sz w:val="24"/>
          <w:szCs w:val="24"/>
        </w:rPr>
      </w:pPr>
      <w:r w:rsidRPr="0022750E">
        <w:rPr>
          <w:sz w:val="24"/>
          <w:szCs w:val="24"/>
        </w:rPr>
        <w:t>Экономическое обоснование собственных расходов сетевых организаций отражено в экспертных заключениях по каждой сетевой организации.</w:t>
      </w:r>
    </w:p>
    <w:p w:rsidR="0022750E" w:rsidRPr="0022750E" w:rsidRDefault="0022750E" w:rsidP="0022750E">
      <w:pPr>
        <w:widowControl/>
        <w:spacing w:before="120" w:after="120"/>
        <w:ind w:firstLine="709"/>
        <w:jc w:val="both"/>
        <w:rPr>
          <w:sz w:val="24"/>
          <w:szCs w:val="24"/>
        </w:rPr>
      </w:pPr>
      <w:r w:rsidRPr="0022750E">
        <w:rPr>
          <w:sz w:val="24"/>
          <w:szCs w:val="24"/>
        </w:rPr>
        <w:t xml:space="preserve">2. Расходы на электроэнергию, приобретаемую сетевыми организациями для компенсации потерь электроэнергии в сетях, в сумме </w:t>
      </w:r>
      <w:r w:rsidRPr="0022750E">
        <w:rPr>
          <w:b/>
          <w:sz w:val="24"/>
          <w:szCs w:val="24"/>
        </w:rPr>
        <w:t xml:space="preserve">778 388,49 </w:t>
      </w:r>
      <w:r w:rsidRPr="0022750E">
        <w:rPr>
          <w:sz w:val="24"/>
          <w:szCs w:val="24"/>
        </w:rPr>
        <w:t>тыс. руб.</w:t>
      </w:r>
    </w:p>
    <w:p w:rsidR="0022750E" w:rsidRPr="0022750E" w:rsidRDefault="0022750E" w:rsidP="0022750E">
      <w:pPr>
        <w:widowControl/>
        <w:ind w:firstLine="720"/>
        <w:jc w:val="both"/>
        <w:rPr>
          <w:sz w:val="24"/>
          <w:szCs w:val="24"/>
        </w:rPr>
      </w:pPr>
      <w:r w:rsidRPr="0022750E">
        <w:rPr>
          <w:sz w:val="24"/>
          <w:szCs w:val="24"/>
        </w:rPr>
        <w:t xml:space="preserve">Расходы на электроэнергию для компенсации потерь определены исходя из объема потерь электроэнергии в сетях вышеуказанных сетевых организаций в сумме </w:t>
      </w:r>
      <w:r w:rsidRPr="0022750E">
        <w:rPr>
          <w:i/>
          <w:sz w:val="24"/>
          <w:szCs w:val="24"/>
        </w:rPr>
        <w:t xml:space="preserve">182,5165 </w:t>
      </w:r>
      <w:r w:rsidRPr="0022750E">
        <w:rPr>
          <w:sz w:val="24"/>
          <w:szCs w:val="24"/>
        </w:rPr>
        <w:t>млн. кВтч и прогнозных тарифов на электроэнергию на 2025 год, определенных исходя из прогнозной стоимости электрической энергии, приобретаемой на эти цели сетевыми организациями у гарантирующих поставщиков электроэнергии.</w:t>
      </w:r>
    </w:p>
    <w:p w:rsidR="0022750E" w:rsidRDefault="0022750E" w:rsidP="0022750E">
      <w:pPr>
        <w:widowControl/>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327"/>
        <w:gridCol w:w="3269"/>
      </w:tblGrid>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 п/п</w:t>
            </w:r>
          </w:p>
        </w:tc>
        <w:tc>
          <w:tcPr>
            <w:tcW w:w="6327" w:type="dxa"/>
            <w:vAlign w:val="center"/>
          </w:tcPr>
          <w:p w:rsidR="0022750E" w:rsidRPr="0022750E" w:rsidRDefault="0022750E" w:rsidP="0022750E">
            <w:pPr>
              <w:widowControl/>
              <w:tabs>
                <w:tab w:val="left" w:pos="4020"/>
              </w:tabs>
              <w:jc w:val="center"/>
              <w:rPr>
                <w:sz w:val="24"/>
                <w:szCs w:val="24"/>
              </w:rPr>
            </w:pPr>
            <w:r w:rsidRPr="0022750E">
              <w:rPr>
                <w:sz w:val="24"/>
                <w:szCs w:val="24"/>
              </w:rPr>
              <w:t>Наименование показателя</w:t>
            </w:r>
          </w:p>
        </w:tc>
        <w:tc>
          <w:tcPr>
            <w:tcW w:w="3269" w:type="dxa"/>
            <w:vAlign w:val="center"/>
          </w:tcPr>
          <w:p w:rsidR="0022750E" w:rsidRPr="0022750E" w:rsidRDefault="0022750E" w:rsidP="0022750E">
            <w:pPr>
              <w:widowControl/>
              <w:tabs>
                <w:tab w:val="left" w:pos="4020"/>
              </w:tabs>
              <w:jc w:val="center"/>
              <w:rPr>
                <w:sz w:val="24"/>
                <w:szCs w:val="24"/>
              </w:rPr>
            </w:pPr>
            <w:r w:rsidRPr="0022750E">
              <w:rPr>
                <w:sz w:val="24"/>
                <w:szCs w:val="24"/>
              </w:rPr>
              <w:t>Сумма, тыс. руб.</w:t>
            </w:r>
          </w:p>
        </w:tc>
      </w:tr>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1</w:t>
            </w:r>
          </w:p>
        </w:tc>
        <w:tc>
          <w:tcPr>
            <w:tcW w:w="6327" w:type="dxa"/>
          </w:tcPr>
          <w:p w:rsidR="0022750E" w:rsidRPr="0022750E" w:rsidRDefault="0022750E" w:rsidP="0022750E">
            <w:pPr>
              <w:widowControl/>
              <w:tabs>
                <w:tab w:val="left" w:pos="4020"/>
              </w:tabs>
              <w:jc w:val="both"/>
              <w:rPr>
                <w:sz w:val="24"/>
                <w:szCs w:val="24"/>
              </w:rPr>
            </w:pPr>
            <w:r w:rsidRPr="0022750E">
              <w:rPr>
                <w:sz w:val="24"/>
                <w:szCs w:val="24"/>
              </w:rPr>
              <w:t>Суммарная НВВ сетевых организаций на содержание электрических сетей с учетом стоимости услуг ПАО «Россети»</w:t>
            </w:r>
          </w:p>
        </w:tc>
        <w:tc>
          <w:tcPr>
            <w:tcW w:w="3269" w:type="dxa"/>
            <w:vAlign w:val="center"/>
          </w:tcPr>
          <w:p w:rsidR="0022750E" w:rsidRPr="0022750E" w:rsidRDefault="0022750E" w:rsidP="0022750E">
            <w:pPr>
              <w:widowControl/>
              <w:tabs>
                <w:tab w:val="left" w:pos="4020"/>
              </w:tabs>
              <w:jc w:val="right"/>
              <w:rPr>
                <w:sz w:val="24"/>
                <w:szCs w:val="24"/>
              </w:rPr>
            </w:pPr>
            <w:r w:rsidRPr="0022750E">
              <w:rPr>
                <w:sz w:val="24"/>
                <w:szCs w:val="24"/>
              </w:rPr>
              <w:t>3 818 416,80</w:t>
            </w:r>
          </w:p>
        </w:tc>
      </w:tr>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2</w:t>
            </w:r>
          </w:p>
        </w:tc>
        <w:tc>
          <w:tcPr>
            <w:tcW w:w="6327" w:type="dxa"/>
          </w:tcPr>
          <w:p w:rsidR="0022750E" w:rsidRPr="0022750E" w:rsidRDefault="0022750E" w:rsidP="0022750E">
            <w:pPr>
              <w:widowControl/>
              <w:tabs>
                <w:tab w:val="left" w:pos="4020"/>
              </w:tabs>
              <w:jc w:val="both"/>
              <w:rPr>
                <w:sz w:val="24"/>
                <w:szCs w:val="24"/>
              </w:rPr>
            </w:pPr>
            <w:r w:rsidRPr="0022750E">
              <w:rPr>
                <w:sz w:val="24"/>
                <w:szCs w:val="24"/>
              </w:rPr>
              <w:t>Расходы сетевых организаций на покупку электроэнергии для компенсации потерь в электрических сетях</w:t>
            </w:r>
          </w:p>
        </w:tc>
        <w:tc>
          <w:tcPr>
            <w:tcW w:w="3269" w:type="dxa"/>
            <w:vAlign w:val="center"/>
          </w:tcPr>
          <w:p w:rsidR="0022750E" w:rsidRPr="0022750E" w:rsidRDefault="0022750E" w:rsidP="0022750E">
            <w:pPr>
              <w:widowControl/>
              <w:tabs>
                <w:tab w:val="left" w:pos="4020"/>
              </w:tabs>
              <w:jc w:val="right"/>
              <w:rPr>
                <w:sz w:val="24"/>
                <w:szCs w:val="24"/>
              </w:rPr>
            </w:pPr>
            <w:r w:rsidRPr="0022750E">
              <w:rPr>
                <w:sz w:val="24"/>
                <w:szCs w:val="24"/>
              </w:rPr>
              <w:t>778 388,49</w:t>
            </w:r>
          </w:p>
        </w:tc>
      </w:tr>
      <w:tr w:rsidR="0022750E" w:rsidRPr="0022750E" w:rsidTr="00356FFC">
        <w:tc>
          <w:tcPr>
            <w:tcW w:w="540" w:type="dxa"/>
            <w:vAlign w:val="center"/>
          </w:tcPr>
          <w:p w:rsidR="0022750E" w:rsidRPr="0022750E" w:rsidRDefault="0022750E" w:rsidP="0022750E">
            <w:pPr>
              <w:widowControl/>
              <w:tabs>
                <w:tab w:val="left" w:pos="4020"/>
              </w:tabs>
              <w:jc w:val="center"/>
              <w:rPr>
                <w:sz w:val="24"/>
                <w:szCs w:val="24"/>
              </w:rPr>
            </w:pPr>
            <w:r w:rsidRPr="0022750E">
              <w:rPr>
                <w:sz w:val="24"/>
                <w:szCs w:val="24"/>
              </w:rPr>
              <w:t>3</w:t>
            </w:r>
          </w:p>
        </w:tc>
        <w:tc>
          <w:tcPr>
            <w:tcW w:w="6327" w:type="dxa"/>
          </w:tcPr>
          <w:p w:rsidR="0022750E" w:rsidRPr="0022750E" w:rsidRDefault="0022750E" w:rsidP="0022750E">
            <w:pPr>
              <w:widowControl/>
              <w:tabs>
                <w:tab w:val="left" w:pos="4020"/>
              </w:tabs>
              <w:jc w:val="both"/>
              <w:rPr>
                <w:sz w:val="24"/>
                <w:szCs w:val="24"/>
              </w:rPr>
            </w:pPr>
            <w:r w:rsidRPr="0022750E">
              <w:rPr>
                <w:sz w:val="24"/>
                <w:szCs w:val="24"/>
              </w:rPr>
              <w:t>Итого НВВ, включаемая в расчет единых (котловых) тарифов на услуги по передаче электрической энергии на период с 01.07.2025 по 31.12.2025</w:t>
            </w:r>
          </w:p>
        </w:tc>
        <w:tc>
          <w:tcPr>
            <w:tcW w:w="3269" w:type="dxa"/>
            <w:vAlign w:val="center"/>
          </w:tcPr>
          <w:p w:rsidR="0022750E" w:rsidRPr="0022750E" w:rsidRDefault="0022750E" w:rsidP="0022750E">
            <w:pPr>
              <w:widowControl/>
              <w:tabs>
                <w:tab w:val="left" w:pos="4020"/>
              </w:tabs>
              <w:jc w:val="right"/>
              <w:rPr>
                <w:sz w:val="24"/>
                <w:szCs w:val="24"/>
              </w:rPr>
            </w:pPr>
            <w:r w:rsidRPr="0022750E">
              <w:rPr>
                <w:sz w:val="24"/>
                <w:szCs w:val="24"/>
              </w:rPr>
              <w:t>4 596 805,30</w:t>
            </w:r>
          </w:p>
        </w:tc>
      </w:tr>
    </w:tbl>
    <w:p w:rsidR="0022750E" w:rsidRPr="0022750E" w:rsidRDefault="0022750E" w:rsidP="0022750E">
      <w:pPr>
        <w:widowControl/>
        <w:ind w:firstLine="708"/>
        <w:jc w:val="both"/>
        <w:rPr>
          <w:sz w:val="24"/>
          <w:szCs w:val="24"/>
        </w:rPr>
      </w:pPr>
    </w:p>
    <w:p w:rsidR="0022750E" w:rsidRPr="0022750E" w:rsidRDefault="0022750E" w:rsidP="0022750E">
      <w:pPr>
        <w:widowControl/>
        <w:ind w:firstLine="708"/>
        <w:jc w:val="both"/>
        <w:rPr>
          <w:sz w:val="24"/>
          <w:szCs w:val="24"/>
        </w:rPr>
      </w:pPr>
      <w:r w:rsidRPr="0022750E">
        <w:rPr>
          <w:sz w:val="24"/>
          <w:szCs w:val="24"/>
        </w:rPr>
        <w:t>Согласно расчетам, произведенным исходя из необходимой валовой выручки сетевых организаций, распределенной в соответствии с объемом условных единиц оборудования по каждой территориальной сетевой организации, экономически обоснованные размеры единых (котловых) тарифов на услуги по передаче электрической энергии, дифференцированных по уровням напряжения, на период с 01.07.2025г. по 31.12.2025г. составляют:</w:t>
      </w:r>
    </w:p>
    <w:p w:rsidR="0022750E" w:rsidRPr="0022750E" w:rsidRDefault="0022750E" w:rsidP="0022750E">
      <w:pPr>
        <w:widowControl/>
        <w:ind w:firstLine="708"/>
        <w:jc w:val="both"/>
        <w:rPr>
          <w:sz w:val="24"/>
          <w:szCs w:val="24"/>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7"/>
        <w:gridCol w:w="1418"/>
        <w:gridCol w:w="1417"/>
        <w:gridCol w:w="1418"/>
        <w:gridCol w:w="1417"/>
      </w:tblGrid>
      <w:tr w:rsidR="0022750E" w:rsidRPr="0022750E" w:rsidTr="00B94876">
        <w:tc>
          <w:tcPr>
            <w:tcW w:w="2977" w:type="dxa"/>
            <w:shd w:val="clear" w:color="auto" w:fill="auto"/>
            <w:vAlign w:val="center"/>
          </w:tcPr>
          <w:p w:rsidR="0022750E" w:rsidRPr="0022750E" w:rsidRDefault="0022750E" w:rsidP="0022750E">
            <w:pPr>
              <w:widowControl/>
              <w:jc w:val="center"/>
              <w:rPr>
                <w:sz w:val="24"/>
                <w:szCs w:val="24"/>
              </w:rPr>
            </w:pPr>
            <w:r w:rsidRPr="0022750E">
              <w:rPr>
                <w:sz w:val="24"/>
                <w:szCs w:val="24"/>
              </w:rPr>
              <w:t>Наименование показателя</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Ед. изм.</w:t>
            </w:r>
          </w:p>
        </w:tc>
        <w:tc>
          <w:tcPr>
            <w:tcW w:w="1418"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ВН</w:t>
            </w:r>
          </w:p>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СН-1</w:t>
            </w:r>
          </w:p>
        </w:tc>
        <w:tc>
          <w:tcPr>
            <w:tcW w:w="1418"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СН-2</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НН</w:t>
            </w:r>
          </w:p>
        </w:tc>
      </w:tr>
      <w:tr w:rsidR="0022750E" w:rsidRPr="0022750E" w:rsidTr="00B94876">
        <w:tc>
          <w:tcPr>
            <w:tcW w:w="2977" w:type="dxa"/>
            <w:shd w:val="clear" w:color="auto" w:fill="auto"/>
          </w:tcPr>
          <w:p w:rsidR="0022750E" w:rsidRPr="0022750E" w:rsidRDefault="0022750E" w:rsidP="0022750E">
            <w:pPr>
              <w:widowControl/>
              <w:rPr>
                <w:sz w:val="24"/>
                <w:szCs w:val="24"/>
              </w:rPr>
            </w:pPr>
            <w:r w:rsidRPr="0022750E">
              <w:rPr>
                <w:sz w:val="24"/>
                <w:szCs w:val="24"/>
              </w:rPr>
              <w:t xml:space="preserve">Ставка на оплату содержания электрических сетей </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руб./МВт в месяц</w:t>
            </w:r>
          </w:p>
        </w:tc>
        <w:tc>
          <w:tcPr>
            <w:tcW w:w="1418" w:type="dxa"/>
            <w:shd w:val="clear" w:color="auto" w:fill="auto"/>
            <w:vAlign w:val="center"/>
          </w:tcPr>
          <w:p w:rsidR="0022750E" w:rsidRPr="0022750E" w:rsidRDefault="0022750E" w:rsidP="0022750E">
            <w:pPr>
              <w:widowControl/>
              <w:jc w:val="right"/>
            </w:pPr>
            <w:r w:rsidRPr="0022750E">
              <w:t>550 200,97</w:t>
            </w:r>
          </w:p>
        </w:tc>
        <w:tc>
          <w:tcPr>
            <w:tcW w:w="1417" w:type="dxa"/>
            <w:shd w:val="clear" w:color="auto" w:fill="auto"/>
            <w:vAlign w:val="center"/>
          </w:tcPr>
          <w:p w:rsidR="0022750E" w:rsidRPr="0022750E" w:rsidRDefault="0022750E" w:rsidP="0022750E">
            <w:pPr>
              <w:widowControl/>
              <w:jc w:val="right"/>
            </w:pPr>
            <w:r w:rsidRPr="0022750E">
              <w:t>993 224,27</w:t>
            </w:r>
          </w:p>
        </w:tc>
        <w:tc>
          <w:tcPr>
            <w:tcW w:w="1418" w:type="dxa"/>
            <w:shd w:val="clear" w:color="auto" w:fill="auto"/>
            <w:vAlign w:val="center"/>
          </w:tcPr>
          <w:p w:rsidR="0022750E" w:rsidRPr="0022750E" w:rsidRDefault="0022750E" w:rsidP="0022750E">
            <w:pPr>
              <w:widowControl/>
              <w:jc w:val="right"/>
            </w:pPr>
            <w:r w:rsidRPr="0022750E">
              <w:t>1 302 777,84</w:t>
            </w:r>
          </w:p>
        </w:tc>
        <w:tc>
          <w:tcPr>
            <w:tcW w:w="1417" w:type="dxa"/>
            <w:shd w:val="clear" w:color="auto" w:fill="auto"/>
            <w:vAlign w:val="center"/>
          </w:tcPr>
          <w:p w:rsidR="0022750E" w:rsidRPr="0022750E" w:rsidRDefault="0022750E" w:rsidP="0022750E">
            <w:pPr>
              <w:widowControl/>
              <w:jc w:val="right"/>
            </w:pPr>
            <w:r w:rsidRPr="0022750E">
              <w:t>1 745 681,35</w:t>
            </w:r>
          </w:p>
        </w:tc>
      </w:tr>
      <w:tr w:rsidR="0022750E" w:rsidRPr="0022750E" w:rsidTr="00B94876">
        <w:tc>
          <w:tcPr>
            <w:tcW w:w="2977" w:type="dxa"/>
            <w:shd w:val="clear" w:color="auto" w:fill="auto"/>
          </w:tcPr>
          <w:p w:rsidR="0022750E" w:rsidRPr="0022750E" w:rsidRDefault="0022750E" w:rsidP="0022750E">
            <w:pPr>
              <w:widowControl/>
              <w:rPr>
                <w:sz w:val="24"/>
                <w:szCs w:val="24"/>
              </w:rPr>
            </w:pPr>
            <w:r w:rsidRPr="0022750E">
              <w:rPr>
                <w:sz w:val="24"/>
                <w:szCs w:val="24"/>
              </w:rPr>
              <w:t xml:space="preserve">Ставка на оплату технологического расхода (потерь) электроэнергии в </w:t>
            </w:r>
            <w:r w:rsidRPr="0022750E">
              <w:rPr>
                <w:sz w:val="24"/>
                <w:szCs w:val="24"/>
              </w:rPr>
              <w:lastRenderedPageBreak/>
              <w:t>процессе ее передачи</w:t>
            </w:r>
          </w:p>
        </w:tc>
        <w:tc>
          <w:tcPr>
            <w:tcW w:w="1417" w:type="dxa"/>
            <w:shd w:val="clear" w:color="auto" w:fill="auto"/>
          </w:tcPr>
          <w:p w:rsidR="0022750E" w:rsidRPr="0022750E" w:rsidRDefault="0022750E" w:rsidP="0022750E">
            <w:pPr>
              <w:widowControl/>
              <w:jc w:val="center"/>
              <w:rPr>
                <w:sz w:val="24"/>
                <w:szCs w:val="24"/>
              </w:rPr>
            </w:pPr>
          </w:p>
          <w:p w:rsidR="0022750E" w:rsidRPr="0022750E" w:rsidRDefault="0022750E" w:rsidP="0022750E">
            <w:pPr>
              <w:widowControl/>
              <w:jc w:val="center"/>
              <w:rPr>
                <w:sz w:val="24"/>
                <w:szCs w:val="24"/>
              </w:rPr>
            </w:pPr>
            <w:r w:rsidRPr="0022750E">
              <w:rPr>
                <w:sz w:val="24"/>
                <w:szCs w:val="24"/>
              </w:rPr>
              <w:t>руб./тыс. кВтч</w:t>
            </w:r>
          </w:p>
        </w:tc>
        <w:tc>
          <w:tcPr>
            <w:tcW w:w="1418" w:type="dxa"/>
            <w:shd w:val="clear" w:color="auto" w:fill="auto"/>
            <w:vAlign w:val="center"/>
          </w:tcPr>
          <w:p w:rsidR="0022750E" w:rsidRPr="0022750E" w:rsidRDefault="0022750E" w:rsidP="0022750E">
            <w:pPr>
              <w:widowControl/>
              <w:jc w:val="right"/>
            </w:pPr>
            <w:r w:rsidRPr="0022750E">
              <w:t>147,97</w:t>
            </w:r>
          </w:p>
        </w:tc>
        <w:tc>
          <w:tcPr>
            <w:tcW w:w="1417" w:type="dxa"/>
            <w:shd w:val="clear" w:color="auto" w:fill="auto"/>
            <w:vAlign w:val="center"/>
          </w:tcPr>
          <w:p w:rsidR="0022750E" w:rsidRPr="0022750E" w:rsidRDefault="0022750E" w:rsidP="0022750E">
            <w:pPr>
              <w:widowControl/>
              <w:jc w:val="right"/>
            </w:pPr>
            <w:r w:rsidRPr="0022750E">
              <w:t>203,66</w:t>
            </w:r>
          </w:p>
        </w:tc>
        <w:tc>
          <w:tcPr>
            <w:tcW w:w="1418" w:type="dxa"/>
            <w:shd w:val="clear" w:color="auto" w:fill="auto"/>
            <w:vAlign w:val="center"/>
          </w:tcPr>
          <w:p w:rsidR="0022750E" w:rsidRPr="0022750E" w:rsidRDefault="0022750E" w:rsidP="0022750E">
            <w:pPr>
              <w:widowControl/>
              <w:jc w:val="right"/>
            </w:pPr>
            <w:r w:rsidRPr="0022750E">
              <w:t>360,48</w:t>
            </w:r>
          </w:p>
        </w:tc>
        <w:tc>
          <w:tcPr>
            <w:tcW w:w="1417" w:type="dxa"/>
            <w:shd w:val="clear" w:color="auto" w:fill="auto"/>
            <w:vAlign w:val="center"/>
          </w:tcPr>
          <w:p w:rsidR="0022750E" w:rsidRPr="0022750E" w:rsidRDefault="0022750E" w:rsidP="0022750E">
            <w:pPr>
              <w:widowControl/>
              <w:jc w:val="right"/>
            </w:pPr>
            <w:r w:rsidRPr="0022750E">
              <w:t>969,00</w:t>
            </w:r>
          </w:p>
        </w:tc>
      </w:tr>
      <w:tr w:rsidR="0022750E" w:rsidRPr="0022750E" w:rsidTr="00B94876">
        <w:tc>
          <w:tcPr>
            <w:tcW w:w="2977" w:type="dxa"/>
            <w:shd w:val="clear" w:color="auto" w:fill="auto"/>
          </w:tcPr>
          <w:p w:rsidR="0022750E" w:rsidRPr="0022750E" w:rsidRDefault="0022750E" w:rsidP="0022750E">
            <w:pPr>
              <w:widowControl/>
              <w:rPr>
                <w:sz w:val="24"/>
                <w:szCs w:val="24"/>
              </w:rPr>
            </w:pPr>
            <w:r w:rsidRPr="0022750E">
              <w:rPr>
                <w:sz w:val="24"/>
                <w:szCs w:val="24"/>
              </w:rPr>
              <w:lastRenderedPageBreak/>
              <w:t>Одноставочный тариф</w:t>
            </w:r>
          </w:p>
        </w:tc>
        <w:tc>
          <w:tcPr>
            <w:tcW w:w="1417" w:type="dxa"/>
            <w:shd w:val="clear" w:color="auto" w:fill="auto"/>
          </w:tcPr>
          <w:p w:rsidR="0022750E" w:rsidRPr="0022750E" w:rsidRDefault="0022750E" w:rsidP="0022750E">
            <w:pPr>
              <w:widowControl/>
              <w:rPr>
                <w:sz w:val="24"/>
                <w:szCs w:val="24"/>
              </w:rPr>
            </w:pPr>
            <w:r w:rsidRPr="0022750E">
              <w:rPr>
                <w:sz w:val="24"/>
                <w:szCs w:val="24"/>
              </w:rPr>
              <w:t>руб./кВт*ч</w:t>
            </w:r>
          </w:p>
        </w:tc>
        <w:tc>
          <w:tcPr>
            <w:tcW w:w="1418" w:type="dxa"/>
            <w:shd w:val="clear" w:color="auto" w:fill="auto"/>
            <w:vAlign w:val="center"/>
          </w:tcPr>
          <w:p w:rsidR="0022750E" w:rsidRPr="0022750E" w:rsidRDefault="0022750E" w:rsidP="0022750E">
            <w:pPr>
              <w:widowControl/>
              <w:jc w:val="right"/>
            </w:pPr>
            <w:r w:rsidRPr="0022750E">
              <w:t>1,16754</w:t>
            </w:r>
          </w:p>
        </w:tc>
        <w:tc>
          <w:tcPr>
            <w:tcW w:w="1417" w:type="dxa"/>
            <w:shd w:val="clear" w:color="auto" w:fill="auto"/>
            <w:vAlign w:val="center"/>
          </w:tcPr>
          <w:p w:rsidR="0022750E" w:rsidRPr="0022750E" w:rsidRDefault="0022750E" w:rsidP="0022750E">
            <w:pPr>
              <w:widowControl/>
              <w:jc w:val="right"/>
            </w:pPr>
            <w:r w:rsidRPr="0022750E">
              <w:t>2,04456</w:t>
            </w:r>
          </w:p>
        </w:tc>
        <w:tc>
          <w:tcPr>
            <w:tcW w:w="1418" w:type="dxa"/>
            <w:shd w:val="clear" w:color="auto" w:fill="auto"/>
            <w:vAlign w:val="center"/>
          </w:tcPr>
          <w:p w:rsidR="0022750E" w:rsidRPr="0022750E" w:rsidRDefault="0022750E" w:rsidP="0022750E">
            <w:pPr>
              <w:widowControl/>
              <w:jc w:val="right"/>
            </w:pPr>
            <w:r w:rsidRPr="0022750E">
              <w:t>3,19895</w:t>
            </w:r>
          </w:p>
        </w:tc>
        <w:tc>
          <w:tcPr>
            <w:tcW w:w="1417" w:type="dxa"/>
            <w:shd w:val="clear" w:color="auto" w:fill="auto"/>
            <w:vAlign w:val="center"/>
          </w:tcPr>
          <w:p w:rsidR="0022750E" w:rsidRPr="0022750E" w:rsidRDefault="0022750E" w:rsidP="0022750E">
            <w:pPr>
              <w:widowControl/>
              <w:jc w:val="right"/>
            </w:pPr>
            <w:r w:rsidRPr="0022750E">
              <w:t>4,87453</w:t>
            </w:r>
          </w:p>
        </w:tc>
      </w:tr>
    </w:tbl>
    <w:p w:rsidR="00D2620D" w:rsidRDefault="00D2620D" w:rsidP="0022750E">
      <w:pPr>
        <w:widowControl/>
        <w:ind w:firstLine="708"/>
        <w:jc w:val="both"/>
        <w:rPr>
          <w:sz w:val="24"/>
          <w:szCs w:val="24"/>
        </w:rPr>
      </w:pPr>
    </w:p>
    <w:p w:rsidR="0022750E" w:rsidRPr="0022750E" w:rsidRDefault="0022750E" w:rsidP="0022750E">
      <w:pPr>
        <w:widowControl/>
        <w:ind w:firstLine="708"/>
        <w:jc w:val="both"/>
        <w:rPr>
          <w:sz w:val="24"/>
          <w:szCs w:val="24"/>
        </w:rPr>
      </w:pPr>
      <w:r w:rsidRPr="0022750E">
        <w:rPr>
          <w:sz w:val="24"/>
          <w:szCs w:val="24"/>
        </w:rPr>
        <w:t>При расчете ставки на оплату технологического расхода (потерь) электрической энергии в процессе ее передачи учтено требование пункта 55 Методических указаний по расчету регулируемых тарифов и цен на электрическую (тепловую) энергию на розничном (потребительском) рынке, согласно которому потребители, энергопринимающие устройства которых присоединены к электрическим сетям через энергетические установки производителя электрической энергии, оплату технологического расхода (потерь) электроэнергии в процессе ее передачи не осуществляют.</w:t>
      </w:r>
    </w:p>
    <w:p w:rsidR="0022750E" w:rsidRPr="0022750E" w:rsidRDefault="0022750E" w:rsidP="0022750E">
      <w:pPr>
        <w:widowControl/>
        <w:ind w:firstLine="720"/>
        <w:jc w:val="both"/>
        <w:rPr>
          <w:sz w:val="24"/>
          <w:szCs w:val="24"/>
        </w:rPr>
      </w:pPr>
      <w:r w:rsidRPr="0022750E">
        <w:rPr>
          <w:sz w:val="24"/>
          <w:szCs w:val="24"/>
        </w:rPr>
        <w:t>В составе единых «котловых» тарифов на услуги по передаче электрической энергии для группы «Прочие потребители» учтена сумма перекрестного субсидирования в сумме 923 723,44 тыс. руб. Сумма перекрестного субсидирования включена в состав ставок на оплату содержания электрических сетей единых (котловых) тарифов на услуги по передаче электрической энергии.</w:t>
      </w:r>
    </w:p>
    <w:p w:rsidR="0022750E" w:rsidRPr="0022750E" w:rsidRDefault="0022750E" w:rsidP="0022750E">
      <w:pPr>
        <w:widowControl/>
        <w:ind w:firstLine="708"/>
        <w:jc w:val="both"/>
        <w:rPr>
          <w:sz w:val="24"/>
          <w:szCs w:val="24"/>
        </w:rPr>
      </w:pPr>
      <w:r w:rsidRPr="0022750E">
        <w:rPr>
          <w:sz w:val="24"/>
          <w:szCs w:val="24"/>
        </w:rPr>
        <w:t>Экспертной группой предлагаются к установлению и введению в действие с 01.07.2025 следующие единые (котловые) тарифы на услуги по передаче электрической энергии для прочих потребителей Ивановской области с учетом перекрестного субсидирования.</w:t>
      </w:r>
    </w:p>
    <w:p w:rsidR="0022750E" w:rsidRPr="0022750E" w:rsidRDefault="0022750E" w:rsidP="0022750E">
      <w:pPr>
        <w:tabs>
          <w:tab w:val="left" w:pos="4020"/>
        </w:tabs>
        <w:ind w:firstLine="540"/>
        <w:jc w:val="both"/>
        <w:rPr>
          <w:sz w:val="24"/>
          <w:szCs w:val="24"/>
        </w:rPr>
      </w:pPr>
      <w:r w:rsidRPr="0022750E">
        <w:rPr>
          <w:sz w:val="24"/>
          <w:szCs w:val="24"/>
        </w:rPr>
        <w:t>Предлагаемые к установлению единые (котловые) тарифы на услуги по передаче электрической энергии для прочих потребителей Ивановской области, рассчитанные с учетом перекрестного субсидирования, соответствуют минимальным тарифам на услуги по передаче электрической энергии по Ивановской области, определенным приказом ФАС России от 24.10.2024 № 766/24.</w:t>
      </w:r>
    </w:p>
    <w:p w:rsidR="00B83B19" w:rsidRPr="00B83B19" w:rsidRDefault="00B83B19" w:rsidP="00B83B19">
      <w:pPr>
        <w:tabs>
          <w:tab w:val="left" w:pos="4020"/>
        </w:tabs>
        <w:ind w:firstLine="540"/>
        <w:jc w:val="both"/>
        <w:rPr>
          <w:sz w:val="24"/>
          <w:szCs w:val="24"/>
        </w:rPr>
      </w:pPr>
      <w:r w:rsidRPr="00B83B19">
        <w:rPr>
          <w:sz w:val="24"/>
          <w:szCs w:val="24"/>
        </w:rPr>
        <w:t>Ассоциация «НП Совет рынка» голосует по данному вопросу «против», по причине не предоставления расчетов и экспертного заключения.</w:t>
      </w:r>
    </w:p>
    <w:p w:rsidR="00B83B19" w:rsidRPr="00B83B19" w:rsidRDefault="00B83B19" w:rsidP="00B83B19">
      <w:pPr>
        <w:tabs>
          <w:tab w:val="left" w:pos="4020"/>
        </w:tabs>
        <w:ind w:firstLine="567"/>
        <w:jc w:val="both"/>
        <w:rPr>
          <w:sz w:val="24"/>
          <w:szCs w:val="24"/>
        </w:rPr>
      </w:pPr>
      <w:r w:rsidRPr="00B83B19">
        <w:rPr>
          <w:sz w:val="24"/>
          <w:szCs w:val="24"/>
        </w:rPr>
        <w:t>Департамент отмечает, что в адрес Ассоциации «НП Совет рынка» подробные расчетные материалы в отношении территориальных сетевых организаций были направлены.</w:t>
      </w:r>
    </w:p>
    <w:p w:rsidR="00754A8C" w:rsidRPr="00D6590F" w:rsidRDefault="00754A8C" w:rsidP="00754A8C">
      <w:pPr>
        <w:tabs>
          <w:tab w:val="left" w:pos="993"/>
        </w:tabs>
        <w:autoSpaceDE w:val="0"/>
        <w:autoSpaceDN w:val="0"/>
        <w:adjustRightInd w:val="0"/>
        <w:ind w:firstLine="567"/>
        <w:jc w:val="both"/>
        <w:rPr>
          <w:b/>
          <w:sz w:val="24"/>
          <w:szCs w:val="24"/>
        </w:rPr>
      </w:pPr>
      <w:r w:rsidRPr="00D6590F">
        <w:rPr>
          <w:b/>
          <w:sz w:val="24"/>
          <w:szCs w:val="24"/>
        </w:rPr>
        <w:t>РЕШИЛИ:</w:t>
      </w:r>
    </w:p>
    <w:p w:rsidR="00B83B19" w:rsidRPr="00B83B19" w:rsidRDefault="00B83B19" w:rsidP="00B83B19">
      <w:pPr>
        <w:suppressAutoHyphens/>
        <w:ind w:firstLine="567"/>
        <w:jc w:val="both"/>
        <w:rPr>
          <w:sz w:val="24"/>
          <w:szCs w:val="24"/>
          <w:lang w:eastAsia="zh-CN"/>
        </w:rPr>
      </w:pPr>
      <w:r w:rsidRPr="00B83B19">
        <w:rPr>
          <w:sz w:val="24"/>
          <w:szCs w:val="24"/>
          <w:lang w:eastAsia="zh-CN"/>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B83B19" w:rsidRPr="00B83B19" w:rsidRDefault="00B83B19" w:rsidP="00B83B19">
      <w:pPr>
        <w:suppressAutoHyphens/>
        <w:ind w:firstLine="567"/>
        <w:jc w:val="both"/>
        <w:rPr>
          <w:sz w:val="24"/>
          <w:szCs w:val="24"/>
          <w:lang w:eastAsia="zh-CN"/>
        </w:rPr>
      </w:pPr>
      <w:r w:rsidRPr="00B83B19">
        <w:rPr>
          <w:sz w:val="24"/>
          <w:szCs w:val="24"/>
          <w:lang w:eastAsia="zh-CN"/>
        </w:rPr>
        <w:t xml:space="preserve">1. Установить с 01.01.2025 по 31.12.2025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в соответствии с </w:t>
      </w:r>
      <w:r w:rsidR="00564665">
        <w:rPr>
          <w:sz w:val="24"/>
          <w:szCs w:val="24"/>
          <w:lang w:eastAsia="zh-CN"/>
        </w:rPr>
        <w:t>Таблицей 1</w:t>
      </w:r>
      <w:r w:rsidRPr="00B83B19">
        <w:rPr>
          <w:sz w:val="24"/>
          <w:szCs w:val="24"/>
          <w:lang w:eastAsia="zh-CN"/>
        </w:rPr>
        <w:t>.</w:t>
      </w:r>
    </w:p>
    <w:p w:rsidR="00B83B19" w:rsidRPr="00B83B19" w:rsidRDefault="00B83B19" w:rsidP="00B83B19">
      <w:pPr>
        <w:suppressAutoHyphens/>
        <w:ind w:firstLine="567"/>
        <w:jc w:val="both"/>
        <w:rPr>
          <w:sz w:val="24"/>
          <w:szCs w:val="24"/>
          <w:lang w:eastAsia="zh-CN"/>
        </w:rPr>
      </w:pPr>
      <w:r w:rsidRPr="00B83B19">
        <w:rPr>
          <w:sz w:val="24"/>
          <w:szCs w:val="24"/>
          <w:lang w:eastAsia="zh-CN"/>
        </w:rPr>
        <w:t xml:space="preserve">2. Установить с 01.01.2025 по 31.12.2025 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w:t>
      </w:r>
      <w:r w:rsidR="00564665">
        <w:rPr>
          <w:sz w:val="24"/>
          <w:szCs w:val="24"/>
          <w:lang w:eastAsia="zh-CN"/>
        </w:rPr>
        <w:t>потребителей, в соответствии с Таблицей</w:t>
      </w:r>
      <w:r w:rsidRPr="00B83B19">
        <w:rPr>
          <w:sz w:val="24"/>
          <w:szCs w:val="24"/>
          <w:lang w:eastAsia="zh-CN"/>
        </w:rPr>
        <w:t xml:space="preserve"> 2.</w:t>
      </w:r>
    </w:p>
    <w:p w:rsidR="00B83B19" w:rsidRPr="00B83B19" w:rsidRDefault="00B83B19" w:rsidP="00B83B19">
      <w:pPr>
        <w:suppressAutoHyphens/>
        <w:ind w:firstLine="567"/>
        <w:jc w:val="both"/>
        <w:rPr>
          <w:sz w:val="24"/>
          <w:szCs w:val="24"/>
          <w:lang w:eastAsia="zh-CN"/>
        </w:rPr>
      </w:pPr>
      <w:r w:rsidRPr="00B83B19">
        <w:rPr>
          <w:sz w:val="24"/>
          <w:szCs w:val="24"/>
          <w:lang w:eastAsia="zh-CN"/>
        </w:rPr>
        <w:t xml:space="preserve">3. Установить 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2026-2029 гг. в соответствии с </w:t>
      </w:r>
      <w:r w:rsidR="00564665">
        <w:rPr>
          <w:sz w:val="24"/>
          <w:szCs w:val="24"/>
          <w:lang w:eastAsia="zh-CN"/>
        </w:rPr>
        <w:t>Таблицей</w:t>
      </w:r>
      <w:r w:rsidRPr="00B83B19">
        <w:rPr>
          <w:sz w:val="24"/>
          <w:szCs w:val="24"/>
          <w:lang w:eastAsia="zh-CN"/>
        </w:rPr>
        <w:t xml:space="preserve"> 3.</w:t>
      </w:r>
    </w:p>
    <w:p w:rsidR="00B83B19" w:rsidRPr="00B83B19" w:rsidRDefault="00B83B19" w:rsidP="00B83B19">
      <w:pPr>
        <w:suppressAutoHyphens/>
        <w:ind w:firstLine="567"/>
        <w:jc w:val="both"/>
        <w:rPr>
          <w:sz w:val="24"/>
          <w:szCs w:val="24"/>
          <w:lang w:eastAsia="zh-CN"/>
        </w:rPr>
      </w:pPr>
      <w:r w:rsidRPr="00B83B19">
        <w:rPr>
          <w:sz w:val="24"/>
          <w:szCs w:val="24"/>
          <w:lang w:eastAsia="zh-CN"/>
        </w:rPr>
        <w:t>4. С 01.01.2025 признать утратившим силу постановление Департамента энергетики и тарифов Ивановской области от 15.10.2024 № 37-э/1.</w:t>
      </w:r>
    </w:p>
    <w:p w:rsidR="00754A8C" w:rsidRPr="002F1BFC" w:rsidRDefault="00B83B19" w:rsidP="00B83B19">
      <w:pPr>
        <w:suppressAutoHyphens/>
        <w:ind w:firstLine="567"/>
        <w:jc w:val="both"/>
        <w:rPr>
          <w:sz w:val="24"/>
          <w:szCs w:val="24"/>
          <w:lang w:eastAsia="zh-CN"/>
        </w:rPr>
      </w:pPr>
      <w:r w:rsidRPr="00B83B19">
        <w:rPr>
          <w:sz w:val="24"/>
          <w:szCs w:val="24"/>
          <w:lang w:eastAsia="zh-CN"/>
        </w:rPr>
        <w:t>5. Настоящее постановление вступает в силу после дня его официального опубликования</w:t>
      </w:r>
      <w:r w:rsidR="00754A8C" w:rsidRPr="002F1BFC">
        <w:rPr>
          <w:sz w:val="24"/>
          <w:szCs w:val="24"/>
          <w:lang w:eastAsia="zh-CN"/>
        </w:rPr>
        <w:t>.</w:t>
      </w:r>
    </w:p>
    <w:p w:rsidR="00754A8C" w:rsidRDefault="00754A8C" w:rsidP="00754A8C">
      <w:pPr>
        <w:autoSpaceDE w:val="0"/>
        <w:autoSpaceDN w:val="0"/>
        <w:jc w:val="right"/>
        <w:rPr>
          <w:sz w:val="24"/>
          <w:szCs w:val="24"/>
        </w:rPr>
        <w:sectPr w:rsidR="00754A8C" w:rsidSect="002F1BFC">
          <w:pgSz w:w="11907" w:h="16840" w:code="9"/>
          <w:pgMar w:top="680" w:right="851" w:bottom="1134" w:left="1134" w:header="284" w:footer="0" w:gutter="0"/>
          <w:pgNumType w:start="64"/>
          <w:cols w:space="720"/>
        </w:sectPr>
      </w:pPr>
    </w:p>
    <w:p w:rsidR="00DB4114" w:rsidRPr="00DB4114" w:rsidRDefault="00DB4114" w:rsidP="00DB4114">
      <w:pPr>
        <w:suppressAutoHyphens/>
        <w:jc w:val="right"/>
        <w:rPr>
          <w:sz w:val="24"/>
          <w:szCs w:val="24"/>
        </w:rPr>
      </w:pPr>
      <w:r>
        <w:rPr>
          <w:sz w:val="24"/>
          <w:szCs w:val="24"/>
        </w:rPr>
        <w:lastRenderedPageBreak/>
        <w:t>Таблица</w:t>
      </w:r>
      <w:r w:rsidRPr="00DB4114">
        <w:rPr>
          <w:sz w:val="24"/>
          <w:szCs w:val="24"/>
        </w:rPr>
        <w:t xml:space="preserve">1 </w:t>
      </w:r>
    </w:p>
    <w:p w:rsidR="00DB4114" w:rsidRPr="00DB4114" w:rsidRDefault="00DB4114" w:rsidP="00DB4114">
      <w:pPr>
        <w:autoSpaceDE w:val="0"/>
        <w:autoSpaceDN w:val="0"/>
        <w:jc w:val="center"/>
      </w:pPr>
    </w:p>
    <w:p w:rsidR="00DB4114" w:rsidRPr="00DB4114" w:rsidRDefault="00DB4114" w:rsidP="00DB4114">
      <w:pPr>
        <w:autoSpaceDE w:val="0"/>
        <w:autoSpaceDN w:val="0"/>
        <w:jc w:val="center"/>
        <w:rPr>
          <w:sz w:val="24"/>
          <w:szCs w:val="24"/>
          <w:vertAlign w:val="superscript"/>
        </w:rPr>
      </w:pPr>
      <w:r w:rsidRPr="00DB4114">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2025 год</w:t>
      </w:r>
    </w:p>
    <w:p w:rsidR="00DB4114" w:rsidRPr="00DB4114" w:rsidRDefault="00DB4114" w:rsidP="00DB4114">
      <w:pPr>
        <w:autoSpaceDE w:val="0"/>
        <w:autoSpaceDN w:val="0"/>
        <w:jc w:val="both"/>
      </w:pPr>
    </w:p>
    <w:tbl>
      <w:tblPr>
        <w:tblW w:w="16007" w:type="dxa"/>
        <w:tblInd w:w="-647" w:type="dxa"/>
        <w:tblLayout w:type="fixed"/>
        <w:tblCellMar>
          <w:top w:w="102" w:type="dxa"/>
          <w:left w:w="62" w:type="dxa"/>
          <w:bottom w:w="102" w:type="dxa"/>
          <w:right w:w="62" w:type="dxa"/>
        </w:tblCellMar>
        <w:tblLook w:val="0000" w:firstRow="0" w:lastRow="0" w:firstColumn="0" w:lastColumn="0" w:noHBand="0" w:noVBand="0"/>
      </w:tblPr>
      <w:tblGrid>
        <w:gridCol w:w="568"/>
        <w:gridCol w:w="2976"/>
        <w:gridCol w:w="1418"/>
        <w:gridCol w:w="850"/>
        <w:gridCol w:w="708"/>
        <w:gridCol w:w="993"/>
        <w:gridCol w:w="992"/>
        <w:gridCol w:w="993"/>
        <w:gridCol w:w="992"/>
        <w:gridCol w:w="912"/>
        <w:gridCol w:w="624"/>
        <w:gridCol w:w="1016"/>
        <w:gridCol w:w="992"/>
        <w:gridCol w:w="993"/>
        <w:gridCol w:w="980"/>
      </w:tblGrid>
      <w:tr w:rsidR="00DB4114" w:rsidRPr="00DB4114" w:rsidTr="00356FFC">
        <w:tc>
          <w:tcPr>
            <w:tcW w:w="568" w:type="dxa"/>
            <w:vMerge w:val="restart"/>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 xml:space="preserve">№ </w:t>
            </w:r>
          </w:p>
        </w:tc>
        <w:tc>
          <w:tcPr>
            <w:tcW w:w="2976" w:type="dxa"/>
            <w:vMerge w:val="restart"/>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Единица измерения</w:t>
            </w:r>
          </w:p>
        </w:tc>
        <w:tc>
          <w:tcPr>
            <w:tcW w:w="11045" w:type="dxa"/>
            <w:gridSpan w:val="12"/>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Уровни напряжения</w:t>
            </w:r>
          </w:p>
        </w:tc>
      </w:tr>
      <w:tr w:rsidR="00DB4114" w:rsidRPr="00DB4114" w:rsidTr="00356FFC">
        <w:tc>
          <w:tcPr>
            <w:tcW w:w="568" w:type="dxa"/>
            <w:vMerge/>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p>
        </w:tc>
        <w:tc>
          <w:tcPr>
            <w:tcW w:w="5528" w:type="dxa"/>
            <w:gridSpan w:val="6"/>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I полугодие</w:t>
            </w:r>
          </w:p>
        </w:tc>
        <w:tc>
          <w:tcPr>
            <w:tcW w:w="5517" w:type="dxa"/>
            <w:gridSpan w:val="6"/>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ind w:left="-125" w:firstLine="125"/>
              <w:jc w:val="center"/>
              <w:rPr>
                <w:sz w:val="18"/>
                <w:szCs w:val="18"/>
              </w:rPr>
            </w:pPr>
            <w:r w:rsidRPr="00DB4114">
              <w:rPr>
                <w:sz w:val="18"/>
                <w:szCs w:val="18"/>
              </w:rPr>
              <w:t>II полугодие</w:t>
            </w:r>
          </w:p>
        </w:tc>
      </w:tr>
      <w:tr w:rsidR="00DB4114" w:rsidRPr="00DB4114" w:rsidTr="00356FFC">
        <w:tc>
          <w:tcPr>
            <w:tcW w:w="568" w:type="dxa"/>
            <w:vMerge/>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p>
        </w:tc>
        <w:tc>
          <w:tcPr>
            <w:tcW w:w="2976" w:type="dxa"/>
            <w:vMerge/>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Всего</w:t>
            </w:r>
          </w:p>
        </w:tc>
        <w:tc>
          <w:tcPr>
            <w:tcW w:w="70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ВН-1</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ВН</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СН-I</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СН-II</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НН</w:t>
            </w:r>
          </w:p>
        </w:tc>
        <w:tc>
          <w:tcPr>
            <w:tcW w:w="91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Всего</w:t>
            </w:r>
          </w:p>
        </w:tc>
        <w:tc>
          <w:tcPr>
            <w:tcW w:w="62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ВН-1</w:t>
            </w:r>
          </w:p>
        </w:tc>
        <w:tc>
          <w:tcPr>
            <w:tcW w:w="101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ВН</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СН-I</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СН-II</w:t>
            </w:r>
          </w:p>
        </w:tc>
        <w:tc>
          <w:tcPr>
            <w:tcW w:w="980"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НН</w:t>
            </w:r>
          </w:p>
        </w:tc>
      </w:tr>
      <w:tr w:rsidR="00DB4114" w:rsidRPr="00DB4114" w:rsidTr="00356FFC">
        <w:tc>
          <w:tcPr>
            <w:tcW w:w="56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8</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9</w:t>
            </w:r>
          </w:p>
        </w:tc>
        <w:tc>
          <w:tcPr>
            <w:tcW w:w="91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10</w:t>
            </w:r>
          </w:p>
        </w:tc>
        <w:tc>
          <w:tcPr>
            <w:tcW w:w="62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11</w:t>
            </w:r>
          </w:p>
        </w:tc>
        <w:tc>
          <w:tcPr>
            <w:tcW w:w="101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12</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13</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14</w:t>
            </w:r>
          </w:p>
        </w:tc>
        <w:tc>
          <w:tcPr>
            <w:tcW w:w="980"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15</w:t>
            </w:r>
          </w:p>
        </w:tc>
      </w:tr>
      <w:tr w:rsidR="00DB4114" w:rsidRPr="00DB4114" w:rsidTr="00356FFC">
        <w:tc>
          <w:tcPr>
            <w:tcW w:w="56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sz w:val="18"/>
                <w:szCs w:val="18"/>
              </w:rPr>
            </w:pPr>
            <w:r w:rsidRPr="00DB4114">
              <w:rPr>
                <w:sz w:val="18"/>
                <w:szCs w:val="18"/>
              </w:rPr>
              <w:t>1.</w:t>
            </w:r>
          </w:p>
        </w:tc>
        <w:tc>
          <w:tcPr>
            <w:tcW w:w="15439" w:type="dxa"/>
            <w:gridSpan w:val="14"/>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sz w:val="18"/>
                <w:szCs w:val="18"/>
              </w:rPr>
            </w:pPr>
            <w:r w:rsidRPr="00DB4114">
              <w:rPr>
                <w:sz w:val="18"/>
                <w:szCs w:val="18"/>
              </w:rPr>
              <w:t>Двухставочный тариф</w:t>
            </w:r>
          </w:p>
        </w:tc>
      </w:tr>
      <w:tr w:rsidR="00DB4114" w:rsidRPr="00DB4114" w:rsidTr="00356FFC">
        <w:tc>
          <w:tcPr>
            <w:tcW w:w="56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1.1.</w:t>
            </w:r>
          </w:p>
        </w:tc>
        <w:tc>
          <w:tcPr>
            <w:tcW w:w="297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sz w:val="18"/>
                <w:szCs w:val="18"/>
              </w:rPr>
            </w:pPr>
            <w:r w:rsidRPr="00DB4114">
              <w:rPr>
                <w:sz w:val="18"/>
                <w:szCs w:val="18"/>
              </w:rPr>
              <w:t>ставка за содержание электрических сетей</w:t>
            </w:r>
          </w:p>
        </w:tc>
        <w:tc>
          <w:tcPr>
            <w:tcW w:w="141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руб./МВт·мес.</w:t>
            </w:r>
          </w:p>
        </w:t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70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outlineLvl w:val="0"/>
              <w:rPr>
                <w:sz w:val="16"/>
                <w:szCs w:val="16"/>
                <w:lang w:eastAsia="zh-CN"/>
              </w:rPr>
            </w:pPr>
            <w:r w:rsidRPr="00DB4114">
              <w:rPr>
                <w:sz w:val="16"/>
                <w:szCs w:val="16"/>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1 146 845,33</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1 297 467,23</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1 729 795,29</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1 577 120,23</w:t>
            </w:r>
          </w:p>
        </w:tc>
        <w:tc>
          <w:tcPr>
            <w:tcW w:w="91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62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х</w:t>
            </w:r>
          </w:p>
        </w:tc>
        <w:tc>
          <w:tcPr>
            <w:tcW w:w="1016"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1 278 599,51</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1 446 525,46</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1 826 565,23</w:t>
            </w:r>
          </w:p>
        </w:tc>
        <w:tc>
          <w:tcPr>
            <w:tcW w:w="98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1 890 651,73</w:t>
            </w:r>
          </w:p>
        </w:tc>
      </w:tr>
      <w:tr w:rsidR="00DB4114" w:rsidRPr="00DB4114" w:rsidTr="00356FFC">
        <w:tc>
          <w:tcPr>
            <w:tcW w:w="56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lang w:val="en-US"/>
              </w:rPr>
            </w:pPr>
            <w:r w:rsidRPr="00DB4114">
              <w:rPr>
                <w:sz w:val="18"/>
                <w:szCs w:val="18"/>
              </w:rPr>
              <w:t>1.2</w:t>
            </w:r>
            <w:r w:rsidRPr="00DB4114">
              <w:rPr>
                <w:sz w:val="18"/>
                <w:szCs w:val="18"/>
                <w:lang w:val="en-US"/>
              </w:rPr>
              <w:t>.</w:t>
            </w:r>
          </w:p>
        </w:tc>
        <w:tc>
          <w:tcPr>
            <w:tcW w:w="297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sz w:val="18"/>
                <w:szCs w:val="18"/>
              </w:rPr>
            </w:pPr>
            <w:r w:rsidRPr="00DB4114">
              <w:rPr>
                <w:sz w:val="18"/>
                <w:szCs w:val="18"/>
              </w:rPr>
              <w:t>ставка на оплату технологического расхода (потерь) в электрических сетях</w:t>
            </w:r>
          </w:p>
        </w:tc>
        <w:tc>
          <w:tcPr>
            <w:tcW w:w="141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руб./МВт·ч</w:t>
            </w:r>
          </w:p>
        </w:t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70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132,72</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182,67</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323,33</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869,15</w:t>
            </w:r>
          </w:p>
        </w:tc>
        <w:tc>
          <w:tcPr>
            <w:tcW w:w="91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62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х</w:t>
            </w:r>
          </w:p>
        </w:tc>
        <w:tc>
          <w:tcPr>
            <w:tcW w:w="1016"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147,97</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203,66</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360,48</w:t>
            </w:r>
          </w:p>
        </w:tc>
        <w:tc>
          <w:tcPr>
            <w:tcW w:w="98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969,00</w:t>
            </w:r>
          </w:p>
        </w:tc>
      </w:tr>
      <w:tr w:rsidR="00DB4114" w:rsidRPr="00DB4114" w:rsidTr="00356FFC">
        <w:tc>
          <w:tcPr>
            <w:tcW w:w="56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sz w:val="18"/>
                <w:szCs w:val="18"/>
              </w:rPr>
            </w:pPr>
            <w:r w:rsidRPr="00DB4114">
              <w:rPr>
                <w:sz w:val="18"/>
                <w:szCs w:val="18"/>
              </w:rPr>
              <w:t>2.</w:t>
            </w:r>
          </w:p>
        </w:tc>
        <w:tc>
          <w:tcPr>
            <w:tcW w:w="297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sz w:val="18"/>
                <w:szCs w:val="18"/>
              </w:rPr>
            </w:pPr>
            <w:r w:rsidRPr="00DB4114">
              <w:rPr>
                <w:sz w:val="18"/>
                <w:szCs w:val="18"/>
              </w:rPr>
              <w:t>Одноставочный тариф</w:t>
            </w:r>
          </w:p>
        </w:tc>
        <w:tc>
          <w:tcPr>
            <w:tcW w:w="141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руб./кВт·ч</w:t>
            </w:r>
          </w:p>
        </w:t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70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2,21581</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bCs/>
                <w:sz w:val="16"/>
                <w:szCs w:val="16"/>
                <w:lang w:eastAsia="zh-CN"/>
              </w:rPr>
            </w:pPr>
            <w:r w:rsidRPr="00DB4114">
              <w:rPr>
                <w:bCs/>
                <w:sz w:val="16"/>
                <w:szCs w:val="16"/>
                <w:lang w:eastAsia="zh-CN"/>
              </w:rPr>
              <w:t>2,58634</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right"/>
              <w:rPr>
                <w:sz w:val="16"/>
                <w:szCs w:val="16"/>
                <w:lang w:eastAsia="zh-CN"/>
              </w:rPr>
            </w:pPr>
            <w:r w:rsidRPr="00DB4114">
              <w:rPr>
                <w:sz w:val="16"/>
                <w:szCs w:val="16"/>
                <w:lang w:eastAsia="zh-CN"/>
              </w:rPr>
              <w:t>4,09479</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right"/>
              <w:rPr>
                <w:sz w:val="16"/>
                <w:szCs w:val="16"/>
                <w:lang w:eastAsia="zh-CN"/>
              </w:rPr>
            </w:pPr>
            <w:r w:rsidRPr="00DB4114">
              <w:rPr>
                <w:sz w:val="16"/>
                <w:szCs w:val="16"/>
                <w:lang w:eastAsia="zh-CN"/>
              </w:rPr>
              <w:t>5,47905</w:t>
            </w:r>
          </w:p>
        </w:tc>
        <w:tc>
          <w:tcPr>
            <w:tcW w:w="91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62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x</w:t>
            </w:r>
          </w:p>
        </w:tc>
        <w:tc>
          <w:tcPr>
            <w:tcW w:w="1016"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2,47037</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2,88347</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4,36477</w:t>
            </w:r>
          </w:p>
        </w:tc>
        <w:tc>
          <w:tcPr>
            <w:tcW w:w="98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6,45881</w:t>
            </w:r>
          </w:p>
        </w:tc>
      </w:tr>
      <w:tr w:rsidR="00DB4114" w:rsidRPr="00DB4114" w:rsidTr="00356FFC">
        <w:tc>
          <w:tcPr>
            <w:tcW w:w="56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3.</w:t>
            </w:r>
          </w:p>
        </w:tc>
        <w:tc>
          <w:tcPr>
            <w:tcW w:w="297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sz w:val="18"/>
                <w:szCs w:val="18"/>
              </w:rPr>
            </w:pPr>
            <w:r w:rsidRPr="00DB4114">
              <w:rPr>
                <w:sz w:val="18"/>
                <w:szCs w:val="18"/>
              </w:rPr>
              <w:t>Величина перекрестного субсидирования, учтенная в ценах (тарифах) на услуги по передаче электрической энергии</w:t>
            </w:r>
          </w:p>
        </w:tc>
        <w:tc>
          <w:tcPr>
            <w:tcW w:w="141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тыс. руб.</w:t>
            </w:r>
          </w:p>
        </w:t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right"/>
              <w:rPr>
                <w:sz w:val="16"/>
                <w:szCs w:val="16"/>
                <w:lang w:eastAsia="zh-CN"/>
              </w:rPr>
            </w:pPr>
            <w:r w:rsidRPr="00DB4114">
              <w:rPr>
                <w:sz w:val="16"/>
                <w:szCs w:val="16"/>
                <w:lang w:eastAsia="zh-CN"/>
              </w:rPr>
              <w:t>940 555,51</w:t>
            </w:r>
          </w:p>
        </w:tc>
        <w:tc>
          <w:tcPr>
            <w:tcW w:w="70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388 000,98</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81 353,99</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434 646,70</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36 553,84</w:t>
            </w:r>
          </w:p>
        </w:tc>
        <w:tc>
          <w:tcPr>
            <w:tcW w:w="91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right"/>
              <w:rPr>
                <w:sz w:val="16"/>
                <w:szCs w:val="16"/>
                <w:lang w:eastAsia="zh-CN"/>
              </w:rPr>
            </w:pPr>
            <w:r w:rsidRPr="00DB4114">
              <w:rPr>
                <w:sz w:val="16"/>
                <w:szCs w:val="16"/>
                <w:lang w:eastAsia="zh-CN"/>
              </w:rPr>
              <w:t>923 723,44</w:t>
            </w:r>
          </w:p>
        </w:tc>
        <w:tc>
          <w:tcPr>
            <w:tcW w:w="62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х</w:t>
            </w:r>
          </w:p>
        </w:tc>
        <w:tc>
          <w:tcPr>
            <w:tcW w:w="1016"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429 164,27</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74 215,10</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351 690,94</w:t>
            </w:r>
          </w:p>
        </w:tc>
        <w:tc>
          <w:tcPr>
            <w:tcW w:w="98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68 653,13</w:t>
            </w:r>
          </w:p>
        </w:tc>
      </w:tr>
      <w:tr w:rsidR="00DB4114" w:rsidRPr="00DB4114" w:rsidTr="00356FFC">
        <w:trPr>
          <w:trHeight w:val="657"/>
        </w:trPr>
        <w:tc>
          <w:tcPr>
            <w:tcW w:w="56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4.</w:t>
            </w:r>
          </w:p>
        </w:tc>
        <w:tc>
          <w:tcPr>
            <w:tcW w:w="297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sz w:val="18"/>
                <w:szCs w:val="18"/>
              </w:rPr>
            </w:pPr>
            <w:r w:rsidRPr="00DB4114">
              <w:rPr>
                <w:sz w:val="18"/>
                <w:szCs w:val="18"/>
              </w:rPr>
              <w:t>Ставка перекрестного субсидирования</w:t>
            </w:r>
          </w:p>
        </w:tc>
        <w:tc>
          <w:tcPr>
            <w:tcW w:w="141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руб./МВт·ч</w:t>
            </w:r>
          </w:p>
        </w:t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right"/>
              <w:rPr>
                <w:sz w:val="16"/>
                <w:szCs w:val="16"/>
                <w:lang w:eastAsia="zh-CN"/>
              </w:rPr>
            </w:pPr>
            <w:r w:rsidRPr="00DB4114">
              <w:rPr>
                <w:sz w:val="16"/>
                <w:szCs w:val="16"/>
                <w:lang w:eastAsia="zh-CN"/>
              </w:rPr>
              <w:t>1 138,55</w:t>
            </w:r>
          </w:p>
        </w:tc>
        <w:tc>
          <w:tcPr>
            <w:tcW w:w="70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х</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1 235,19</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947,73</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1 411,27</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1 253,39</w:t>
            </w:r>
          </w:p>
        </w:tc>
        <w:tc>
          <w:tcPr>
            <w:tcW w:w="91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right"/>
              <w:rPr>
                <w:sz w:val="16"/>
                <w:szCs w:val="16"/>
                <w:lang w:eastAsia="zh-CN"/>
              </w:rPr>
            </w:pPr>
            <w:r w:rsidRPr="00DB4114">
              <w:rPr>
                <w:sz w:val="16"/>
                <w:szCs w:val="16"/>
                <w:lang w:eastAsia="zh-CN"/>
              </w:rPr>
              <w:t>1 111,30</w:t>
            </w:r>
          </w:p>
        </w:tc>
        <w:tc>
          <w:tcPr>
            <w:tcW w:w="62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sz w:val="16"/>
                <w:szCs w:val="16"/>
                <w:lang w:eastAsia="zh-CN"/>
              </w:rPr>
            </w:pPr>
            <w:r w:rsidRPr="00DB4114">
              <w:rPr>
                <w:sz w:val="16"/>
                <w:szCs w:val="16"/>
                <w:lang w:eastAsia="zh-CN"/>
              </w:rPr>
              <w:t>х</w:t>
            </w:r>
          </w:p>
        </w:tc>
        <w:tc>
          <w:tcPr>
            <w:tcW w:w="1016"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1 302,83</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838,91</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1 165,82</w:t>
            </w:r>
          </w:p>
        </w:tc>
        <w:tc>
          <w:tcPr>
            <w:tcW w:w="98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1 584,29</w:t>
            </w:r>
          </w:p>
        </w:tc>
      </w:tr>
      <w:tr w:rsidR="00DB4114" w:rsidRPr="00DB4114" w:rsidTr="00356FFC">
        <w:tc>
          <w:tcPr>
            <w:tcW w:w="56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5.</w:t>
            </w:r>
          </w:p>
        </w:tc>
        <w:tc>
          <w:tcPr>
            <w:tcW w:w="297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sz w:val="18"/>
                <w:szCs w:val="18"/>
              </w:rPr>
            </w:pPr>
            <w:r w:rsidRPr="00DB4114">
              <w:rPr>
                <w:sz w:val="18"/>
                <w:szCs w:val="18"/>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418"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sz w:val="18"/>
                <w:szCs w:val="18"/>
              </w:rPr>
            </w:pPr>
            <w:r w:rsidRPr="00DB4114">
              <w:rPr>
                <w:sz w:val="18"/>
                <w:szCs w:val="18"/>
              </w:rPr>
              <w:t>тыс. руб.</w:t>
            </w: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sz w:val="18"/>
                <w:szCs w:val="18"/>
              </w:rPr>
            </w:pPr>
            <w:r w:rsidRPr="00DB4114">
              <w:rPr>
                <w:sz w:val="18"/>
                <w:szCs w:val="18"/>
              </w:rPr>
              <w:t>х</w:t>
            </w:r>
          </w:p>
        </w:tc>
        <w:tc>
          <w:tcPr>
            <w:tcW w:w="5517"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sz w:val="18"/>
                <w:szCs w:val="18"/>
              </w:rPr>
            </w:pPr>
            <w:r w:rsidRPr="00DB4114">
              <w:rPr>
                <w:sz w:val="18"/>
                <w:szCs w:val="18"/>
              </w:rPr>
              <w:t>х</w:t>
            </w:r>
          </w:p>
        </w:tc>
      </w:tr>
    </w:tbl>
    <w:p w:rsidR="00DB4114" w:rsidRPr="00DB4114" w:rsidRDefault="00DB4114" w:rsidP="00DB4114">
      <w:pPr>
        <w:autoSpaceDE w:val="0"/>
        <w:autoSpaceDN w:val="0"/>
        <w:jc w:val="right"/>
        <w:rPr>
          <w:color w:val="FF0000"/>
          <w:sz w:val="28"/>
          <w:szCs w:val="28"/>
        </w:rPr>
        <w:sectPr w:rsidR="00DB4114" w:rsidRPr="00DB4114" w:rsidSect="00356FFC">
          <w:headerReference w:type="default" r:id="rId9"/>
          <w:pgSz w:w="16840" w:h="11907" w:orient="landscape" w:code="9"/>
          <w:pgMar w:top="1134" w:right="680" w:bottom="851" w:left="1134" w:header="284" w:footer="0" w:gutter="0"/>
          <w:pgNumType w:start="64"/>
          <w:cols w:space="720"/>
        </w:sectPr>
      </w:pPr>
    </w:p>
    <w:p w:rsidR="00DB4114" w:rsidRPr="00DB4114" w:rsidRDefault="00DB4114" w:rsidP="00DB4114">
      <w:pPr>
        <w:autoSpaceDE w:val="0"/>
        <w:autoSpaceDN w:val="0"/>
        <w:jc w:val="both"/>
        <w:rPr>
          <w:sz w:val="24"/>
          <w:szCs w:val="24"/>
        </w:rPr>
      </w:pPr>
    </w:p>
    <w:p w:rsidR="00DB4114" w:rsidRPr="00DB4114" w:rsidRDefault="00DB4114" w:rsidP="00DB4114">
      <w:pPr>
        <w:autoSpaceDE w:val="0"/>
        <w:autoSpaceDN w:val="0"/>
        <w:jc w:val="center"/>
        <w:rPr>
          <w:sz w:val="24"/>
          <w:szCs w:val="24"/>
          <w:vertAlign w:val="superscript"/>
        </w:rPr>
      </w:pPr>
      <w:r w:rsidRPr="00DB4114">
        <w:rPr>
          <w:sz w:val="24"/>
          <w:szCs w:val="24"/>
        </w:rPr>
        <w:t>Размер экономически обоснованных единых (котловых) тарифов на услуги по передаче электрической энергии по сетям Ивановской области на 2025 год</w:t>
      </w:r>
    </w:p>
    <w:p w:rsidR="00DB4114" w:rsidRPr="00DB4114" w:rsidRDefault="00DB4114" w:rsidP="00DB4114">
      <w:pPr>
        <w:autoSpaceDE w:val="0"/>
        <w:autoSpaceDN w:val="0"/>
        <w:jc w:val="both"/>
      </w:pPr>
    </w:p>
    <w:tbl>
      <w:tblPr>
        <w:tblW w:w="10517" w:type="dxa"/>
        <w:tblLayout w:type="fixed"/>
        <w:tblCellMar>
          <w:top w:w="102" w:type="dxa"/>
          <w:left w:w="62" w:type="dxa"/>
          <w:bottom w:w="102" w:type="dxa"/>
          <w:right w:w="62" w:type="dxa"/>
        </w:tblCellMar>
        <w:tblLook w:val="0000" w:firstRow="0" w:lastRow="0" w:firstColumn="0" w:lastColumn="0" w:noHBand="0" w:noVBand="0"/>
      </w:tblPr>
      <w:tblGrid>
        <w:gridCol w:w="964"/>
        <w:gridCol w:w="3351"/>
        <w:gridCol w:w="1474"/>
        <w:gridCol w:w="1219"/>
        <w:gridCol w:w="1242"/>
        <w:gridCol w:w="1133"/>
        <w:gridCol w:w="1134"/>
      </w:tblGrid>
      <w:tr w:rsidR="00DB4114" w:rsidRPr="00DB4114" w:rsidTr="00356FFC">
        <w:tc>
          <w:tcPr>
            <w:tcW w:w="964"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 xml:space="preserve">№ </w:t>
            </w:r>
          </w:p>
        </w:tc>
        <w:tc>
          <w:tcPr>
            <w:tcW w:w="3351"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Тарифные группы потребителей электрической энергии (мощности)</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Единица измерения</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Уровни напряжения</w:t>
            </w:r>
          </w:p>
        </w:tc>
      </w:tr>
      <w:tr w:rsidR="00DB4114" w:rsidRPr="00DB4114" w:rsidTr="00356FFC">
        <w:tc>
          <w:tcPr>
            <w:tcW w:w="964"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p>
        </w:tc>
        <w:tc>
          <w:tcPr>
            <w:tcW w:w="3351"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p>
        </w:tc>
        <w:tc>
          <w:tcPr>
            <w:tcW w:w="1474"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p>
        </w:tc>
        <w:tc>
          <w:tcPr>
            <w:tcW w:w="12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ВН</w:t>
            </w:r>
          </w:p>
        </w:tc>
        <w:tc>
          <w:tcPr>
            <w:tcW w:w="124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СН-I</w:t>
            </w:r>
          </w:p>
        </w:tc>
        <w:tc>
          <w:tcPr>
            <w:tcW w:w="113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СН-II</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НН</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w:t>
            </w:r>
          </w:p>
        </w:tc>
        <w:tc>
          <w:tcPr>
            <w:tcW w:w="3351"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2</w:t>
            </w:r>
          </w:p>
        </w:tc>
        <w:tc>
          <w:tcPr>
            <w:tcW w:w="147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3</w:t>
            </w:r>
          </w:p>
        </w:tc>
        <w:tc>
          <w:tcPr>
            <w:tcW w:w="1219"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4</w:t>
            </w:r>
          </w:p>
        </w:tc>
        <w:tc>
          <w:tcPr>
            <w:tcW w:w="124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5</w:t>
            </w:r>
          </w:p>
        </w:tc>
        <w:tc>
          <w:tcPr>
            <w:tcW w:w="113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6</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7</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w:t>
            </w:r>
          </w:p>
        </w:tc>
        <w:tc>
          <w:tcPr>
            <w:tcW w:w="9553" w:type="dxa"/>
            <w:gridSpan w:val="6"/>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Величины, используемые при утверждении (расчете) единых (котловых) тарифов на услуги по передаче электрической энергии в Ивановской области:</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1.1.</w:t>
            </w:r>
          </w:p>
        </w:tc>
        <w:tc>
          <w:tcPr>
            <w:tcW w:w="4825" w:type="dxa"/>
            <w:gridSpan w:val="2"/>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both"/>
            </w:pPr>
            <w:r w:rsidRPr="00DB4114">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I полугодие</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1.1.1.</w:t>
            </w:r>
          </w:p>
        </w:tc>
        <w:tc>
          <w:tcPr>
            <w:tcW w:w="9553"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pPr>
            <w:r w:rsidRPr="00DB4114">
              <w:t>Двухставочный тариф:</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1.1.1.1.</w:t>
            </w:r>
          </w:p>
        </w:tc>
        <w:tc>
          <w:tcPr>
            <w:tcW w:w="3351"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454 990,71</w:t>
            </w:r>
          </w:p>
        </w:tc>
        <w:tc>
          <w:tcPr>
            <w:tcW w:w="124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785 512,57</w:t>
            </w:r>
          </w:p>
        </w:tc>
        <w:tc>
          <w:tcPr>
            <w:tcW w:w="113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1 088 949,11</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1 503 517,33</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1.1.1.2.</w:t>
            </w:r>
          </w:p>
        </w:tc>
        <w:tc>
          <w:tcPr>
            <w:tcW w:w="3351"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руб./МВт·ч</w:t>
            </w:r>
          </w:p>
        </w:tc>
        <w:tc>
          <w:tcPr>
            <w:tcW w:w="12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132,72</w:t>
            </w:r>
          </w:p>
        </w:tc>
        <w:tc>
          <w:tcPr>
            <w:tcW w:w="124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182,67</w:t>
            </w:r>
          </w:p>
        </w:tc>
        <w:tc>
          <w:tcPr>
            <w:tcW w:w="113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323,33</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869,15</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1.1.2.</w:t>
            </w:r>
          </w:p>
        </w:tc>
        <w:tc>
          <w:tcPr>
            <w:tcW w:w="3351"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руб./кВт·ч</w:t>
            </w:r>
          </w:p>
        </w:tc>
        <w:tc>
          <w:tcPr>
            <w:tcW w:w="12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0,98061</w:t>
            </w:r>
          </w:p>
        </w:tc>
        <w:tc>
          <w:tcPr>
            <w:tcW w:w="124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1,63861</w:t>
            </w:r>
          </w:p>
        </w:tc>
        <w:tc>
          <w:tcPr>
            <w:tcW w:w="113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2,68352</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4,22566</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1.2.</w:t>
            </w:r>
          </w:p>
        </w:tc>
        <w:tc>
          <w:tcPr>
            <w:tcW w:w="4825" w:type="dxa"/>
            <w:gridSpan w:val="2"/>
            <w:tcBorders>
              <w:top w:val="single" w:sz="4" w:space="0" w:color="auto"/>
              <w:left w:val="single" w:sz="4" w:space="0" w:color="auto"/>
              <w:bottom w:val="single" w:sz="4" w:space="0" w:color="auto"/>
              <w:right w:val="single" w:sz="4" w:space="0" w:color="auto"/>
            </w:tcBorders>
            <w:vAlign w:val="bottom"/>
          </w:tcPr>
          <w:p w:rsidR="00DB4114" w:rsidRPr="00DB4114" w:rsidRDefault="00DB4114" w:rsidP="00DB4114">
            <w:pPr>
              <w:widowControl/>
              <w:autoSpaceDE w:val="0"/>
              <w:autoSpaceDN w:val="0"/>
              <w:adjustRightInd w:val="0"/>
              <w:jc w:val="both"/>
            </w:pPr>
            <w:r w:rsidRPr="00DB4114">
              <w:t>Экономически обоснованные единые (котловые) тарифы на услуги по передаче электрической энергии (без учета налога на добавленную стоимость)</w:t>
            </w:r>
          </w:p>
        </w:tc>
        <w:tc>
          <w:tcPr>
            <w:tcW w:w="4728" w:type="dxa"/>
            <w:gridSpan w:val="4"/>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II полугодие</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1.2.1.</w:t>
            </w:r>
          </w:p>
        </w:tc>
        <w:tc>
          <w:tcPr>
            <w:tcW w:w="9553" w:type="dxa"/>
            <w:gridSpan w:val="6"/>
            <w:tcBorders>
              <w:top w:val="single" w:sz="4" w:space="0" w:color="auto"/>
              <w:left w:val="single" w:sz="4" w:space="0" w:color="auto"/>
              <w:bottom w:val="single" w:sz="4" w:space="0" w:color="auto"/>
              <w:right w:val="single" w:sz="4" w:space="0" w:color="auto"/>
            </w:tcBorders>
            <w:vAlign w:val="bottom"/>
          </w:tcPr>
          <w:p w:rsidR="00DB4114" w:rsidRPr="00DB4114" w:rsidRDefault="00DB4114" w:rsidP="00DB4114">
            <w:pPr>
              <w:widowControl/>
              <w:autoSpaceDE w:val="0"/>
              <w:autoSpaceDN w:val="0"/>
              <w:adjustRightInd w:val="0"/>
            </w:pPr>
            <w:r w:rsidRPr="00DB4114">
              <w:t>Двухставочный тариф</w:t>
            </w:r>
          </w:p>
        </w:tc>
      </w:tr>
      <w:tr w:rsidR="00DB4114" w:rsidRPr="00DB4114" w:rsidTr="00356FFC">
        <w:trPr>
          <w:trHeight w:val="636"/>
        </w:trPr>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1.2.1.1.</w:t>
            </w:r>
          </w:p>
        </w:tc>
        <w:tc>
          <w:tcPr>
            <w:tcW w:w="3351"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ставка за содержание электрических сетей</w:t>
            </w:r>
          </w:p>
        </w:tc>
        <w:tc>
          <w:tcPr>
            <w:tcW w:w="147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руб./МВт·мес.</w:t>
            </w:r>
          </w:p>
        </w:tc>
        <w:tc>
          <w:tcPr>
            <w:tcW w:w="12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550 200,97</w:t>
            </w:r>
          </w:p>
        </w:tc>
        <w:tc>
          <w:tcPr>
            <w:tcW w:w="124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993 224,27</w:t>
            </w:r>
          </w:p>
        </w:tc>
        <w:tc>
          <w:tcPr>
            <w:tcW w:w="113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1 302 777,84</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1 745 681,35</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1.2.1.2.</w:t>
            </w:r>
          </w:p>
        </w:tc>
        <w:tc>
          <w:tcPr>
            <w:tcW w:w="3351"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ставка на оплату технологического расхода (потерь) в электрических сетях</w:t>
            </w:r>
          </w:p>
        </w:tc>
        <w:tc>
          <w:tcPr>
            <w:tcW w:w="147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руб./МВт·ч</w:t>
            </w:r>
          </w:p>
        </w:tc>
        <w:tc>
          <w:tcPr>
            <w:tcW w:w="12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147,97</w:t>
            </w:r>
          </w:p>
        </w:tc>
        <w:tc>
          <w:tcPr>
            <w:tcW w:w="124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203,66</w:t>
            </w:r>
          </w:p>
        </w:tc>
        <w:tc>
          <w:tcPr>
            <w:tcW w:w="113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360,48</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969,00</w:t>
            </w:r>
          </w:p>
        </w:tc>
      </w:tr>
      <w:tr w:rsidR="00DB4114" w:rsidRPr="00DB4114" w:rsidTr="00356FFC">
        <w:tc>
          <w:tcPr>
            <w:tcW w:w="96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1.2.2.</w:t>
            </w:r>
          </w:p>
        </w:tc>
        <w:tc>
          <w:tcPr>
            <w:tcW w:w="3351"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Одноставочный тариф</w:t>
            </w:r>
          </w:p>
        </w:tc>
        <w:tc>
          <w:tcPr>
            <w:tcW w:w="147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pPr>
            <w:r w:rsidRPr="00DB4114">
              <w:t>руб./кВт·ч</w:t>
            </w:r>
          </w:p>
        </w:tc>
        <w:tc>
          <w:tcPr>
            <w:tcW w:w="12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1,16754</w:t>
            </w:r>
          </w:p>
        </w:tc>
        <w:tc>
          <w:tcPr>
            <w:tcW w:w="124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2,04456</w:t>
            </w:r>
          </w:p>
        </w:tc>
        <w:tc>
          <w:tcPr>
            <w:tcW w:w="113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3,19895</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8"/>
                <w:szCs w:val="18"/>
                <w:lang w:eastAsia="zh-CN"/>
              </w:rPr>
            </w:pPr>
            <w:r w:rsidRPr="00DB4114">
              <w:rPr>
                <w:sz w:val="18"/>
                <w:szCs w:val="18"/>
                <w:lang w:eastAsia="zh-CN"/>
              </w:rPr>
              <w:t>4,87453</w:t>
            </w:r>
          </w:p>
        </w:tc>
      </w:tr>
    </w:tbl>
    <w:p w:rsidR="00DB4114" w:rsidRPr="00DB4114" w:rsidRDefault="00DB4114" w:rsidP="00DB4114">
      <w:pPr>
        <w:widowControl/>
        <w:autoSpaceDE w:val="0"/>
        <w:autoSpaceDN w:val="0"/>
        <w:adjustRightInd w:val="0"/>
        <w:jc w:val="both"/>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Default="00DB4114" w:rsidP="00DB4114">
      <w:pPr>
        <w:autoSpaceDE w:val="0"/>
        <w:autoSpaceDN w:val="0"/>
        <w:jc w:val="right"/>
        <w:outlineLvl w:val="2"/>
        <w:rPr>
          <w:sz w:val="24"/>
          <w:szCs w:val="24"/>
        </w:rPr>
      </w:pPr>
    </w:p>
    <w:p w:rsid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autoSpaceDE w:val="0"/>
        <w:autoSpaceDN w:val="0"/>
        <w:jc w:val="right"/>
        <w:outlineLvl w:val="2"/>
        <w:rPr>
          <w:sz w:val="24"/>
          <w:szCs w:val="24"/>
        </w:rPr>
      </w:pPr>
    </w:p>
    <w:p w:rsidR="00DB4114" w:rsidRPr="00DB4114" w:rsidRDefault="00DB4114" w:rsidP="00DB4114">
      <w:pPr>
        <w:widowControl/>
        <w:autoSpaceDE w:val="0"/>
        <w:autoSpaceDN w:val="0"/>
        <w:adjustRightInd w:val="0"/>
        <w:jc w:val="center"/>
        <w:rPr>
          <w:sz w:val="24"/>
          <w:szCs w:val="24"/>
        </w:rPr>
      </w:pPr>
      <w:r w:rsidRPr="00DB4114">
        <w:rPr>
          <w:sz w:val="24"/>
          <w:szCs w:val="24"/>
        </w:rPr>
        <w:lastRenderedPageBreak/>
        <w:t>Необходимая валовая выручка, учтенная при расчете единых (котловых) тарифов на услуги по передаче электрической энергии по электрическим сетям Ивановской области</w:t>
      </w:r>
    </w:p>
    <w:p w:rsidR="00DB4114" w:rsidRPr="00DB4114" w:rsidRDefault="00DB4114" w:rsidP="00DB4114">
      <w:pPr>
        <w:widowControl/>
        <w:autoSpaceDE w:val="0"/>
        <w:autoSpaceDN w:val="0"/>
        <w:adjustRightInd w:val="0"/>
        <w:jc w:val="center"/>
        <w:rPr>
          <w:sz w:val="24"/>
          <w:szCs w:val="24"/>
        </w:rPr>
      </w:pPr>
      <w:r w:rsidRPr="00DB4114">
        <w:rPr>
          <w:sz w:val="24"/>
          <w:szCs w:val="24"/>
        </w:rPr>
        <w:t>на 2025 год</w:t>
      </w:r>
    </w:p>
    <w:p w:rsidR="00DB4114" w:rsidRPr="00DB4114" w:rsidRDefault="00DB4114" w:rsidP="00DB4114">
      <w:pPr>
        <w:widowControl/>
        <w:autoSpaceDE w:val="0"/>
        <w:autoSpaceDN w:val="0"/>
        <w:adjustRightInd w:val="0"/>
        <w:jc w:val="both"/>
      </w:pPr>
    </w:p>
    <w:tbl>
      <w:tblPr>
        <w:tblW w:w="10495" w:type="dxa"/>
        <w:tblLayout w:type="fixed"/>
        <w:tblCellMar>
          <w:top w:w="102" w:type="dxa"/>
          <w:left w:w="62" w:type="dxa"/>
          <w:bottom w:w="102" w:type="dxa"/>
          <w:right w:w="62" w:type="dxa"/>
        </w:tblCellMar>
        <w:tblLook w:val="0000" w:firstRow="0" w:lastRow="0" w:firstColumn="0" w:lastColumn="0" w:noHBand="0" w:noVBand="0"/>
      </w:tblPr>
      <w:tblGrid>
        <w:gridCol w:w="850"/>
        <w:gridCol w:w="2494"/>
        <w:gridCol w:w="2041"/>
        <w:gridCol w:w="2048"/>
        <w:gridCol w:w="1531"/>
        <w:gridCol w:w="1531"/>
      </w:tblGrid>
      <w:tr w:rsidR="00DB4114" w:rsidRPr="00DB4114" w:rsidTr="00356FFC">
        <w:tc>
          <w:tcPr>
            <w:tcW w:w="850"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w:t>
            </w:r>
          </w:p>
        </w:tc>
        <w:tc>
          <w:tcPr>
            <w:tcW w:w="2494"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Ивановской области</w:t>
            </w:r>
          </w:p>
        </w:tc>
        <w:tc>
          <w:tcPr>
            <w:tcW w:w="204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Ивановской области</w:t>
            </w:r>
          </w:p>
        </w:tc>
        <w:tc>
          <w:tcPr>
            <w:tcW w:w="204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Необходимая валовая выручка на оплату технологического расхода (потерь) электрической энергии</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Величина потерь электрической энергии при ее передаче по электрическим сетям, учтенная при формировании регулируемых цен (тарифов)</w:t>
            </w:r>
          </w:p>
        </w:tc>
      </w:tr>
      <w:tr w:rsidR="00DB4114" w:rsidRPr="00DB4114" w:rsidTr="00356FFC">
        <w:tc>
          <w:tcPr>
            <w:tcW w:w="850"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p>
        </w:tc>
        <w:tc>
          <w:tcPr>
            <w:tcW w:w="2494"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p>
        </w:tc>
        <w:tc>
          <w:tcPr>
            <w:tcW w:w="204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тыс. руб.</w:t>
            </w:r>
          </w:p>
        </w:tc>
        <w:tc>
          <w:tcPr>
            <w:tcW w:w="204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тыс. руб.</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млн. кВт·ч</w:t>
            </w:r>
          </w:p>
        </w:tc>
      </w:tr>
      <w:tr w:rsidR="00DB4114" w:rsidRPr="00DB4114" w:rsidTr="00356FF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1</w:t>
            </w:r>
          </w:p>
        </w:tc>
        <w:tc>
          <w:tcPr>
            <w:tcW w:w="249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ПАО «Россети Центр и Приволжье» (филиал «Ивэнерго»)</w:t>
            </w:r>
          </w:p>
        </w:tc>
        <w:tc>
          <w:tcPr>
            <w:tcW w:w="204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5 945 881,661</w:t>
            </w:r>
          </w:p>
        </w:tc>
        <w:tc>
          <w:tcPr>
            <w:tcW w:w="204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254 018,806</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1 099 935,166</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autoSpaceDE w:val="0"/>
              <w:autoSpaceDN w:val="0"/>
              <w:adjustRightInd w:val="0"/>
              <w:jc w:val="center"/>
              <w:rPr>
                <w:lang w:eastAsia="zh-CN"/>
              </w:rPr>
            </w:pPr>
            <w:r w:rsidRPr="00DB4114">
              <w:rPr>
                <w:lang w:eastAsia="zh-CN"/>
              </w:rPr>
              <w:t>273,18890</w:t>
            </w:r>
          </w:p>
        </w:tc>
      </w:tr>
      <w:tr w:rsidR="00DB4114" w:rsidRPr="00DB4114" w:rsidTr="00356FF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2</w:t>
            </w:r>
          </w:p>
        </w:tc>
        <w:tc>
          <w:tcPr>
            <w:tcW w:w="249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АО «Объединенные электрические сети»</w:t>
            </w:r>
          </w:p>
        </w:tc>
        <w:tc>
          <w:tcPr>
            <w:tcW w:w="204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1 030 578,093</w:t>
            </w:r>
          </w:p>
        </w:tc>
        <w:tc>
          <w:tcPr>
            <w:tcW w:w="204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9 439,050</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270 975,730</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autoSpaceDE w:val="0"/>
              <w:autoSpaceDN w:val="0"/>
              <w:adjustRightInd w:val="0"/>
              <w:jc w:val="center"/>
              <w:rPr>
                <w:lang w:eastAsia="zh-CN"/>
              </w:rPr>
            </w:pPr>
            <w:r w:rsidRPr="00DB4114">
              <w:rPr>
                <w:lang w:eastAsia="zh-CN"/>
              </w:rPr>
              <w:t>51,08283</w:t>
            </w:r>
          </w:p>
        </w:tc>
      </w:tr>
      <w:tr w:rsidR="00DB4114" w:rsidRPr="00DB4114" w:rsidTr="00356FF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3</w:t>
            </w:r>
          </w:p>
        </w:tc>
        <w:tc>
          <w:tcPr>
            <w:tcW w:w="249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ООО «ИВЭЛС»</w:t>
            </w:r>
          </w:p>
        </w:tc>
        <w:tc>
          <w:tcPr>
            <w:tcW w:w="204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187 441,554</w:t>
            </w:r>
          </w:p>
        </w:tc>
        <w:tc>
          <w:tcPr>
            <w:tcW w:w="204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х</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137 375,892</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autoSpaceDE w:val="0"/>
              <w:autoSpaceDN w:val="0"/>
              <w:adjustRightInd w:val="0"/>
              <w:jc w:val="center"/>
              <w:rPr>
                <w:lang w:eastAsia="zh-CN"/>
              </w:rPr>
            </w:pPr>
            <w:r w:rsidRPr="00DB4114">
              <w:rPr>
                <w:lang w:eastAsia="zh-CN"/>
              </w:rPr>
              <w:t>33,47213</w:t>
            </w:r>
          </w:p>
        </w:tc>
      </w:tr>
      <w:tr w:rsidR="00DB4114" w:rsidRPr="00DB4114" w:rsidTr="00356FFC">
        <w:tc>
          <w:tcPr>
            <w:tcW w:w="85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4</w:t>
            </w:r>
          </w:p>
        </w:tc>
        <w:tc>
          <w:tcPr>
            <w:tcW w:w="249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pPr>
            <w:r w:rsidRPr="00DB4114">
              <w:t>АО «Оборонэнерго» (филиал «Волго-Вятский»)</w:t>
            </w:r>
          </w:p>
        </w:tc>
        <w:tc>
          <w:tcPr>
            <w:tcW w:w="204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61 435,820</w:t>
            </w:r>
          </w:p>
        </w:tc>
        <w:tc>
          <w:tcPr>
            <w:tcW w:w="204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х</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13 057,799</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autoSpaceDE w:val="0"/>
              <w:autoSpaceDN w:val="0"/>
              <w:adjustRightInd w:val="0"/>
              <w:jc w:val="center"/>
              <w:rPr>
                <w:lang w:eastAsia="zh-CN"/>
              </w:rPr>
            </w:pPr>
            <w:r w:rsidRPr="00DB4114">
              <w:rPr>
                <w:lang w:eastAsia="zh-CN"/>
              </w:rPr>
              <w:t>2,90810</w:t>
            </w:r>
          </w:p>
        </w:tc>
      </w:tr>
      <w:tr w:rsidR="00DB4114" w:rsidRPr="00DB4114" w:rsidTr="00356FFC">
        <w:tc>
          <w:tcPr>
            <w:tcW w:w="3344" w:type="dxa"/>
            <w:gridSpan w:val="2"/>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pPr>
            <w:r w:rsidRPr="00DB4114">
              <w:t>Всего</w:t>
            </w:r>
          </w:p>
        </w:tc>
        <w:tc>
          <w:tcPr>
            <w:tcW w:w="204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pPr>
            <w:r w:rsidRPr="00DB4114">
              <w:t>7 225 337,128</w:t>
            </w:r>
          </w:p>
        </w:tc>
        <w:tc>
          <w:tcPr>
            <w:tcW w:w="2048"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263 457,856</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1 521 344,587</w:t>
            </w:r>
          </w:p>
        </w:tc>
        <w:tc>
          <w:tcPr>
            <w:tcW w:w="1531"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suppressAutoHyphens/>
              <w:autoSpaceDE w:val="0"/>
              <w:autoSpaceDN w:val="0"/>
              <w:adjustRightInd w:val="0"/>
              <w:jc w:val="center"/>
              <w:rPr>
                <w:lang w:eastAsia="zh-CN"/>
              </w:rPr>
            </w:pPr>
            <w:r w:rsidRPr="00DB4114">
              <w:rPr>
                <w:lang w:eastAsia="zh-CN"/>
              </w:rPr>
              <w:t>360,65196</w:t>
            </w:r>
          </w:p>
        </w:tc>
      </w:tr>
    </w:tbl>
    <w:p w:rsidR="00DB4114" w:rsidRPr="00DB4114" w:rsidRDefault="00DB4114" w:rsidP="00DB4114">
      <w:pPr>
        <w:autoSpaceDE w:val="0"/>
        <w:autoSpaceDN w:val="0"/>
        <w:jc w:val="both"/>
      </w:pPr>
    </w:p>
    <w:p w:rsidR="00DB4114" w:rsidRPr="00DB4114" w:rsidRDefault="00DB4114" w:rsidP="00DB4114">
      <w:pPr>
        <w:widowControl/>
        <w:spacing w:after="160" w:line="259" w:lineRule="auto"/>
        <w:rPr>
          <w:rFonts w:eastAsia="Calibri"/>
          <w:sz w:val="28"/>
          <w:szCs w:val="28"/>
          <w:lang w:eastAsia="en-US"/>
        </w:rPr>
        <w:sectPr w:rsidR="00DB4114" w:rsidRPr="00DB4114" w:rsidSect="00356FFC">
          <w:pgSz w:w="11907" w:h="16840" w:code="9"/>
          <w:pgMar w:top="851" w:right="567" w:bottom="567" w:left="1134" w:header="284" w:footer="0" w:gutter="0"/>
          <w:pgNumType w:start="64"/>
          <w:cols w:space="720"/>
        </w:sectPr>
      </w:pPr>
    </w:p>
    <w:p w:rsidR="00DB4114" w:rsidRPr="00DB4114" w:rsidRDefault="00DB4114" w:rsidP="00DB4114">
      <w:pPr>
        <w:autoSpaceDE w:val="0"/>
        <w:autoSpaceDN w:val="0"/>
        <w:jc w:val="right"/>
        <w:outlineLvl w:val="2"/>
        <w:rPr>
          <w:rFonts w:eastAsia="Calibri"/>
          <w:sz w:val="24"/>
          <w:szCs w:val="24"/>
          <w:lang w:eastAsia="en-US"/>
        </w:rPr>
      </w:pPr>
    </w:p>
    <w:p w:rsidR="00DB4114" w:rsidRPr="00DB4114" w:rsidRDefault="00DB4114" w:rsidP="00DB4114">
      <w:pPr>
        <w:widowControl/>
        <w:spacing w:after="160" w:line="259" w:lineRule="auto"/>
        <w:jc w:val="center"/>
        <w:rPr>
          <w:rFonts w:eastAsia="Calibri"/>
          <w:sz w:val="24"/>
          <w:szCs w:val="24"/>
          <w:lang w:eastAsia="en-US"/>
        </w:rPr>
      </w:pPr>
      <w:r w:rsidRPr="00DB4114">
        <w:rPr>
          <w:rFonts w:eastAsia="Calibri"/>
          <w:sz w:val="24"/>
          <w:szCs w:val="24"/>
          <w:lang w:eastAsia="en-US"/>
        </w:rPr>
        <w:t>Объемы электрической энергии (мощности), учтенные при расчете единых (котловых) тарифов на услуги по передаче электрической энергии по электрическим сетям субъекта Российской Федерации на 2025 год</w:t>
      </w:r>
    </w:p>
    <w:tbl>
      <w:tblPr>
        <w:tblW w:w="521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421"/>
        <w:gridCol w:w="1136"/>
        <w:gridCol w:w="711"/>
        <w:gridCol w:w="833"/>
        <w:gridCol w:w="846"/>
        <w:gridCol w:w="849"/>
        <w:gridCol w:w="843"/>
        <w:gridCol w:w="712"/>
        <w:gridCol w:w="908"/>
        <w:gridCol w:w="847"/>
        <w:gridCol w:w="847"/>
        <w:gridCol w:w="858"/>
        <w:gridCol w:w="238"/>
      </w:tblGrid>
      <w:tr w:rsidR="00DB4114" w:rsidRPr="00DB4114" w:rsidTr="00356FFC">
        <w:trPr>
          <w:gridAfter w:val="1"/>
          <w:wAfter w:w="238" w:type="dxa"/>
        </w:trPr>
        <w:tc>
          <w:tcPr>
            <w:tcW w:w="852" w:type="dxa"/>
            <w:vMerge w:val="restart"/>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 xml:space="preserve">№ </w:t>
            </w:r>
          </w:p>
        </w:tc>
        <w:tc>
          <w:tcPr>
            <w:tcW w:w="5421" w:type="dxa"/>
            <w:vMerge w:val="restart"/>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Показатель</w:t>
            </w:r>
          </w:p>
        </w:tc>
        <w:tc>
          <w:tcPr>
            <w:tcW w:w="1136" w:type="dxa"/>
            <w:vMerge w:val="restart"/>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Единица измерения</w:t>
            </w:r>
          </w:p>
        </w:tc>
        <w:tc>
          <w:tcPr>
            <w:tcW w:w="4082" w:type="dxa"/>
            <w:gridSpan w:val="5"/>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val="en-US" w:eastAsia="en-US"/>
              </w:rPr>
              <w:t>1 полугодие</w:t>
            </w:r>
          </w:p>
        </w:tc>
        <w:tc>
          <w:tcPr>
            <w:tcW w:w="4172" w:type="dxa"/>
            <w:gridSpan w:val="5"/>
            <w:tcBorders>
              <w:right w:val="single" w:sz="4" w:space="0" w:color="auto"/>
            </w:tcBorders>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2</w:t>
            </w:r>
            <w:r w:rsidRPr="00DB4114">
              <w:rPr>
                <w:rFonts w:eastAsia="Calibri"/>
                <w:lang w:val="en-US" w:eastAsia="en-US"/>
              </w:rPr>
              <w:t xml:space="preserve"> полугодие</w:t>
            </w:r>
          </w:p>
        </w:tc>
      </w:tr>
      <w:tr w:rsidR="00DB4114" w:rsidRPr="00DB4114" w:rsidTr="00356FFC">
        <w:trPr>
          <w:gridAfter w:val="1"/>
          <w:wAfter w:w="238" w:type="dxa"/>
        </w:trPr>
        <w:tc>
          <w:tcPr>
            <w:tcW w:w="852" w:type="dxa"/>
            <w:vMerge/>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p>
        </w:tc>
        <w:tc>
          <w:tcPr>
            <w:tcW w:w="5421" w:type="dxa"/>
            <w:vMerge/>
            <w:shd w:val="clear" w:color="auto" w:fill="auto"/>
            <w:vAlign w:val="center"/>
          </w:tcPr>
          <w:p w:rsidR="00DB4114" w:rsidRPr="00DB4114" w:rsidRDefault="00DB4114" w:rsidP="00DB4114">
            <w:pPr>
              <w:widowControl/>
              <w:jc w:val="center"/>
              <w:rPr>
                <w:rFonts w:eastAsia="Calibri"/>
                <w:lang w:eastAsia="en-US"/>
              </w:rPr>
            </w:pPr>
          </w:p>
        </w:tc>
        <w:tc>
          <w:tcPr>
            <w:tcW w:w="1136" w:type="dxa"/>
            <w:vMerge/>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p>
        </w:tc>
        <w:tc>
          <w:tcPr>
            <w:tcW w:w="4082" w:type="dxa"/>
            <w:gridSpan w:val="5"/>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Уровни напряжения</w:t>
            </w:r>
          </w:p>
        </w:tc>
        <w:tc>
          <w:tcPr>
            <w:tcW w:w="4172" w:type="dxa"/>
            <w:gridSpan w:val="5"/>
            <w:tcBorders>
              <w:right w:val="single" w:sz="4" w:space="0" w:color="auto"/>
            </w:tcBorders>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Уровни напряжения</w:t>
            </w:r>
          </w:p>
        </w:tc>
      </w:tr>
      <w:tr w:rsidR="00DB4114" w:rsidRPr="00DB4114" w:rsidTr="00356FFC">
        <w:trPr>
          <w:gridAfter w:val="1"/>
          <w:wAfter w:w="238" w:type="dxa"/>
        </w:trPr>
        <w:tc>
          <w:tcPr>
            <w:tcW w:w="852" w:type="dxa"/>
            <w:vMerge/>
            <w:shd w:val="clear" w:color="auto" w:fill="auto"/>
            <w:tcMar>
              <w:left w:w="57" w:type="dxa"/>
              <w:right w:w="57" w:type="dxa"/>
            </w:tcMar>
          </w:tcPr>
          <w:p w:rsidR="00DB4114" w:rsidRPr="00DB4114" w:rsidRDefault="00DB4114" w:rsidP="00DB4114">
            <w:pPr>
              <w:widowControl/>
              <w:jc w:val="center"/>
              <w:rPr>
                <w:rFonts w:eastAsia="Calibri"/>
                <w:lang w:eastAsia="en-US"/>
              </w:rPr>
            </w:pPr>
          </w:p>
        </w:tc>
        <w:tc>
          <w:tcPr>
            <w:tcW w:w="5421" w:type="dxa"/>
            <w:vMerge/>
            <w:shd w:val="clear" w:color="auto" w:fill="auto"/>
          </w:tcPr>
          <w:p w:rsidR="00DB4114" w:rsidRPr="00DB4114" w:rsidRDefault="00DB4114" w:rsidP="00DB4114">
            <w:pPr>
              <w:widowControl/>
              <w:jc w:val="center"/>
              <w:rPr>
                <w:rFonts w:eastAsia="Calibri"/>
                <w:lang w:eastAsia="en-US"/>
              </w:rPr>
            </w:pPr>
          </w:p>
        </w:tc>
        <w:tc>
          <w:tcPr>
            <w:tcW w:w="1136" w:type="dxa"/>
            <w:vMerge/>
            <w:shd w:val="clear" w:color="auto" w:fill="auto"/>
            <w:tcMar>
              <w:left w:w="57" w:type="dxa"/>
              <w:right w:w="57" w:type="dxa"/>
            </w:tcMar>
          </w:tcPr>
          <w:p w:rsidR="00DB4114" w:rsidRPr="00DB4114" w:rsidRDefault="00DB4114" w:rsidP="00DB4114">
            <w:pPr>
              <w:widowControl/>
              <w:jc w:val="center"/>
              <w:rPr>
                <w:rFonts w:eastAsia="Calibri"/>
                <w:lang w:eastAsia="en-US"/>
              </w:rPr>
            </w:pPr>
          </w:p>
        </w:tc>
        <w:tc>
          <w:tcPr>
            <w:tcW w:w="711"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ВН1</w:t>
            </w:r>
          </w:p>
        </w:tc>
        <w:tc>
          <w:tcPr>
            <w:tcW w:w="833"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ВН</w:t>
            </w:r>
          </w:p>
        </w:tc>
        <w:tc>
          <w:tcPr>
            <w:tcW w:w="846"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СН1</w:t>
            </w:r>
          </w:p>
        </w:tc>
        <w:tc>
          <w:tcPr>
            <w:tcW w:w="849"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СН2</w:t>
            </w:r>
          </w:p>
        </w:tc>
        <w:tc>
          <w:tcPr>
            <w:tcW w:w="843"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НН</w:t>
            </w:r>
          </w:p>
        </w:tc>
        <w:tc>
          <w:tcPr>
            <w:tcW w:w="712"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ВН1</w:t>
            </w:r>
          </w:p>
        </w:tc>
        <w:tc>
          <w:tcPr>
            <w:tcW w:w="908"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ВН</w:t>
            </w:r>
          </w:p>
        </w:tc>
        <w:tc>
          <w:tcPr>
            <w:tcW w:w="847"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СН1</w:t>
            </w:r>
          </w:p>
        </w:tc>
        <w:tc>
          <w:tcPr>
            <w:tcW w:w="847" w:type="dxa"/>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СН2</w:t>
            </w:r>
          </w:p>
        </w:tc>
        <w:tc>
          <w:tcPr>
            <w:tcW w:w="858" w:type="dxa"/>
            <w:tcBorders>
              <w:right w:val="single" w:sz="4" w:space="0" w:color="auto"/>
            </w:tcBorders>
            <w:shd w:val="clear" w:color="auto" w:fill="auto"/>
            <w:tcMar>
              <w:left w:w="57" w:type="dxa"/>
              <w:right w:w="57" w:type="dxa"/>
            </w:tcMar>
            <w:vAlign w:val="center"/>
          </w:tcPr>
          <w:p w:rsidR="00DB4114" w:rsidRPr="00DB4114" w:rsidRDefault="00DB4114" w:rsidP="00DB4114">
            <w:pPr>
              <w:widowControl/>
              <w:jc w:val="center"/>
              <w:rPr>
                <w:rFonts w:eastAsia="Calibri"/>
                <w:lang w:eastAsia="en-US"/>
              </w:rPr>
            </w:pPr>
            <w:r w:rsidRPr="00DB4114">
              <w:rPr>
                <w:rFonts w:eastAsia="Calibri"/>
                <w:lang w:eastAsia="en-US"/>
              </w:rPr>
              <w:t>НН</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w:t>
            </w:r>
          </w:p>
        </w:tc>
        <w:tc>
          <w:tcPr>
            <w:tcW w:w="5421"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2</w:t>
            </w:r>
          </w:p>
        </w:tc>
        <w:tc>
          <w:tcPr>
            <w:tcW w:w="1136"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3</w:t>
            </w:r>
          </w:p>
        </w:tc>
        <w:tc>
          <w:tcPr>
            <w:tcW w:w="711"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4</w:t>
            </w:r>
          </w:p>
        </w:tc>
        <w:tc>
          <w:tcPr>
            <w:tcW w:w="833"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5</w:t>
            </w:r>
          </w:p>
        </w:tc>
        <w:tc>
          <w:tcPr>
            <w:tcW w:w="846"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6</w:t>
            </w:r>
          </w:p>
        </w:tc>
        <w:tc>
          <w:tcPr>
            <w:tcW w:w="849"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7</w:t>
            </w:r>
          </w:p>
        </w:tc>
        <w:tc>
          <w:tcPr>
            <w:tcW w:w="843"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8</w:t>
            </w:r>
          </w:p>
        </w:tc>
        <w:tc>
          <w:tcPr>
            <w:tcW w:w="712"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9</w:t>
            </w:r>
          </w:p>
        </w:tc>
        <w:tc>
          <w:tcPr>
            <w:tcW w:w="908"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10</w:t>
            </w:r>
          </w:p>
        </w:tc>
        <w:tc>
          <w:tcPr>
            <w:tcW w:w="847"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11</w:t>
            </w:r>
          </w:p>
        </w:tc>
        <w:tc>
          <w:tcPr>
            <w:tcW w:w="847"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12</w:t>
            </w:r>
          </w:p>
        </w:tc>
        <w:tc>
          <w:tcPr>
            <w:tcW w:w="858" w:type="dxa"/>
            <w:tcBorders>
              <w:right w:val="single" w:sz="4" w:space="0" w:color="auto"/>
            </w:tcBorders>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13</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том числе:</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307,4061</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86,3169</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334,4755</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666,1620</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324,5738</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88,9180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328,8467</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613,6248</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0,7467</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0,5402</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23,3986</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496,2550</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0,5488</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0,5434</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22,5694</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450,5320</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1.1.1.</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и приравненным к нему категориям потребителей, за исключением указанного в строках 1.1.2–1.1.8:</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lastRenderedPageBreak/>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0,0539</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0,0195</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9,0418</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303,4744</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0,0654</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0,0109</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8,4611</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301,0643</w:t>
            </w:r>
          </w:p>
        </w:tc>
      </w:tr>
      <w:tr w:rsidR="00DB4114" w:rsidRPr="00DB4114" w:rsidTr="00356FFC">
        <w:trPr>
          <w:gridAfter w:val="1"/>
          <w:wAfter w:w="238" w:type="dxa"/>
          <w:trHeight w:val="2318"/>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1.1.2.</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0,0397</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2,3322</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0,0372</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2,0849</w:t>
            </w:r>
          </w:p>
        </w:tc>
      </w:tr>
      <w:tr w:rsidR="00DB4114" w:rsidRPr="00DB4114" w:rsidTr="00356FFC">
        <w:trPr>
          <w:gridAfter w:val="1"/>
          <w:wAfter w:w="238" w:type="dxa"/>
          <w:trHeight w:val="164"/>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1.1.3.</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w:t>
            </w:r>
            <w:r w:rsidRPr="00DB4114">
              <w:rPr>
                <w:rFonts w:eastAsia="Calibri"/>
                <w:lang w:eastAsia="en-US"/>
              </w:rPr>
              <w:lastRenderedPageBreak/>
              <w:t xml:space="preserve">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5,5476</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30,1688</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5,0959</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28,7188</w:t>
            </w:r>
          </w:p>
        </w:tc>
      </w:tr>
      <w:tr w:rsidR="00DB4114" w:rsidRPr="00DB4114" w:rsidTr="00356FFC">
        <w:trPr>
          <w:gridAfter w:val="1"/>
          <w:wAfter w:w="238" w:type="dxa"/>
          <w:trHeight w:val="164"/>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1.1.4.</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DB4114">
              <w:rPr>
                <w:rFonts w:eastAsia="Calibri"/>
                <w:lang w:eastAsia="en-US"/>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0,0228</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0,0041</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1.1.5.</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w:t>
            </w:r>
            <w:r w:rsidRPr="00DB4114">
              <w:rPr>
                <w:rFonts w:eastAsia="Calibri"/>
                <w:lang w:eastAsia="en-US"/>
              </w:rPr>
              <w:lastRenderedPageBreak/>
              <w:t>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0,0024</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0,1954</w:t>
            </w:r>
          </w:p>
        </w:tc>
        <w:tc>
          <w:tcPr>
            <w:tcW w:w="712" w:type="dxa"/>
            <w:shd w:val="clear" w:color="auto" w:fill="auto"/>
            <w:vAlign w:val="center"/>
          </w:tcPr>
          <w:p w:rsidR="00DB4114" w:rsidRPr="00DB4114" w:rsidRDefault="00DB4114" w:rsidP="00DB4114">
            <w:pPr>
              <w:widowControl/>
              <w:suppressAutoHyphens/>
              <w:jc w:val="center"/>
              <w:rPr>
                <w:rFonts w:eastAsia="Calibri"/>
                <w:sz w:val="16"/>
                <w:szCs w:val="16"/>
                <w:lang w:eastAsia="en-US"/>
              </w:rPr>
            </w:pPr>
            <w:r w:rsidRPr="00DB4114">
              <w:rPr>
                <w:rFonts w:eastAsia="Calibri"/>
                <w:sz w:val="16"/>
                <w:szCs w:val="16"/>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0,0022</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0,0916</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1.1.6.</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0,0129</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0,0005</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0,6252</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0,0053</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0,0005</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0,5062</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1.1.7.</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w:t>
            </w:r>
            <w:r w:rsidRPr="00DB4114">
              <w:rPr>
                <w:rFonts w:eastAsia="Calibri"/>
                <w:lang w:eastAsia="en-US"/>
              </w:rPr>
              <w:lastRenderedPageBreak/>
              <w:t xml:space="preserve">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6,8739</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2,5362</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1.1.8.</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1.1.5–1.1.7:</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w:t>
            </w:r>
            <w:r w:rsidRPr="00DB4114">
              <w:rPr>
                <w:rFonts w:eastAsia="Calibri"/>
                <w:lang w:eastAsia="en-US"/>
              </w:rPr>
              <w:lastRenderedPageBreak/>
              <w:t>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0,4184</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0,2503</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1,8260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145,1264</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0,2327</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0,2380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1,4999</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107,7376</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1.1.9.</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0,2614</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0,2704</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6,9405</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7,4359</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0,2453</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0,2944</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7,4727</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7,7883</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1.1.9.1.</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наймодателей (или уполномоченных ими лиц), </w:t>
            </w:r>
            <w:r w:rsidRPr="00DB4114">
              <w:rPr>
                <w:rFonts w:eastAsia="Calibri"/>
                <w:lang w:eastAsia="en-US"/>
              </w:rPr>
              <w:lastRenderedPageBreak/>
              <w:t>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2,1264</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1,9533</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1.1.9.2.</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0,0040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0,0008</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4,2860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1,9205</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0,0036</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0,0043</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5,1893</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3,4039</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1.1.9.3.</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0,2523</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0,2696</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0,2400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0,5008</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0,2312</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0,2901</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0,2300</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0,3749</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1.1.9.4.</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1.1.9.5.</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Содержащимся за счет прихожан религиозным организациям.</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1,4170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1,5591</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1,1594</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0,9841</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1.1.9.6.</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0,0051</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0,9975</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1,3291</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0,0105</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0,0000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0,8940</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1,0720</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1.2.1.</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и приравненным к нему категориям потребителей, за исключением указанного в строках 1.2.2–</w:t>
            </w:r>
            <w:r w:rsidRPr="00DB4114">
              <w:rPr>
                <w:rFonts w:eastAsia="Calibri"/>
                <w:lang w:eastAsia="en-US"/>
              </w:rPr>
              <w:lastRenderedPageBreak/>
              <w:t>1.2.8:</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Height w:val="164"/>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1.2.2.</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городских населенных пунктах в домах, оборудованных стационарными электроплитами и электроотопительными установками,</w:t>
            </w:r>
            <w:r w:rsidRPr="00DB4114">
              <w:rPr>
                <w:rFonts w:eastAsia="Calibri"/>
                <w:lang w:eastAsia="en-US"/>
              </w:rPr>
              <w:br/>
              <w:t>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w:t>
            </w:r>
            <w:r w:rsidRPr="00DB4114">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Height w:val="164"/>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1.2.3.</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w:t>
            </w:r>
            <w:r w:rsidRPr="00DB4114">
              <w:rPr>
                <w:rFonts w:eastAsia="Calibri"/>
                <w:lang w:eastAsia="en-US"/>
              </w:rPr>
              <w:lastRenderedPageBreak/>
              <w:t>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Height w:val="164"/>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1.2.4.</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1.2.5.</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в домах, оборудованных стационарными электроплитами и электроотопительными установками,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lastRenderedPageBreak/>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1.2.6.</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w:t>
            </w:r>
            <w:r w:rsidRPr="00DB4114">
              <w:rPr>
                <w:rFonts w:eastAsia="Calibri"/>
                <w:lang w:eastAsia="en-US"/>
              </w:rPr>
              <w:lastRenderedPageBreak/>
              <w:t>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1.2.7.</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DB4114" w:rsidRPr="00DB4114" w:rsidRDefault="00DB4114" w:rsidP="00DB4114">
            <w:pPr>
              <w:widowControl/>
              <w:jc w:val="both"/>
              <w:rPr>
                <w:rFonts w:eastAsia="Calibri"/>
                <w:lang w:eastAsia="en-US"/>
              </w:rPr>
            </w:pPr>
            <w:r w:rsidRPr="00DB4114">
              <w:rPr>
                <w:rFonts w:eastAsia="Calibri"/>
                <w:lang w:eastAsia="en-US"/>
              </w:rPr>
              <w:t xml:space="preserve">  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jc w:val="both"/>
              <w:rPr>
                <w:rFonts w:eastAsia="Calibri"/>
                <w:lang w:eastAsia="en-US"/>
              </w:rPr>
            </w:pPr>
            <w:r w:rsidRPr="00DB4114">
              <w:rPr>
                <w:rFonts w:eastAsia="Calibri"/>
                <w:lang w:eastAsia="en-US"/>
              </w:rPr>
              <w:t xml:space="preserve">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jc w:val="both"/>
              <w:rPr>
                <w:rFonts w:eastAsia="Calibri"/>
                <w:lang w:eastAsia="en-US"/>
              </w:rPr>
            </w:pPr>
            <w:r w:rsidRPr="00DB4114">
              <w:rPr>
                <w:rFonts w:eastAsia="Calibri"/>
                <w:lang w:eastAsia="en-US"/>
              </w:rPr>
              <w:lastRenderedPageBreak/>
              <w:t xml:space="preserve">  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1.2.8.</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Населению, проживающему в сельских населенных пунктах, и приравненным к нему, за исключением населения и потребителей, указанных в строках 1.2.5–1.2.7:</w:t>
            </w:r>
          </w:p>
          <w:p w:rsidR="00DB4114" w:rsidRPr="00DB4114" w:rsidRDefault="00DB4114" w:rsidP="00DB4114">
            <w:pPr>
              <w:widowControl/>
              <w:ind w:firstLine="103"/>
              <w:jc w:val="both"/>
              <w:rPr>
                <w:rFonts w:eastAsia="Calibri"/>
                <w:lang w:eastAsia="en-US"/>
              </w:rPr>
            </w:pPr>
            <w:r w:rsidRPr="00DB4114">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ind w:firstLine="103"/>
              <w:jc w:val="both"/>
              <w:rPr>
                <w:rFonts w:eastAsia="Calibri"/>
                <w:lang w:eastAsia="en-US"/>
              </w:rPr>
            </w:pPr>
            <w:r w:rsidRPr="00DB4114">
              <w:rPr>
                <w:rFonts w:eastAsia="Calibri"/>
                <w:lang w:eastAsia="en-US"/>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ind w:firstLine="103"/>
              <w:jc w:val="both"/>
              <w:rPr>
                <w:rFonts w:eastAsia="Calibri"/>
                <w:lang w:eastAsia="en-US"/>
              </w:rPr>
            </w:pPr>
            <w:r w:rsidRPr="00DB4114">
              <w:rPr>
                <w:rFonts w:eastAsia="Calibri"/>
                <w:lang w:eastAsia="en-US"/>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1.2.9.</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Приравненным к населению категориям потребителей, за исключением указанных в пункте 71(1) Основ ценообразования:</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1.2.9.1.</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r w:rsidRPr="00DB4114">
              <w:rPr>
                <w:rFonts w:eastAsia="Calibri"/>
                <w:lang w:eastAsia="en-US"/>
              </w:rPr>
              <w:lastRenderedPageBreak/>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DB4114" w:rsidRPr="00DB4114" w:rsidRDefault="00DB4114" w:rsidP="00DB4114">
            <w:pPr>
              <w:widowControl/>
              <w:ind w:firstLine="103"/>
              <w:jc w:val="both"/>
              <w:rPr>
                <w:rFonts w:eastAsia="Calibri"/>
                <w:lang w:eastAsia="en-US"/>
              </w:rPr>
            </w:pPr>
            <w:r w:rsidRPr="00DB4114">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ind w:firstLine="103"/>
              <w:jc w:val="both"/>
              <w:rPr>
                <w:rFonts w:eastAsia="Calibri"/>
                <w:lang w:eastAsia="en-US"/>
              </w:rPr>
            </w:pPr>
            <w:r w:rsidRPr="00DB4114">
              <w:rPr>
                <w:rFonts w:eastAsia="Calibri"/>
                <w:lang w:eastAsia="en-US"/>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1.2.9.2.</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Садоводческим некоммерческим товариществам и огородническим некоммерческим товариществам.</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1.2.9.3.</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 xml:space="preserve">Юридическим лицам, приобретающим электрическую энергию (мощность) в целях потребления осужденными в помещениях для их содержания при условии наличия </w:t>
            </w:r>
            <w:r w:rsidRPr="00DB4114">
              <w:rPr>
                <w:rFonts w:eastAsia="Calibri"/>
                <w:lang w:eastAsia="en-US"/>
              </w:rPr>
              <w:lastRenderedPageBreak/>
              <w:t>раздельного учета электрической энергии для указанных помещений.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lastRenderedPageBreak/>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lastRenderedPageBreak/>
              <w:t>1.2.9.4.</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1.2.9.5.</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Содержащимся за счет прихожан религиозным организациям.</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Mar>
              <w:left w:w="57" w:type="dxa"/>
              <w:right w:w="57" w:type="dxa"/>
            </w:tcMar>
          </w:tcPr>
          <w:p w:rsidR="00DB4114" w:rsidRPr="00DB4114" w:rsidRDefault="00DB4114" w:rsidP="00DB4114">
            <w:pPr>
              <w:widowControl/>
              <w:jc w:val="center"/>
              <w:rPr>
                <w:rFonts w:eastAsia="Calibri"/>
                <w:lang w:eastAsia="en-US"/>
              </w:rPr>
            </w:pPr>
            <w:r w:rsidRPr="00DB4114">
              <w:rPr>
                <w:rFonts w:eastAsia="Calibri"/>
                <w:lang w:eastAsia="en-US"/>
              </w:rPr>
              <w:t>1.2.9.6.</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rPr>
          <w:gridAfter w:val="1"/>
          <w:wAfter w:w="238" w:type="dxa"/>
        </w:trPr>
        <w:tc>
          <w:tcPr>
            <w:tcW w:w="852"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1.3.</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млн кВт·ч</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306,6595</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85,7767</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311,0769</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169,9070</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324,0250</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88,3746</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306,2773</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163,0928</w:t>
            </w:r>
          </w:p>
        </w:tc>
      </w:tr>
      <w:tr w:rsidR="00DB4114" w:rsidRPr="00DB4114" w:rsidTr="00356FFC">
        <w:trPr>
          <w:gridAfter w:val="1"/>
          <w:wAfter w:w="238" w:type="dxa"/>
        </w:trPr>
        <w:tc>
          <w:tcPr>
            <w:tcW w:w="852"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2.</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том числе:</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МВт</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93,7172</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26,6645</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120,8238</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247,8611</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98,3807</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27,4677</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119,4145</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228,8055</w:t>
            </w:r>
          </w:p>
        </w:tc>
      </w:tr>
      <w:tr w:rsidR="00DB4114" w:rsidRPr="00DB4114" w:rsidTr="00356FFC">
        <w:trPr>
          <w:gridAfter w:val="1"/>
          <w:wAfter w:w="238" w:type="dxa"/>
        </w:trPr>
        <w:tc>
          <w:tcPr>
            <w:tcW w:w="852"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2.1.</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Населения и приравненных к нему категорий потребителей (в пределах социальной нормы потребления электроэнергии (мощности)</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МВт</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0,2484</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0,1797</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7,7840</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165,0884</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0,1826</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0,1808</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7,5081</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149,8777</w:t>
            </w:r>
          </w:p>
        </w:tc>
      </w:tr>
      <w:tr w:rsidR="00DB4114" w:rsidRPr="00DB4114" w:rsidTr="00356FFC">
        <w:trPr>
          <w:gridAfter w:val="1"/>
          <w:wAfter w:w="238" w:type="dxa"/>
        </w:trPr>
        <w:tc>
          <w:tcPr>
            <w:tcW w:w="852"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2.2.</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Населения и приравненных к нему категорий потребителей (сверх социальной нормы потребления электроэнергии (мощности)</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МВт</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6"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9"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3"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47"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58" w:type="dxa"/>
            <w:tcBorders>
              <w:right w:val="single" w:sz="4" w:space="0" w:color="auto"/>
            </w:tcBorders>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r>
      <w:tr w:rsidR="00DB4114" w:rsidRPr="00DB4114" w:rsidTr="00356FFC">
        <w:tc>
          <w:tcPr>
            <w:tcW w:w="852" w:type="dxa"/>
            <w:shd w:val="clear" w:color="auto" w:fill="auto"/>
          </w:tcPr>
          <w:p w:rsidR="00DB4114" w:rsidRPr="00DB4114" w:rsidRDefault="00DB4114" w:rsidP="00DB4114">
            <w:pPr>
              <w:widowControl/>
              <w:jc w:val="center"/>
              <w:rPr>
                <w:rFonts w:eastAsia="Calibri"/>
                <w:lang w:eastAsia="en-US"/>
              </w:rPr>
            </w:pPr>
            <w:r w:rsidRPr="00DB4114">
              <w:rPr>
                <w:rFonts w:eastAsia="Calibri"/>
                <w:lang w:eastAsia="en-US"/>
              </w:rPr>
              <w:t>2.3.</w:t>
            </w:r>
          </w:p>
        </w:tc>
        <w:tc>
          <w:tcPr>
            <w:tcW w:w="5421" w:type="dxa"/>
            <w:shd w:val="clear" w:color="auto" w:fill="auto"/>
          </w:tcPr>
          <w:p w:rsidR="00DB4114" w:rsidRPr="00DB4114" w:rsidRDefault="00DB4114" w:rsidP="00DB4114">
            <w:pPr>
              <w:widowControl/>
              <w:jc w:val="both"/>
              <w:rPr>
                <w:rFonts w:eastAsia="Calibri"/>
                <w:lang w:eastAsia="en-US"/>
              </w:rPr>
            </w:pPr>
            <w:r w:rsidRPr="00DB4114">
              <w:rPr>
                <w:rFonts w:eastAsia="Calibri"/>
                <w:lang w:eastAsia="en-US"/>
              </w:rPr>
              <w:t>Величина заявленной мощности потребителей, не относящихся к населению и приравненным к нему категориям потребителей</w:t>
            </w:r>
          </w:p>
        </w:tc>
        <w:tc>
          <w:tcPr>
            <w:tcW w:w="1136" w:type="dxa"/>
            <w:shd w:val="clear" w:color="auto" w:fill="auto"/>
            <w:vAlign w:val="center"/>
          </w:tcPr>
          <w:p w:rsidR="00DB4114" w:rsidRPr="00DB4114" w:rsidRDefault="00DB4114" w:rsidP="00DB4114">
            <w:pPr>
              <w:widowControl/>
              <w:jc w:val="center"/>
              <w:rPr>
                <w:rFonts w:eastAsia="Calibri"/>
                <w:lang w:eastAsia="en-US"/>
              </w:rPr>
            </w:pPr>
            <w:r w:rsidRPr="00DB4114">
              <w:rPr>
                <w:rFonts w:eastAsia="Calibri"/>
                <w:lang w:eastAsia="en-US"/>
              </w:rPr>
              <w:t>МВт</w:t>
            </w:r>
          </w:p>
        </w:tc>
        <w:tc>
          <w:tcPr>
            <w:tcW w:w="711"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83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93,4688</w:t>
            </w:r>
          </w:p>
        </w:tc>
        <w:tc>
          <w:tcPr>
            <w:tcW w:w="846"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26,4848</w:t>
            </w:r>
          </w:p>
        </w:tc>
        <w:tc>
          <w:tcPr>
            <w:tcW w:w="849"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113,0398</w:t>
            </w:r>
          </w:p>
        </w:tc>
        <w:tc>
          <w:tcPr>
            <w:tcW w:w="843"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82,7726</w:t>
            </w:r>
          </w:p>
        </w:tc>
        <w:tc>
          <w:tcPr>
            <w:tcW w:w="712" w:type="dxa"/>
            <w:shd w:val="clear" w:color="auto" w:fill="auto"/>
            <w:vAlign w:val="center"/>
          </w:tcPr>
          <w:p w:rsidR="00DB4114" w:rsidRPr="00DB4114" w:rsidRDefault="00DB4114" w:rsidP="00DB4114">
            <w:pPr>
              <w:widowControl/>
              <w:suppressAutoHyphens/>
              <w:jc w:val="center"/>
              <w:rPr>
                <w:rFonts w:eastAsia="Calibri"/>
                <w:lang w:eastAsia="en-US"/>
              </w:rPr>
            </w:pPr>
            <w:r w:rsidRPr="00DB4114">
              <w:rPr>
                <w:rFonts w:eastAsia="Calibri"/>
                <w:lang w:eastAsia="en-US"/>
              </w:rPr>
              <w:t>х</w:t>
            </w:r>
          </w:p>
        </w:tc>
        <w:tc>
          <w:tcPr>
            <w:tcW w:w="908"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98,1981</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27,2869</w:t>
            </w:r>
          </w:p>
        </w:tc>
        <w:tc>
          <w:tcPr>
            <w:tcW w:w="847" w:type="dxa"/>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111,9064</w:t>
            </w:r>
          </w:p>
        </w:tc>
        <w:tc>
          <w:tcPr>
            <w:tcW w:w="858" w:type="dxa"/>
            <w:tcBorders>
              <w:right w:val="single" w:sz="4" w:space="0" w:color="auto"/>
            </w:tcBorders>
            <w:shd w:val="clear" w:color="auto" w:fill="auto"/>
            <w:vAlign w:val="center"/>
          </w:tcPr>
          <w:p w:rsidR="00DB4114" w:rsidRPr="00DB4114" w:rsidRDefault="00DB4114" w:rsidP="00DB4114">
            <w:pPr>
              <w:suppressAutoHyphens/>
              <w:jc w:val="right"/>
              <w:rPr>
                <w:sz w:val="16"/>
                <w:szCs w:val="16"/>
                <w:lang w:eastAsia="zh-CN"/>
              </w:rPr>
            </w:pPr>
            <w:r w:rsidRPr="00DB4114">
              <w:rPr>
                <w:sz w:val="16"/>
                <w:szCs w:val="16"/>
                <w:lang w:eastAsia="zh-CN"/>
              </w:rPr>
              <w:t>78,9278</w:t>
            </w:r>
          </w:p>
        </w:tc>
        <w:tc>
          <w:tcPr>
            <w:tcW w:w="238" w:type="dxa"/>
            <w:tcBorders>
              <w:top w:val="nil"/>
              <w:left w:val="single" w:sz="4" w:space="0" w:color="auto"/>
              <w:bottom w:val="nil"/>
              <w:right w:val="nil"/>
            </w:tcBorders>
            <w:shd w:val="clear" w:color="auto" w:fill="auto"/>
          </w:tcPr>
          <w:p w:rsidR="00DB4114" w:rsidRPr="00DB4114" w:rsidRDefault="00DB4114" w:rsidP="00DB4114">
            <w:pPr>
              <w:widowControl/>
              <w:rPr>
                <w:rFonts w:eastAsia="Calibri"/>
                <w:lang w:eastAsia="en-US"/>
              </w:rPr>
            </w:pPr>
          </w:p>
        </w:tc>
      </w:tr>
    </w:tbl>
    <w:p w:rsidR="00DB4114" w:rsidRPr="00DB4114" w:rsidRDefault="00DB4114" w:rsidP="00DB4114">
      <w:pPr>
        <w:widowControl/>
        <w:spacing w:after="160" w:line="259" w:lineRule="auto"/>
        <w:jc w:val="center"/>
        <w:rPr>
          <w:rFonts w:eastAsia="Calibri"/>
          <w:sz w:val="24"/>
          <w:szCs w:val="24"/>
          <w:lang w:eastAsia="en-US"/>
        </w:rPr>
      </w:pPr>
    </w:p>
    <w:p w:rsidR="00DB4114" w:rsidRPr="00DB4114" w:rsidRDefault="00DB4114" w:rsidP="00DB4114">
      <w:pPr>
        <w:autoSpaceDE w:val="0"/>
        <w:autoSpaceDN w:val="0"/>
        <w:outlineLvl w:val="1"/>
      </w:pPr>
    </w:p>
    <w:p w:rsidR="00DB4114" w:rsidRPr="00DB4114" w:rsidRDefault="00DB4114" w:rsidP="00DB4114">
      <w:pPr>
        <w:autoSpaceDE w:val="0"/>
        <w:autoSpaceDN w:val="0"/>
        <w:outlineLvl w:val="1"/>
      </w:pPr>
    </w:p>
    <w:p w:rsidR="00DB4114" w:rsidRPr="00DB4114" w:rsidRDefault="00DB4114" w:rsidP="00DB4114">
      <w:pPr>
        <w:autoSpaceDE w:val="0"/>
        <w:autoSpaceDN w:val="0"/>
        <w:outlineLvl w:val="1"/>
      </w:pPr>
    </w:p>
    <w:p w:rsidR="00DB4114" w:rsidRPr="00DB4114" w:rsidRDefault="00DB4114" w:rsidP="00DB4114">
      <w:pPr>
        <w:autoSpaceDE w:val="0"/>
        <w:autoSpaceDN w:val="0"/>
        <w:outlineLvl w:val="1"/>
        <w:rPr>
          <w:sz w:val="28"/>
          <w:szCs w:val="28"/>
        </w:rPr>
        <w:sectPr w:rsidR="00DB4114" w:rsidRPr="00DB4114" w:rsidSect="00356FFC">
          <w:pgSz w:w="16838" w:h="11906" w:orient="landscape"/>
          <w:pgMar w:top="567" w:right="567" w:bottom="567" w:left="1134" w:header="720" w:footer="720" w:gutter="0"/>
          <w:cols w:space="720"/>
          <w:docGrid w:linePitch="360"/>
        </w:sectPr>
      </w:pPr>
    </w:p>
    <w:p w:rsidR="00DB4114" w:rsidRPr="00DB4114" w:rsidRDefault="00DB4114" w:rsidP="00DB4114">
      <w:pPr>
        <w:autoSpaceDE w:val="0"/>
        <w:autoSpaceDN w:val="0"/>
        <w:jc w:val="right"/>
        <w:outlineLvl w:val="1"/>
        <w:rPr>
          <w:sz w:val="24"/>
          <w:szCs w:val="24"/>
        </w:rPr>
      </w:pPr>
      <w:r>
        <w:rPr>
          <w:sz w:val="24"/>
          <w:szCs w:val="24"/>
        </w:rPr>
        <w:lastRenderedPageBreak/>
        <w:t>Таблица</w:t>
      </w:r>
      <w:r w:rsidRPr="00DB4114">
        <w:rPr>
          <w:sz w:val="24"/>
          <w:szCs w:val="24"/>
        </w:rPr>
        <w:t xml:space="preserve"> 2</w:t>
      </w:r>
    </w:p>
    <w:p w:rsidR="00DB4114" w:rsidRPr="00DB4114" w:rsidRDefault="00DB4114" w:rsidP="00DB4114">
      <w:pPr>
        <w:autoSpaceDE w:val="0"/>
        <w:autoSpaceDN w:val="0"/>
        <w:jc w:val="right"/>
        <w:rPr>
          <w:sz w:val="24"/>
          <w:szCs w:val="24"/>
        </w:rPr>
      </w:pPr>
    </w:p>
    <w:p w:rsidR="00DB4114" w:rsidRPr="00DB4114" w:rsidRDefault="00DB4114" w:rsidP="00DB4114">
      <w:pPr>
        <w:autoSpaceDE w:val="0"/>
        <w:autoSpaceDN w:val="0"/>
        <w:jc w:val="center"/>
        <w:rPr>
          <w:sz w:val="24"/>
          <w:szCs w:val="24"/>
        </w:rPr>
      </w:pPr>
      <w:r w:rsidRPr="00DB4114">
        <w:rPr>
          <w:sz w:val="24"/>
          <w:szCs w:val="24"/>
        </w:rPr>
        <w:t>Единые (котловые) тарифы на услуги по передаче электрической энергии по сетям Ивановской области, поставляемой населению и приравненным к нему категориям потребителей, на 2025 год</w:t>
      </w:r>
    </w:p>
    <w:p w:rsidR="00DB4114" w:rsidRPr="00DB4114" w:rsidRDefault="00DB4114" w:rsidP="00DB4114">
      <w:pPr>
        <w:autoSpaceDE w:val="0"/>
        <w:autoSpaceDN w:val="0"/>
        <w:jc w:val="center"/>
        <w:rPr>
          <w:sz w:val="24"/>
          <w:szCs w:val="24"/>
          <w:vertAlign w:val="superscript"/>
        </w:rPr>
      </w:pPr>
    </w:p>
    <w:tbl>
      <w:tblPr>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2"/>
        <w:gridCol w:w="4845"/>
        <w:gridCol w:w="1441"/>
        <w:gridCol w:w="1301"/>
        <w:gridCol w:w="1276"/>
        <w:gridCol w:w="1275"/>
        <w:gridCol w:w="1392"/>
        <w:gridCol w:w="1392"/>
        <w:gridCol w:w="1393"/>
        <w:gridCol w:w="508"/>
      </w:tblGrid>
      <w:tr w:rsidR="00DB4114" w:rsidRPr="00DB4114" w:rsidTr="00356FFC">
        <w:trPr>
          <w:gridAfter w:val="1"/>
          <w:wAfter w:w="508" w:type="dxa"/>
        </w:trPr>
        <w:tc>
          <w:tcPr>
            <w:tcW w:w="981" w:type="dxa"/>
            <w:vMerge w:val="restart"/>
            <w:vAlign w:val="center"/>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 xml:space="preserve">№ </w:t>
            </w:r>
          </w:p>
        </w:tc>
        <w:tc>
          <w:tcPr>
            <w:tcW w:w="4845" w:type="dxa"/>
            <w:vMerge w:val="restart"/>
            <w:vAlign w:val="center"/>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Тарифные группы потребителей электрической энергии (мощности)</w:t>
            </w:r>
          </w:p>
        </w:tc>
        <w:tc>
          <w:tcPr>
            <w:tcW w:w="1441" w:type="dxa"/>
            <w:vMerge w:val="restart"/>
            <w:vAlign w:val="center"/>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Единица измерения</w:t>
            </w:r>
          </w:p>
        </w:tc>
        <w:tc>
          <w:tcPr>
            <w:tcW w:w="3852" w:type="dxa"/>
            <w:gridSpan w:val="3"/>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val="en-US" w:eastAsia="en-US"/>
              </w:rPr>
              <w:t>I</w:t>
            </w:r>
            <w:r w:rsidRPr="00DB4114">
              <w:rPr>
                <w:rFonts w:eastAsia="Calibri"/>
                <w:lang w:eastAsia="en-US"/>
              </w:rPr>
              <w:t xml:space="preserve"> полугодие</w:t>
            </w:r>
          </w:p>
        </w:tc>
        <w:tc>
          <w:tcPr>
            <w:tcW w:w="4177" w:type="dxa"/>
            <w:gridSpan w:val="3"/>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val="en-US" w:eastAsia="en-US"/>
              </w:rPr>
              <w:t>II</w:t>
            </w:r>
            <w:r w:rsidRPr="00DB4114">
              <w:rPr>
                <w:rFonts w:eastAsia="Calibri"/>
                <w:lang w:eastAsia="en-US"/>
              </w:rPr>
              <w:t xml:space="preserve"> полугодие</w:t>
            </w:r>
          </w:p>
        </w:tc>
      </w:tr>
      <w:tr w:rsidR="00DB4114" w:rsidRPr="00DB4114" w:rsidTr="00356FFC">
        <w:trPr>
          <w:gridAfter w:val="1"/>
          <w:wAfter w:w="508" w:type="dxa"/>
        </w:trPr>
        <w:tc>
          <w:tcPr>
            <w:tcW w:w="981" w:type="dxa"/>
            <w:vMerge/>
          </w:tcPr>
          <w:p w:rsidR="00DB4114" w:rsidRPr="00DB4114" w:rsidRDefault="00DB4114" w:rsidP="00DB4114">
            <w:pPr>
              <w:widowControl/>
              <w:autoSpaceDE w:val="0"/>
              <w:autoSpaceDN w:val="0"/>
              <w:adjustRightInd w:val="0"/>
              <w:jc w:val="center"/>
              <w:rPr>
                <w:rFonts w:eastAsia="Calibri"/>
                <w:lang w:eastAsia="en-US"/>
              </w:rPr>
            </w:pPr>
          </w:p>
        </w:tc>
        <w:tc>
          <w:tcPr>
            <w:tcW w:w="4845" w:type="dxa"/>
            <w:vMerge/>
          </w:tcPr>
          <w:p w:rsidR="00DB4114" w:rsidRPr="00DB4114" w:rsidRDefault="00DB4114" w:rsidP="00DB4114">
            <w:pPr>
              <w:widowControl/>
              <w:autoSpaceDE w:val="0"/>
              <w:autoSpaceDN w:val="0"/>
              <w:adjustRightInd w:val="0"/>
              <w:jc w:val="center"/>
              <w:rPr>
                <w:rFonts w:eastAsia="Calibri"/>
                <w:lang w:eastAsia="en-US"/>
              </w:rPr>
            </w:pPr>
          </w:p>
        </w:tc>
        <w:tc>
          <w:tcPr>
            <w:tcW w:w="1441" w:type="dxa"/>
            <w:vMerge/>
          </w:tcPr>
          <w:p w:rsidR="00DB4114" w:rsidRPr="00DB4114" w:rsidRDefault="00DB4114" w:rsidP="00DB4114">
            <w:pPr>
              <w:widowControl/>
              <w:autoSpaceDE w:val="0"/>
              <w:autoSpaceDN w:val="0"/>
              <w:adjustRightInd w:val="0"/>
              <w:jc w:val="center"/>
              <w:rPr>
                <w:rFonts w:eastAsia="Calibri"/>
                <w:lang w:eastAsia="en-US"/>
              </w:rPr>
            </w:pPr>
          </w:p>
        </w:tc>
        <w:tc>
          <w:tcPr>
            <w:tcW w:w="1301" w:type="dxa"/>
          </w:tcPr>
          <w:p w:rsidR="00DB4114" w:rsidRPr="00DB4114" w:rsidRDefault="00DB4114" w:rsidP="00DB4114">
            <w:pPr>
              <w:suppressAutoHyphens/>
              <w:jc w:val="center"/>
              <w:rPr>
                <w:lang w:eastAsia="zh-CN"/>
              </w:rPr>
            </w:pPr>
            <w:r w:rsidRPr="00DB4114">
              <w:rPr>
                <w:lang w:eastAsia="zh-CN"/>
              </w:rPr>
              <w:t xml:space="preserve">Для первого диапазона объемов потребления </w:t>
            </w:r>
            <w:proofErr w:type="gramStart"/>
            <w:r w:rsidRPr="00DB4114">
              <w:rPr>
                <w:lang w:eastAsia="zh-CN"/>
              </w:rPr>
              <w:t>электри-ческой</w:t>
            </w:r>
            <w:proofErr w:type="gramEnd"/>
            <w:r w:rsidRPr="00DB4114">
              <w:rPr>
                <w:lang w:eastAsia="zh-CN"/>
              </w:rPr>
              <w:t xml:space="preserve"> энергии</w:t>
            </w:r>
          </w:p>
        </w:tc>
        <w:tc>
          <w:tcPr>
            <w:tcW w:w="1276" w:type="dxa"/>
          </w:tcPr>
          <w:p w:rsidR="00DB4114" w:rsidRPr="00DB4114" w:rsidRDefault="00DB4114" w:rsidP="00DB4114">
            <w:pPr>
              <w:suppressAutoHyphens/>
              <w:jc w:val="center"/>
              <w:rPr>
                <w:lang w:eastAsia="zh-CN"/>
              </w:rPr>
            </w:pPr>
            <w:r w:rsidRPr="00DB4114">
              <w:rPr>
                <w:lang w:eastAsia="zh-CN"/>
              </w:rPr>
              <w:t xml:space="preserve">Для второго диапазона объемов потребления </w:t>
            </w:r>
            <w:proofErr w:type="gramStart"/>
            <w:r w:rsidRPr="00DB4114">
              <w:rPr>
                <w:lang w:eastAsia="zh-CN"/>
              </w:rPr>
              <w:t>электри-ческой</w:t>
            </w:r>
            <w:proofErr w:type="gramEnd"/>
            <w:r w:rsidRPr="00DB4114">
              <w:rPr>
                <w:lang w:eastAsia="zh-CN"/>
              </w:rPr>
              <w:t xml:space="preserve"> энергии</w:t>
            </w:r>
          </w:p>
        </w:tc>
        <w:tc>
          <w:tcPr>
            <w:tcW w:w="1275" w:type="dxa"/>
          </w:tcPr>
          <w:p w:rsidR="00DB4114" w:rsidRPr="00DB4114" w:rsidRDefault="00DB4114" w:rsidP="00DB4114">
            <w:pPr>
              <w:suppressAutoHyphens/>
              <w:jc w:val="center"/>
              <w:rPr>
                <w:lang w:eastAsia="zh-CN"/>
              </w:rPr>
            </w:pPr>
            <w:r w:rsidRPr="00DB4114">
              <w:rPr>
                <w:lang w:eastAsia="zh-CN"/>
              </w:rPr>
              <w:t xml:space="preserve">Для третьего диапазона объемов потребления </w:t>
            </w:r>
            <w:proofErr w:type="gramStart"/>
            <w:r w:rsidRPr="00DB4114">
              <w:rPr>
                <w:lang w:eastAsia="zh-CN"/>
              </w:rPr>
              <w:t>электри-ческой</w:t>
            </w:r>
            <w:proofErr w:type="gramEnd"/>
            <w:r w:rsidRPr="00DB4114">
              <w:rPr>
                <w:lang w:eastAsia="zh-CN"/>
              </w:rPr>
              <w:t xml:space="preserve"> энергии</w:t>
            </w:r>
          </w:p>
        </w:tc>
        <w:tc>
          <w:tcPr>
            <w:tcW w:w="1392" w:type="dxa"/>
          </w:tcPr>
          <w:p w:rsidR="00DB4114" w:rsidRPr="00DB4114" w:rsidRDefault="00DB4114" w:rsidP="00DB4114">
            <w:pPr>
              <w:suppressAutoHyphens/>
              <w:jc w:val="center"/>
              <w:rPr>
                <w:lang w:eastAsia="zh-CN"/>
              </w:rPr>
            </w:pPr>
            <w:r w:rsidRPr="00DB4114">
              <w:rPr>
                <w:lang w:eastAsia="zh-CN"/>
              </w:rPr>
              <w:t xml:space="preserve">Для первого диапазона объемов потребления </w:t>
            </w:r>
            <w:proofErr w:type="gramStart"/>
            <w:r w:rsidRPr="00DB4114">
              <w:rPr>
                <w:lang w:eastAsia="zh-CN"/>
              </w:rPr>
              <w:t>электри-ческой</w:t>
            </w:r>
            <w:proofErr w:type="gramEnd"/>
            <w:r w:rsidRPr="00DB4114">
              <w:rPr>
                <w:lang w:eastAsia="zh-CN"/>
              </w:rPr>
              <w:t xml:space="preserve"> энергии</w:t>
            </w:r>
          </w:p>
        </w:tc>
        <w:tc>
          <w:tcPr>
            <w:tcW w:w="1392" w:type="dxa"/>
          </w:tcPr>
          <w:p w:rsidR="00DB4114" w:rsidRPr="00DB4114" w:rsidRDefault="00DB4114" w:rsidP="00DB4114">
            <w:pPr>
              <w:suppressAutoHyphens/>
              <w:jc w:val="center"/>
              <w:rPr>
                <w:lang w:eastAsia="zh-CN"/>
              </w:rPr>
            </w:pPr>
            <w:r w:rsidRPr="00DB4114">
              <w:rPr>
                <w:lang w:eastAsia="zh-CN"/>
              </w:rPr>
              <w:t xml:space="preserve">Для второго диапазона объемов потребления </w:t>
            </w:r>
            <w:proofErr w:type="gramStart"/>
            <w:r w:rsidRPr="00DB4114">
              <w:rPr>
                <w:lang w:eastAsia="zh-CN"/>
              </w:rPr>
              <w:t>электри-ческой</w:t>
            </w:r>
            <w:proofErr w:type="gramEnd"/>
            <w:r w:rsidRPr="00DB4114">
              <w:rPr>
                <w:lang w:eastAsia="zh-CN"/>
              </w:rPr>
              <w:t xml:space="preserve"> энергии</w:t>
            </w:r>
          </w:p>
        </w:tc>
        <w:tc>
          <w:tcPr>
            <w:tcW w:w="1393" w:type="dxa"/>
          </w:tcPr>
          <w:p w:rsidR="00DB4114" w:rsidRPr="00DB4114" w:rsidRDefault="00DB4114" w:rsidP="00DB4114">
            <w:pPr>
              <w:suppressAutoHyphens/>
              <w:jc w:val="center"/>
              <w:rPr>
                <w:lang w:eastAsia="zh-CN"/>
              </w:rPr>
            </w:pPr>
            <w:r w:rsidRPr="00DB4114">
              <w:rPr>
                <w:lang w:eastAsia="zh-CN"/>
              </w:rPr>
              <w:t xml:space="preserve">Для третьего диапазона объемов потребления </w:t>
            </w:r>
            <w:proofErr w:type="gramStart"/>
            <w:r w:rsidRPr="00DB4114">
              <w:rPr>
                <w:lang w:eastAsia="zh-CN"/>
              </w:rPr>
              <w:t>электри-ческой</w:t>
            </w:r>
            <w:proofErr w:type="gramEnd"/>
            <w:r w:rsidRPr="00DB4114">
              <w:rPr>
                <w:lang w:eastAsia="zh-CN"/>
              </w:rPr>
              <w:t xml:space="preserve"> энергии</w:t>
            </w:r>
          </w:p>
        </w:tc>
      </w:tr>
      <w:tr w:rsidR="00DB4114" w:rsidRPr="00DB4114" w:rsidTr="00356FFC">
        <w:trPr>
          <w:gridAfter w:val="1"/>
          <w:wAfter w:w="508" w:type="dxa"/>
        </w:trPr>
        <w:tc>
          <w:tcPr>
            <w:tcW w:w="98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w:t>
            </w:r>
          </w:p>
        </w:tc>
        <w:tc>
          <w:tcPr>
            <w:tcW w:w="484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5</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6</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7</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8</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9</w:t>
            </w:r>
          </w:p>
        </w:tc>
      </w:tr>
      <w:tr w:rsidR="00DB4114" w:rsidRPr="00DB4114" w:rsidTr="00356FFC">
        <w:trPr>
          <w:gridAfter w:val="1"/>
          <w:wAfter w:w="508" w:type="dxa"/>
        </w:trPr>
        <w:tc>
          <w:tcPr>
            <w:tcW w:w="981" w:type="dxa"/>
          </w:tcPr>
          <w:p w:rsidR="00DB4114" w:rsidRPr="00DB4114" w:rsidRDefault="00DB4114" w:rsidP="00DB4114">
            <w:pPr>
              <w:widowControl/>
              <w:autoSpaceDE w:val="0"/>
              <w:autoSpaceDN w:val="0"/>
              <w:adjustRightInd w:val="0"/>
              <w:jc w:val="center"/>
              <w:outlineLvl w:val="2"/>
              <w:rPr>
                <w:rFonts w:eastAsia="Calibri"/>
                <w:lang w:eastAsia="en-US"/>
              </w:rPr>
            </w:pPr>
            <w:bookmarkStart w:id="1" w:name="P5106"/>
            <w:bookmarkEnd w:id="1"/>
            <w:r w:rsidRPr="00DB4114">
              <w:rPr>
                <w:rFonts w:eastAsia="Calibri"/>
                <w:lang w:eastAsia="en-US"/>
              </w:rPr>
              <w:t>1.</w:t>
            </w:r>
          </w:p>
        </w:tc>
        <w:tc>
          <w:tcPr>
            <w:tcW w:w="14315" w:type="dxa"/>
            <w:gridSpan w:val="8"/>
          </w:tcPr>
          <w:p w:rsidR="00DB4114" w:rsidRPr="00DB4114" w:rsidRDefault="00DB4114" w:rsidP="00DB4114">
            <w:pPr>
              <w:widowControl/>
              <w:autoSpaceDE w:val="0"/>
              <w:autoSpaceDN w:val="0"/>
              <w:adjustRightInd w:val="0"/>
              <w:rPr>
                <w:rFonts w:eastAsia="Calibri"/>
                <w:vertAlign w:val="superscript"/>
                <w:lang w:eastAsia="en-US"/>
              </w:rPr>
            </w:pPr>
            <w:r w:rsidRPr="00DB4114">
              <w:rPr>
                <w:rFonts w:eastAsia="Calibri"/>
                <w:lang w:eastAsia="en-US"/>
              </w:rPr>
              <w:t>Население и приравненные к нему категории (без учета налога на добавленную стоимость):</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1.1.</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Население и приравненные к нему, за исключением населения и потребителей, указанных в строках 1.2–1.8:</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2,49262</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2,44376</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5,73439</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2,96489</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2,95951</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7,20669</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bookmarkStart w:id="2" w:name="P5116"/>
            <w:bookmarkEnd w:id="2"/>
            <w:r w:rsidRPr="00DB4114">
              <w:rPr>
                <w:rFonts w:eastAsia="Calibri"/>
                <w:lang w:eastAsia="en-US"/>
              </w:rPr>
              <w:t>1.2.</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наймодатели (или уполномоченные ими лица), предоставляющие гражданам жилые помещения специализированного жилищного фонда, включая жилые </w:t>
            </w:r>
            <w:r w:rsidRPr="00DB4114">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0,92984</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0,95151</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3,11125</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1,23461</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1,25658</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4,12974</w:t>
            </w:r>
          </w:p>
        </w:tc>
      </w:tr>
      <w:tr w:rsidR="00DB4114" w:rsidRPr="00DB4114" w:rsidTr="00356FFC">
        <w:trPr>
          <w:gridAfter w:val="1"/>
          <w:wAfter w:w="508" w:type="dxa"/>
          <w:trHeight w:val="3205"/>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1.3.</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1,05223</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0,99631</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3,27347</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1,34179</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1,28868</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4,26076</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1.4.</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1,10408</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0,96672</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3,22506</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1,41331</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1,22352</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4,19018</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1.5.</w:t>
            </w:r>
          </w:p>
        </w:tc>
        <w:tc>
          <w:tcPr>
            <w:tcW w:w="14315" w:type="dxa"/>
            <w:gridSpan w:val="8"/>
          </w:tcPr>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Население, проживающее в сельских населенных пунктах в домах, оборудованных стационарными электроплитами и электроотопительными установками, и приравненные к нему:</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1,01924</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0,95234</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3,22506</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1,29374</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1,22382</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4,19018</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1.6.</w:t>
            </w:r>
          </w:p>
        </w:tc>
        <w:tc>
          <w:tcPr>
            <w:tcW w:w="14315" w:type="dxa"/>
            <w:gridSpan w:val="8"/>
          </w:tcPr>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Население, проживающее в сельских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1,01907</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0,93693</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3,22506</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1,29050</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1,19630</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4,19018</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1.7.</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Население, проживающее в сельских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DB4114" w:rsidRPr="00DB4114" w:rsidRDefault="00DB4114" w:rsidP="00DB4114">
            <w:pPr>
              <w:widowControl/>
              <w:autoSpaceDE w:val="0"/>
              <w:autoSpaceDN w:val="0"/>
              <w:adjustRightInd w:val="0"/>
              <w:ind w:firstLine="296"/>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96"/>
              <w:jc w:val="both"/>
              <w:rPr>
                <w:rFonts w:eastAsia="Calibri"/>
                <w:lang w:eastAsia="en-US"/>
              </w:rPr>
            </w:pPr>
            <w:r w:rsidRPr="00DB4114">
              <w:rPr>
                <w:rFonts w:eastAsia="Calibri"/>
                <w:lang w:eastAsia="en-US"/>
              </w:rPr>
              <w:lastRenderedPageBreak/>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1,04771</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1,00462</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3,14282</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1,34822</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1,30012</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4,09091</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bookmarkStart w:id="3" w:name="P5124"/>
            <w:bookmarkEnd w:id="3"/>
            <w:r w:rsidRPr="00DB4114">
              <w:rPr>
                <w:rFonts w:eastAsia="Calibri"/>
                <w:lang w:eastAsia="en-US"/>
              </w:rPr>
              <w:t>1.8.</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Население, проживающее в сельских населенных пунктах, и приравненные к нему, за исключением населения</w:t>
            </w:r>
            <w:r w:rsidRPr="00DB4114">
              <w:rPr>
                <w:rFonts w:eastAsia="Calibri"/>
                <w:lang w:eastAsia="en-US"/>
              </w:rPr>
              <w:br/>
              <w:t>и потребителей, указанных в строках 1.5–1.7:</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0,94251</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0,93436</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3,07093</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1,24820</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1,26269</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4,08349</w:t>
            </w:r>
          </w:p>
        </w:tc>
      </w:tr>
      <w:tr w:rsidR="00DB4114" w:rsidRPr="00DB4114" w:rsidTr="00356FFC">
        <w:trPr>
          <w:gridAfter w:val="1"/>
          <w:wAfter w:w="508" w:type="dxa"/>
        </w:trPr>
        <w:tc>
          <w:tcPr>
            <w:tcW w:w="98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w:t>
            </w:r>
          </w:p>
        </w:tc>
        <w:tc>
          <w:tcPr>
            <w:tcW w:w="14315" w:type="dxa"/>
            <w:gridSpan w:val="8"/>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Потребители, приравненные к населению:</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2.1.</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DB4114" w:rsidRPr="00DB4114" w:rsidRDefault="00DB4114" w:rsidP="00DB4114">
            <w:pPr>
              <w:widowControl/>
              <w:autoSpaceDE w:val="0"/>
              <w:autoSpaceDN w:val="0"/>
              <w:adjustRightInd w:val="0"/>
              <w:ind w:firstLine="245"/>
              <w:jc w:val="both"/>
              <w:rPr>
                <w:rFonts w:eastAsia="Calibri"/>
                <w:lang w:eastAsia="en-US"/>
              </w:rPr>
            </w:pPr>
            <w:r w:rsidRPr="00DB4114">
              <w:rPr>
                <w:rFonts w:eastAsia="Calibri"/>
                <w:lang w:eastAsia="en-US"/>
              </w:rPr>
              <w:t xml:space="preserve">наймодателей (или уполномоченных ими лиц), предоставляющих гражданам жилые помещения специализированного жилищного фонда, включая жилые </w:t>
            </w:r>
            <w:r w:rsidRPr="00DB4114">
              <w:rPr>
                <w:rFonts w:eastAsia="Calibri"/>
                <w:lang w:eastAsia="en-US"/>
              </w:rPr>
              <w:lastRenderedPageBreak/>
              <w:t>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2,51672</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2,51672</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5,74172</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2,96518</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2,96518</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7,20685</w:t>
            </w:r>
          </w:p>
        </w:tc>
      </w:tr>
      <w:tr w:rsidR="00DB4114" w:rsidRPr="00DB4114" w:rsidTr="00356FFC">
        <w:trPr>
          <w:gridAfter w:val="1"/>
          <w:wAfter w:w="508" w:type="dxa"/>
          <w:trHeight w:val="393"/>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2.2.</w:t>
            </w:r>
          </w:p>
        </w:tc>
        <w:tc>
          <w:tcPr>
            <w:tcW w:w="14315" w:type="dxa"/>
            <w:gridSpan w:val="8"/>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Садоводческие некоммерческие товарищества и огороднические некоммерческие товарищества.</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0,96265</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0,94897</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3,22506</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1,27736</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1,21658</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4,19018</w:t>
            </w:r>
          </w:p>
        </w:tc>
      </w:tr>
      <w:tr w:rsidR="00DB4114" w:rsidRPr="00DB4114" w:rsidTr="00356FFC">
        <w:trPr>
          <w:gridAfter w:val="1"/>
          <w:wAfter w:w="508" w:type="dxa"/>
          <w:trHeight w:val="680"/>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2.3.</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Юридические лица, приобретающие электрическую энергию (мощность) в целях потребления осужденными</w:t>
            </w:r>
            <w:r w:rsidRPr="00DB4114">
              <w:rPr>
                <w:rFonts w:eastAsia="Calibri"/>
                <w:lang w:eastAsia="en-US"/>
              </w:rPr>
              <w:br/>
              <w:t>в помещениях для их содержания при условии наличия раздельного учета электрической энергии для указанных помещений.</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2,51672</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2,51672</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5,74172</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2,96518</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2,96518</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7,20685</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2.4.</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Юридические и физические лица, приобретающие электрическую энергию (мощность) в целях потребления</w:t>
            </w:r>
            <w:r w:rsidRPr="00DB4114">
              <w:rPr>
                <w:rFonts w:eastAsia="Calibri"/>
                <w:lang w:eastAsia="en-US"/>
              </w:rPr>
              <w:br/>
              <w:t>на коммунально-бытовые нужды в населенных пунктах и жилых зонах при воинских частях</w:t>
            </w:r>
            <w:r w:rsidRPr="00DB4114">
              <w:rPr>
                <w:rFonts w:eastAsia="Calibri"/>
                <w:lang w:eastAsia="en-US"/>
              </w:rPr>
              <w:br/>
              <w:t>и рассчитывающиеся по договору энергоснабжения по показаниям общего прибора учета электрической энергии.</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2,51672</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2,51672</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5,74172</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2,96518</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2,96518</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7,20685</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Содержащиеся за счет прихожан религиозные организации.</w:t>
            </w:r>
          </w:p>
        </w:tc>
      </w:tr>
      <w:tr w:rsidR="00DB4114" w:rsidRPr="00DB4114" w:rsidTr="00356FFC">
        <w:trPr>
          <w:gridAfter w:val="1"/>
          <w:wAfter w:w="508" w:type="dxa"/>
        </w:trPr>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2,49345</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2,56727</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5,74172</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2,97583</w:t>
            </w:r>
          </w:p>
        </w:tc>
        <w:tc>
          <w:tcPr>
            <w:tcW w:w="1392"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3,14576</w:t>
            </w:r>
          </w:p>
        </w:tc>
        <w:tc>
          <w:tcPr>
            <w:tcW w:w="1393"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7,20685</w:t>
            </w:r>
          </w:p>
        </w:tc>
      </w:tr>
      <w:tr w:rsidR="00DB4114" w:rsidRPr="00DB4114" w:rsidTr="00356FFC">
        <w:trPr>
          <w:gridAfter w:val="1"/>
          <w:wAfter w:w="508" w:type="dxa"/>
        </w:trPr>
        <w:tc>
          <w:tcPr>
            <w:tcW w:w="981" w:type="dxa"/>
            <w:vMerge w:val="restart"/>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2.6.</w:t>
            </w:r>
          </w:p>
        </w:tc>
        <w:tc>
          <w:tcPr>
            <w:tcW w:w="14315" w:type="dxa"/>
            <w:gridSpan w:val="8"/>
          </w:tcPr>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DB4114" w:rsidRPr="00DB4114" w:rsidRDefault="00DB4114" w:rsidP="00DB4114">
            <w:pPr>
              <w:widowControl/>
              <w:autoSpaceDE w:val="0"/>
              <w:autoSpaceDN w:val="0"/>
              <w:adjustRightInd w:val="0"/>
              <w:jc w:val="both"/>
              <w:rPr>
                <w:rFonts w:eastAsia="Calibri"/>
                <w:lang w:eastAsia="en-US"/>
              </w:rPr>
            </w:pPr>
            <w:r w:rsidRPr="00DB4114">
              <w:rPr>
                <w:rFonts w:eastAsia="Calibri"/>
                <w:lang w:eastAsia="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DB4114" w:rsidRPr="00DB4114" w:rsidTr="00356FFC">
        <w:tc>
          <w:tcPr>
            <w:tcW w:w="981" w:type="dxa"/>
            <w:vMerge/>
          </w:tcPr>
          <w:p w:rsidR="00DB4114" w:rsidRPr="00DB4114" w:rsidRDefault="00DB4114" w:rsidP="00DB4114">
            <w:pPr>
              <w:widowControl/>
              <w:spacing w:after="160" w:line="259" w:lineRule="auto"/>
              <w:rPr>
                <w:rFonts w:eastAsia="Calibri"/>
                <w:lang w:eastAsia="en-US"/>
              </w:rPr>
            </w:pPr>
          </w:p>
        </w:tc>
        <w:tc>
          <w:tcPr>
            <w:tcW w:w="4845" w:type="dxa"/>
          </w:tcPr>
          <w:p w:rsidR="00DB4114" w:rsidRPr="00DB4114" w:rsidRDefault="00DB4114" w:rsidP="00DB4114">
            <w:pPr>
              <w:widowControl/>
              <w:autoSpaceDE w:val="0"/>
              <w:autoSpaceDN w:val="0"/>
              <w:adjustRightInd w:val="0"/>
              <w:rPr>
                <w:rFonts w:eastAsia="Calibri"/>
                <w:lang w:eastAsia="en-US"/>
              </w:rPr>
            </w:pPr>
            <w:r w:rsidRPr="00DB4114">
              <w:rPr>
                <w:rFonts w:eastAsia="Calibri"/>
                <w:lang w:eastAsia="en-US"/>
              </w:rPr>
              <w:t>Одноставочный тариф (в том числе дифференцированный по двум и по трем зонам суток)</w:t>
            </w:r>
          </w:p>
        </w:tc>
        <w:tc>
          <w:tcPr>
            <w:tcW w:w="144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руб./кВт·ч</w:t>
            </w:r>
          </w:p>
        </w:tc>
        <w:tc>
          <w:tcPr>
            <w:tcW w:w="1301"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2,51765</w:t>
            </w:r>
          </w:p>
        </w:tc>
        <w:tc>
          <w:tcPr>
            <w:tcW w:w="1276"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2,48061</w:t>
            </w:r>
          </w:p>
        </w:tc>
        <w:tc>
          <w:tcPr>
            <w:tcW w:w="1275" w:type="dxa"/>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5,74172</w:t>
            </w:r>
          </w:p>
        </w:tc>
        <w:tc>
          <w:tcPr>
            <w:tcW w:w="1392" w:type="dxa"/>
            <w:tcBorders>
              <w:right w:val="single" w:sz="4" w:space="0" w:color="auto"/>
            </w:tcBorders>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2,97433</w:t>
            </w:r>
          </w:p>
        </w:tc>
        <w:tc>
          <w:tcPr>
            <w:tcW w:w="1392" w:type="dxa"/>
            <w:tcBorders>
              <w:right w:val="single" w:sz="4" w:space="0" w:color="auto"/>
            </w:tcBorders>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2,94138</w:t>
            </w:r>
          </w:p>
        </w:tc>
        <w:tc>
          <w:tcPr>
            <w:tcW w:w="1393" w:type="dxa"/>
            <w:tcBorders>
              <w:right w:val="single" w:sz="4" w:space="0" w:color="auto"/>
            </w:tcBorders>
          </w:tcPr>
          <w:p w:rsidR="00DB4114" w:rsidRPr="00DB4114" w:rsidRDefault="00DB4114" w:rsidP="00DB4114">
            <w:pPr>
              <w:widowControl/>
              <w:autoSpaceDE w:val="0"/>
              <w:autoSpaceDN w:val="0"/>
              <w:adjustRightInd w:val="0"/>
              <w:jc w:val="center"/>
              <w:rPr>
                <w:rFonts w:eastAsia="Calibri"/>
                <w:lang w:eastAsia="en-US"/>
              </w:rPr>
            </w:pPr>
            <w:r w:rsidRPr="00DB4114">
              <w:rPr>
                <w:rFonts w:eastAsia="Calibri"/>
                <w:lang w:eastAsia="en-US"/>
              </w:rPr>
              <w:t>7,20685</w:t>
            </w:r>
          </w:p>
        </w:tc>
        <w:tc>
          <w:tcPr>
            <w:tcW w:w="508" w:type="dxa"/>
            <w:tcBorders>
              <w:top w:val="nil"/>
              <w:left w:val="single" w:sz="4" w:space="0" w:color="auto"/>
              <w:bottom w:val="nil"/>
              <w:right w:val="nil"/>
            </w:tcBorders>
            <w:vAlign w:val="bottom"/>
          </w:tcPr>
          <w:p w:rsidR="00DB4114" w:rsidRPr="00DB4114" w:rsidRDefault="00DB4114" w:rsidP="00DB4114">
            <w:pPr>
              <w:widowControl/>
              <w:autoSpaceDE w:val="0"/>
              <w:autoSpaceDN w:val="0"/>
              <w:adjustRightInd w:val="0"/>
              <w:rPr>
                <w:rFonts w:eastAsia="Calibri"/>
                <w:lang w:eastAsia="en-US"/>
              </w:rPr>
            </w:pPr>
          </w:p>
        </w:tc>
      </w:tr>
    </w:tbl>
    <w:p w:rsidR="00DB4114" w:rsidRPr="00DB4114" w:rsidRDefault="00DB4114" w:rsidP="00DB4114">
      <w:pPr>
        <w:autoSpaceDE w:val="0"/>
        <w:autoSpaceDN w:val="0"/>
        <w:jc w:val="both"/>
        <w:rPr>
          <w:sz w:val="28"/>
          <w:szCs w:val="28"/>
        </w:rPr>
      </w:pPr>
    </w:p>
    <w:p w:rsidR="00DB4114" w:rsidRPr="00DB4114" w:rsidRDefault="00DB4114" w:rsidP="00DB4114">
      <w:pPr>
        <w:autoSpaceDE w:val="0"/>
        <w:autoSpaceDN w:val="0"/>
        <w:jc w:val="both"/>
        <w:rPr>
          <w:sz w:val="28"/>
          <w:szCs w:val="28"/>
        </w:rPr>
      </w:pPr>
    </w:p>
    <w:p w:rsidR="00DB4114" w:rsidRPr="00DB4114" w:rsidRDefault="00DB4114" w:rsidP="00DB4114">
      <w:pPr>
        <w:autoSpaceDE w:val="0"/>
        <w:autoSpaceDN w:val="0"/>
        <w:jc w:val="both"/>
        <w:rPr>
          <w:sz w:val="28"/>
          <w:szCs w:val="28"/>
        </w:rPr>
        <w:sectPr w:rsidR="00DB4114" w:rsidRPr="00DB4114" w:rsidSect="00356FFC">
          <w:pgSz w:w="16838" w:h="11906" w:orient="landscape"/>
          <w:pgMar w:top="1418" w:right="709" w:bottom="567" w:left="1134" w:header="720" w:footer="720" w:gutter="0"/>
          <w:cols w:space="720"/>
          <w:docGrid w:linePitch="360"/>
        </w:sectPr>
      </w:pPr>
    </w:p>
    <w:p w:rsidR="00DB4114" w:rsidRPr="00DB4114" w:rsidRDefault="00DB4114" w:rsidP="00DB4114">
      <w:pPr>
        <w:suppressAutoHyphens/>
        <w:jc w:val="right"/>
        <w:rPr>
          <w:sz w:val="24"/>
          <w:szCs w:val="24"/>
        </w:rPr>
      </w:pPr>
      <w:r>
        <w:rPr>
          <w:sz w:val="24"/>
          <w:szCs w:val="24"/>
        </w:rPr>
        <w:lastRenderedPageBreak/>
        <w:t>Таблица</w:t>
      </w:r>
      <w:r w:rsidRPr="00DB4114">
        <w:rPr>
          <w:sz w:val="24"/>
          <w:szCs w:val="24"/>
        </w:rPr>
        <w:t xml:space="preserve"> 3</w:t>
      </w:r>
    </w:p>
    <w:p w:rsidR="00DB4114" w:rsidRPr="00DB4114" w:rsidRDefault="00DB4114" w:rsidP="00DB4114">
      <w:pPr>
        <w:autoSpaceDE w:val="0"/>
        <w:autoSpaceDN w:val="0"/>
        <w:jc w:val="both"/>
        <w:rPr>
          <w:sz w:val="28"/>
          <w:szCs w:val="28"/>
        </w:rPr>
      </w:pPr>
    </w:p>
    <w:p w:rsidR="00DB4114" w:rsidRPr="00DB4114" w:rsidRDefault="00DB4114" w:rsidP="00DB4114">
      <w:pPr>
        <w:autoSpaceDE w:val="0"/>
        <w:autoSpaceDN w:val="0"/>
        <w:jc w:val="center"/>
        <w:rPr>
          <w:sz w:val="28"/>
          <w:szCs w:val="28"/>
        </w:rPr>
      </w:pPr>
      <w:r w:rsidRPr="00DB4114">
        <w:rPr>
          <w:sz w:val="24"/>
          <w:szCs w:val="24"/>
        </w:rPr>
        <w:t>Единые (котловые) тарифы на услуги по передаче электрической энергии по сетям Ивановской области, поставляемой потребителям, не относящимся к населению и приравненным к нему категориям потребителей, на 2026-2029 гг.</w:t>
      </w:r>
    </w:p>
    <w:p w:rsidR="00DB4114" w:rsidRPr="00DB4114" w:rsidRDefault="00DB4114" w:rsidP="00DB4114">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835"/>
        <w:gridCol w:w="1134"/>
        <w:gridCol w:w="567"/>
        <w:gridCol w:w="567"/>
        <w:gridCol w:w="993"/>
        <w:gridCol w:w="1134"/>
        <w:gridCol w:w="1134"/>
        <w:gridCol w:w="992"/>
        <w:gridCol w:w="567"/>
        <w:gridCol w:w="567"/>
        <w:gridCol w:w="992"/>
        <w:gridCol w:w="993"/>
        <w:gridCol w:w="992"/>
        <w:gridCol w:w="992"/>
      </w:tblGrid>
      <w:tr w:rsidR="00DB4114" w:rsidRPr="00DB4114" w:rsidTr="00356FFC">
        <w:trPr>
          <w:trHeight w:val="257"/>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 xml:space="preserve">№ </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Единица измерения</w:t>
            </w:r>
          </w:p>
        </w:tc>
        <w:tc>
          <w:tcPr>
            <w:tcW w:w="10490" w:type="dxa"/>
            <w:gridSpan w:val="12"/>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Уровни напряжения</w:t>
            </w:r>
          </w:p>
        </w:tc>
      </w:tr>
      <w:tr w:rsidR="00DB4114" w:rsidRPr="00DB4114" w:rsidTr="00356FFC">
        <w:trPr>
          <w:trHeight w:val="145"/>
        </w:trPr>
        <w:tc>
          <w:tcPr>
            <w:tcW w:w="567"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r>
      <w:tr w:rsidR="00DB4114" w:rsidRPr="00DB4114" w:rsidTr="00356FFC">
        <w:trPr>
          <w:trHeight w:val="166"/>
        </w:trPr>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13</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15</w:t>
            </w:r>
          </w:p>
        </w:tc>
      </w:tr>
      <w:tr w:rsidR="00DB4114" w:rsidRPr="00DB4114" w:rsidTr="00356FFC">
        <w:trPr>
          <w:trHeight w:val="225"/>
        </w:trPr>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DB4114" w:rsidRPr="00DB4114" w:rsidRDefault="00DB4114" w:rsidP="00DB4114">
            <w:pPr>
              <w:widowControl/>
              <w:autoSpaceDE w:val="0"/>
              <w:autoSpaceDN w:val="0"/>
              <w:adjustRightInd w:val="0"/>
              <w:rPr>
                <w:rFonts w:eastAsia="Calibri"/>
                <w:bCs/>
                <w:sz w:val="16"/>
                <w:szCs w:val="16"/>
                <w:highlight w:val="yellow"/>
                <w:lang w:eastAsia="en-US"/>
              </w:rPr>
            </w:pPr>
            <w:r w:rsidRPr="00DB4114">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87"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 xml:space="preserve">I </w:t>
            </w:r>
            <w:r w:rsidRPr="00DB4114">
              <w:rPr>
                <w:rFonts w:eastAsia="Calibri"/>
                <w:sz w:val="16"/>
                <w:szCs w:val="16"/>
                <w:lang w:eastAsia="en-US"/>
              </w:rPr>
              <w:t>полугодие 2026г.</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 xml:space="preserve">II </w:t>
            </w:r>
            <w:r w:rsidRPr="00DB4114">
              <w:rPr>
                <w:rFonts w:eastAsia="Calibri"/>
                <w:sz w:val="16"/>
                <w:szCs w:val="16"/>
                <w:lang w:eastAsia="en-US"/>
              </w:rPr>
              <w:t>полугодие 2026г.</w:t>
            </w:r>
          </w:p>
        </w:tc>
      </w:tr>
      <w:tr w:rsidR="00DB4114" w:rsidRPr="00DB4114" w:rsidTr="00356FFC">
        <w:trPr>
          <w:trHeight w:val="166"/>
        </w:trPr>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14459" w:type="dxa"/>
            <w:gridSpan w:val="14"/>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Двухставочный тариф</w:t>
            </w:r>
          </w:p>
        </w:tc>
      </w:tr>
      <w:tr w:rsidR="00DB4114" w:rsidRPr="00DB4114" w:rsidTr="00356FFC">
        <w:trPr>
          <w:trHeight w:val="251"/>
        </w:trPr>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rFonts w:eastAsia="Calibri"/>
                <w:sz w:val="16"/>
                <w:szCs w:val="16"/>
                <w:lang w:eastAsia="en-US"/>
              </w:rPr>
            </w:pPr>
            <w:r w:rsidRPr="00DB4114">
              <w:rPr>
                <w:rFonts w:eastAsia="Calibri"/>
                <w:sz w:val="16"/>
                <w:szCs w:val="16"/>
                <w:lang w:eastAsia="en-US"/>
              </w:rPr>
              <w:t>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1 278 599,51</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1 446 525,46</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1 826 565,23</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1 890 651,73</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1 359 151,28</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1 537 656,56</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1 941 638,84</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2 009 762,79</w:t>
            </w:r>
          </w:p>
        </w:tc>
      </w:tr>
      <w:tr w:rsidR="00DB4114" w:rsidRPr="00DB4114" w:rsidTr="00356FFC">
        <w:trPr>
          <w:trHeight w:val="273"/>
        </w:trPr>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rFonts w:eastAsia="Calibri"/>
                <w:sz w:val="16"/>
                <w:szCs w:val="16"/>
                <w:lang w:eastAsia="en-US"/>
              </w:rPr>
            </w:pPr>
            <w:r w:rsidRPr="00DB4114">
              <w:rPr>
                <w:rFonts w:eastAsia="Calibri"/>
                <w:sz w:val="16"/>
                <w:szCs w:val="16"/>
                <w:lang w:eastAsia="en-US"/>
              </w:rPr>
              <w:t>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руб./МВт•ч</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147,97</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203,66</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360,48</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969,00</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157,30</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216,49</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383,19</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1 030,05</w:t>
            </w:r>
          </w:p>
        </w:tc>
      </w:tr>
      <w:tr w:rsidR="00DB4114" w:rsidRPr="00DB4114" w:rsidTr="00356FFC">
        <w:trPr>
          <w:trHeight w:val="196"/>
        </w:trPr>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both"/>
              <w:rPr>
                <w:rFonts w:eastAsia="Calibri"/>
                <w:sz w:val="16"/>
                <w:szCs w:val="16"/>
                <w:lang w:eastAsia="en-US"/>
              </w:rPr>
            </w:pPr>
            <w:r w:rsidRPr="00DB4114">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руб./кВт•ч</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2,47037</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2,88347</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4,36477</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6,45881</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right"/>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2,62600</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3,06513</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4,63976</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6,86572</w:t>
            </w:r>
          </w:p>
        </w:tc>
      </w:tr>
    </w:tbl>
    <w:p w:rsidR="00DB4114" w:rsidRDefault="00DB4114" w:rsidP="00DB4114">
      <w:pPr>
        <w:autoSpaceDE w:val="0"/>
        <w:autoSpaceDN w:val="0"/>
        <w:jc w:val="both"/>
        <w:rPr>
          <w:sz w:val="28"/>
          <w:szCs w:val="28"/>
        </w:rPr>
      </w:pPr>
    </w:p>
    <w:p w:rsidR="00DB4114" w:rsidRPr="00DB4114" w:rsidRDefault="00DB4114" w:rsidP="00DB4114">
      <w:pPr>
        <w:autoSpaceDE w:val="0"/>
        <w:autoSpaceDN w:val="0"/>
        <w:jc w:val="both"/>
        <w:rPr>
          <w:sz w:val="28"/>
          <w:szCs w:val="28"/>
        </w:rPr>
      </w:pPr>
    </w:p>
    <w:tbl>
      <w:tblPr>
        <w:tblW w:w="15026"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835"/>
        <w:gridCol w:w="1134"/>
        <w:gridCol w:w="567"/>
        <w:gridCol w:w="567"/>
        <w:gridCol w:w="993"/>
        <w:gridCol w:w="1134"/>
        <w:gridCol w:w="1134"/>
        <w:gridCol w:w="992"/>
        <w:gridCol w:w="567"/>
        <w:gridCol w:w="567"/>
        <w:gridCol w:w="992"/>
        <w:gridCol w:w="993"/>
        <w:gridCol w:w="993"/>
        <w:gridCol w:w="992"/>
      </w:tblGrid>
      <w:tr w:rsidR="00DB4114" w:rsidRPr="00DB4114" w:rsidTr="00356FFC">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Уровни напряжения</w:t>
            </w:r>
          </w:p>
        </w:tc>
      </w:tr>
      <w:tr w:rsidR="00DB4114" w:rsidRPr="00DB4114" w:rsidTr="00356FFC">
        <w:trPr>
          <w:trHeight w:val="365"/>
        </w:trPr>
        <w:tc>
          <w:tcPr>
            <w:tcW w:w="566"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r>
      <w:tr w:rsidR="00DB4114" w:rsidRPr="00DB4114" w:rsidTr="00356FFC">
        <w:trPr>
          <w:trHeight w:val="166"/>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15</w:t>
            </w:r>
          </w:p>
        </w:tc>
      </w:tr>
      <w:tr w:rsidR="00DB4114" w:rsidRPr="00DB4114" w:rsidTr="00356FFC">
        <w:trPr>
          <w:trHeight w:val="225"/>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DB4114" w:rsidRPr="00DB4114" w:rsidRDefault="00DB4114" w:rsidP="00DB4114">
            <w:pPr>
              <w:widowControl/>
              <w:autoSpaceDE w:val="0"/>
              <w:autoSpaceDN w:val="0"/>
              <w:adjustRightInd w:val="0"/>
              <w:rPr>
                <w:rFonts w:eastAsia="Calibri"/>
                <w:bCs/>
                <w:sz w:val="16"/>
                <w:szCs w:val="16"/>
                <w:highlight w:val="yellow"/>
                <w:lang w:eastAsia="en-US"/>
              </w:rPr>
            </w:pPr>
            <w:r w:rsidRPr="00DB4114">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87"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 xml:space="preserve">I </w:t>
            </w:r>
            <w:r w:rsidRPr="00DB4114">
              <w:rPr>
                <w:rFonts w:eastAsia="Calibri"/>
                <w:sz w:val="16"/>
                <w:szCs w:val="16"/>
                <w:lang w:eastAsia="en-US"/>
              </w:rPr>
              <w:t>полугодие 2027г.</w:t>
            </w:r>
          </w:p>
        </w:tc>
        <w:tc>
          <w:tcPr>
            <w:tcW w:w="5104"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II</w:t>
            </w:r>
            <w:r w:rsidRPr="00DB4114">
              <w:rPr>
                <w:rFonts w:eastAsia="Calibri"/>
                <w:sz w:val="16"/>
                <w:szCs w:val="16"/>
                <w:lang w:eastAsia="en-US"/>
              </w:rPr>
              <w:t xml:space="preserve"> полугодие 2027г.</w:t>
            </w:r>
          </w:p>
        </w:tc>
      </w:tr>
      <w:tr w:rsidR="00DB4114" w:rsidRPr="00DB4114" w:rsidTr="00356FFC">
        <w:trPr>
          <w:trHeight w:val="166"/>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Двухставочный тариф</w:t>
            </w:r>
          </w:p>
        </w:tc>
      </w:tr>
      <w:tr w:rsidR="00DB4114" w:rsidRPr="00DB4114" w:rsidTr="00356FFC">
        <w:trPr>
          <w:trHeight w:val="251"/>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1 359 151,28</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1 537 656,56</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1 941 638,84</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2 009 762,79</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1 414 876,48</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1 600 700,48</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2 021 246,03</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2 092 163,06</w:t>
            </w:r>
          </w:p>
        </w:tc>
      </w:tr>
      <w:tr w:rsidR="00DB4114" w:rsidRPr="00DB4114" w:rsidTr="00356FFC">
        <w:trPr>
          <w:trHeight w:val="273"/>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руб./МВт•ч</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157,30</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216,49</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383,19</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1 030,05</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х</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163,75</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225,37</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398,90</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1 072,28</w:t>
            </w:r>
          </w:p>
        </w:tc>
      </w:tr>
      <w:tr w:rsidR="00DB4114" w:rsidRPr="00DB4114" w:rsidTr="00356FFC">
        <w:trPr>
          <w:trHeight w:val="196"/>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руб./кВт•ч</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2,62600</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3,06513</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4,63976</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6,86572</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2,73366</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3,19080</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4,82999</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7,14721</w:t>
            </w:r>
          </w:p>
        </w:tc>
      </w:tr>
      <w:tr w:rsidR="00DB4114" w:rsidRPr="00DB4114" w:rsidTr="00356FFC">
        <w:trPr>
          <w:trHeight w:val="257"/>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lastRenderedPageBreak/>
              <w:t>№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Единица измерения</w:t>
            </w:r>
          </w:p>
        </w:tc>
        <w:tc>
          <w:tcPr>
            <w:tcW w:w="10491" w:type="dxa"/>
            <w:gridSpan w:val="12"/>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Уровни напряжения</w:t>
            </w:r>
          </w:p>
        </w:tc>
      </w:tr>
      <w:tr w:rsidR="00DB4114" w:rsidRPr="00DB4114" w:rsidTr="00356FFC">
        <w:trPr>
          <w:trHeight w:val="145"/>
        </w:trPr>
        <w:tc>
          <w:tcPr>
            <w:tcW w:w="566"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r>
      <w:tr w:rsidR="00DB4114" w:rsidRPr="00DB4114" w:rsidTr="00356FFC">
        <w:trPr>
          <w:trHeight w:val="166"/>
        </w:trPr>
        <w:tc>
          <w:tcPr>
            <w:tcW w:w="566"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10</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13</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14</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15</w:t>
            </w:r>
          </w:p>
        </w:tc>
      </w:tr>
      <w:tr w:rsidR="00DB4114" w:rsidRPr="00DB4114" w:rsidTr="00356FFC">
        <w:trPr>
          <w:trHeight w:val="225"/>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3969" w:type="dxa"/>
            <w:gridSpan w:val="2"/>
            <w:tcBorders>
              <w:top w:val="single" w:sz="4" w:space="0" w:color="auto"/>
              <w:left w:val="single" w:sz="4" w:space="0" w:color="auto"/>
              <w:right w:val="single" w:sz="4" w:space="0" w:color="auto"/>
            </w:tcBorders>
          </w:tcPr>
          <w:p w:rsidR="00DB4114" w:rsidRPr="00DB4114" w:rsidRDefault="00DB4114" w:rsidP="00DB4114">
            <w:pPr>
              <w:widowControl/>
              <w:autoSpaceDE w:val="0"/>
              <w:autoSpaceDN w:val="0"/>
              <w:adjustRightInd w:val="0"/>
              <w:rPr>
                <w:rFonts w:eastAsia="Calibri"/>
                <w:bCs/>
                <w:sz w:val="16"/>
                <w:szCs w:val="16"/>
                <w:highlight w:val="yellow"/>
                <w:lang w:eastAsia="en-US"/>
              </w:rPr>
            </w:pPr>
            <w:r w:rsidRPr="00DB4114">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87"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 xml:space="preserve">I </w:t>
            </w:r>
            <w:r w:rsidRPr="00DB4114">
              <w:rPr>
                <w:rFonts w:eastAsia="Calibri"/>
                <w:sz w:val="16"/>
                <w:szCs w:val="16"/>
                <w:lang w:eastAsia="en-US"/>
              </w:rPr>
              <w:t>полугодие 2028г.</w:t>
            </w:r>
          </w:p>
        </w:tc>
        <w:tc>
          <w:tcPr>
            <w:tcW w:w="5104"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 xml:space="preserve">II </w:t>
            </w:r>
            <w:r w:rsidRPr="00DB4114">
              <w:rPr>
                <w:rFonts w:eastAsia="Calibri"/>
                <w:sz w:val="16"/>
                <w:szCs w:val="16"/>
                <w:lang w:eastAsia="en-US"/>
              </w:rPr>
              <w:t>полугодие 2028г.</w:t>
            </w:r>
          </w:p>
        </w:tc>
      </w:tr>
      <w:tr w:rsidR="00DB4114" w:rsidRPr="00DB4114" w:rsidTr="00356FFC">
        <w:trPr>
          <w:trHeight w:val="166"/>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14460" w:type="dxa"/>
            <w:gridSpan w:val="14"/>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Двухставочный тариф</w:t>
            </w:r>
          </w:p>
        </w:tc>
      </w:tr>
      <w:tr w:rsidR="00DB4114" w:rsidRPr="00DB4114" w:rsidTr="00356FFC">
        <w:trPr>
          <w:trHeight w:val="251"/>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1.1.1</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1 414 876,48</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1 600 700,48</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2 021 246,03</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2 092 163,06</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1 472 886,42</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1 666 329,20</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2 104 117,12</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2 177 941,75</w:t>
            </w:r>
          </w:p>
        </w:tc>
      </w:tr>
      <w:tr w:rsidR="00DB4114" w:rsidRPr="00DB4114" w:rsidTr="00356FFC">
        <w:trPr>
          <w:trHeight w:val="273"/>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1.1.2</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руб./МВт•ч</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163,75</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225,37</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398,90</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1 072,28</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170,46</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234,61</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415,25</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1 116,24</w:t>
            </w:r>
          </w:p>
        </w:tc>
      </w:tr>
      <w:tr w:rsidR="00DB4114" w:rsidRPr="00DB4114" w:rsidTr="00356FFC">
        <w:trPr>
          <w:trHeight w:val="196"/>
        </w:trPr>
        <w:tc>
          <w:tcPr>
            <w:tcW w:w="566"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2835"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Одноставочный тариф</w:t>
            </w:r>
          </w:p>
        </w:tc>
        <w:tc>
          <w:tcPr>
            <w:tcW w:w="1134"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руб./кВт•ч</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2,73366</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3,19080</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4,82999</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7,14721</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567"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2,84574</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3,32162</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5,02801</w:t>
            </w:r>
          </w:p>
        </w:tc>
        <w:tc>
          <w:tcPr>
            <w:tcW w:w="992"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7,44025</w:t>
            </w:r>
          </w:p>
        </w:tc>
      </w:tr>
    </w:tbl>
    <w:p w:rsidR="00DB4114" w:rsidRPr="00DB4114" w:rsidRDefault="00DB4114" w:rsidP="00DB4114">
      <w:pPr>
        <w:autoSpaceDE w:val="0"/>
        <w:autoSpaceDN w:val="0"/>
        <w:jc w:val="both"/>
        <w:rPr>
          <w:sz w:val="16"/>
          <w:szCs w:val="16"/>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515"/>
        <w:gridCol w:w="2893"/>
        <w:gridCol w:w="1110"/>
        <w:gridCol w:w="519"/>
        <w:gridCol w:w="615"/>
        <w:gridCol w:w="993"/>
        <w:gridCol w:w="1134"/>
        <w:gridCol w:w="1134"/>
        <w:gridCol w:w="964"/>
        <w:gridCol w:w="519"/>
        <w:gridCol w:w="643"/>
        <w:gridCol w:w="964"/>
        <w:gridCol w:w="964"/>
        <w:gridCol w:w="1049"/>
        <w:gridCol w:w="899"/>
      </w:tblGrid>
      <w:tr w:rsidR="00DB4114" w:rsidRPr="00DB4114" w:rsidTr="00356FFC">
        <w:trPr>
          <w:trHeight w:val="25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 п/п</w:t>
            </w:r>
          </w:p>
        </w:tc>
        <w:tc>
          <w:tcPr>
            <w:tcW w:w="2893"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Тарифные группы потребителей электрической энергии (мощности)</w:t>
            </w:r>
          </w:p>
        </w:tc>
        <w:tc>
          <w:tcPr>
            <w:tcW w:w="1110" w:type="dxa"/>
            <w:vMerge w:val="restart"/>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Единица измерения</w:t>
            </w:r>
          </w:p>
        </w:tc>
        <w:tc>
          <w:tcPr>
            <w:tcW w:w="10462" w:type="dxa"/>
            <w:gridSpan w:val="12"/>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Уровни напряжения</w:t>
            </w:r>
          </w:p>
        </w:tc>
      </w:tr>
      <w:tr w:rsidR="00DB4114" w:rsidRPr="00DB4114" w:rsidTr="00356FFC">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2893"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outlineLvl w:val="0"/>
              <w:rPr>
                <w:rFonts w:eastAsia="Calibri"/>
                <w:sz w:val="16"/>
                <w:szCs w:val="16"/>
                <w:lang w:eastAsia="en-US"/>
              </w:rPr>
            </w:pPr>
          </w:p>
        </w:tc>
        <w:tc>
          <w:tcPr>
            <w:tcW w:w="5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615"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Всего</w:t>
            </w:r>
          </w:p>
        </w:tc>
        <w:tc>
          <w:tcPr>
            <w:tcW w:w="64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ВН-1</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ВН</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w:t>
            </w:r>
          </w:p>
        </w:tc>
        <w:tc>
          <w:tcPr>
            <w:tcW w:w="104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СН-II</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НН</w:t>
            </w:r>
          </w:p>
        </w:tc>
      </w:tr>
      <w:tr w:rsidR="00DB4114" w:rsidRPr="00DB4114" w:rsidTr="00356FFC">
        <w:trPr>
          <w:trHeight w:val="166"/>
        </w:trPr>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28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2</w:t>
            </w:r>
          </w:p>
        </w:tc>
        <w:tc>
          <w:tcPr>
            <w:tcW w:w="1110"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3</w:t>
            </w:r>
          </w:p>
        </w:tc>
        <w:tc>
          <w:tcPr>
            <w:tcW w:w="5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4</w:t>
            </w:r>
          </w:p>
        </w:tc>
        <w:tc>
          <w:tcPr>
            <w:tcW w:w="615"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5</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8</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9</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10</w:t>
            </w:r>
          </w:p>
        </w:tc>
        <w:tc>
          <w:tcPr>
            <w:tcW w:w="64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13</w:t>
            </w:r>
          </w:p>
        </w:tc>
        <w:tc>
          <w:tcPr>
            <w:tcW w:w="104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15</w:t>
            </w:r>
          </w:p>
        </w:tc>
      </w:tr>
      <w:tr w:rsidR="00DB4114" w:rsidRPr="00DB4114" w:rsidTr="00356FFC">
        <w:trPr>
          <w:trHeight w:val="225"/>
        </w:trPr>
        <w:tc>
          <w:tcPr>
            <w:tcW w:w="0" w:type="auto"/>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w:t>
            </w:r>
          </w:p>
        </w:tc>
        <w:tc>
          <w:tcPr>
            <w:tcW w:w="4003" w:type="dxa"/>
            <w:gridSpan w:val="2"/>
            <w:tcBorders>
              <w:top w:val="single" w:sz="4" w:space="0" w:color="auto"/>
              <w:left w:val="single" w:sz="4" w:space="0" w:color="auto"/>
              <w:right w:val="single" w:sz="4" w:space="0" w:color="auto"/>
            </w:tcBorders>
          </w:tcPr>
          <w:p w:rsidR="00DB4114" w:rsidRPr="00DB4114" w:rsidRDefault="00DB4114" w:rsidP="00DB4114">
            <w:pPr>
              <w:widowControl/>
              <w:autoSpaceDE w:val="0"/>
              <w:autoSpaceDN w:val="0"/>
              <w:adjustRightInd w:val="0"/>
              <w:rPr>
                <w:rFonts w:eastAsia="Calibri"/>
                <w:bCs/>
                <w:sz w:val="16"/>
                <w:szCs w:val="16"/>
                <w:highlight w:val="yellow"/>
                <w:lang w:eastAsia="en-US"/>
              </w:rPr>
            </w:pPr>
            <w:r w:rsidRPr="00DB4114">
              <w:rPr>
                <w:rFonts w:eastAsia="Calibri"/>
                <w:sz w:val="16"/>
                <w:szCs w:val="16"/>
                <w:lang w:eastAsia="en-US"/>
              </w:rPr>
              <w:t xml:space="preserve">Прочие потребители (тарифы указываются без учета налога на добавленную стоимость) </w:t>
            </w:r>
          </w:p>
        </w:tc>
        <w:tc>
          <w:tcPr>
            <w:tcW w:w="5359"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 xml:space="preserve">I </w:t>
            </w:r>
            <w:r w:rsidRPr="00DB4114">
              <w:rPr>
                <w:rFonts w:eastAsia="Calibri"/>
                <w:sz w:val="16"/>
                <w:szCs w:val="16"/>
                <w:lang w:eastAsia="en-US"/>
              </w:rPr>
              <w:t>полугодие 2029г.</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val="en-US" w:eastAsia="en-US"/>
              </w:rPr>
              <w:t xml:space="preserve">II </w:t>
            </w:r>
            <w:r w:rsidRPr="00DB4114">
              <w:rPr>
                <w:rFonts w:eastAsia="Calibri"/>
                <w:sz w:val="16"/>
                <w:szCs w:val="16"/>
                <w:lang w:eastAsia="en-US"/>
              </w:rPr>
              <w:t>полугодие 2029г.</w:t>
            </w:r>
          </w:p>
        </w:tc>
      </w:tr>
      <w:tr w:rsidR="00DB4114" w:rsidRPr="00DB4114" w:rsidTr="00356FFC">
        <w:trPr>
          <w:trHeight w:val="166"/>
        </w:trPr>
        <w:tc>
          <w:tcPr>
            <w:tcW w:w="0" w:type="auto"/>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w:t>
            </w:r>
          </w:p>
        </w:tc>
        <w:tc>
          <w:tcPr>
            <w:tcW w:w="14465" w:type="dxa"/>
            <w:gridSpan w:val="14"/>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Двухставочный тариф</w:t>
            </w:r>
          </w:p>
        </w:tc>
      </w:tr>
      <w:tr w:rsidR="00DB4114" w:rsidRPr="00DB4114" w:rsidTr="00356FFC">
        <w:trPr>
          <w:trHeight w:val="251"/>
        </w:trPr>
        <w:tc>
          <w:tcPr>
            <w:tcW w:w="0" w:type="auto"/>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1.1.1</w:t>
            </w:r>
          </w:p>
        </w:tc>
        <w:tc>
          <w:tcPr>
            <w:tcW w:w="28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ставка за содержание электрических сетей</w:t>
            </w:r>
          </w:p>
        </w:tc>
        <w:tc>
          <w:tcPr>
            <w:tcW w:w="1110"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руб./МВт•мес.</w:t>
            </w:r>
          </w:p>
        </w:tc>
        <w:tc>
          <w:tcPr>
            <w:tcW w:w="5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615"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1 472 886,42</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1 666 329,20</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2 104 117,12</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2 177 941,75</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64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1 533 274,76</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1 734 648,70</w:t>
            </w:r>
          </w:p>
        </w:tc>
        <w:tc>
          <w:tcPr>
            <w:tcW w:w="104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2 190 385,92</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2 267 237,36</w:t>
            </w:r>
          </w:p>
        </w:tc>
      </w:tr>
      <w:tr w:rsidR="00DB4114" w:rsidRPr="00DB4114" w:rsidTr="00356FFC">
        <w:trPr>
          <w:trHeight w:val="273"/>
        </w:trPr>
        <w:tc>
          <w:tcPr>
            <w:tcW w:w="0" w:type="auto"/>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1.1.2</w:t>
            </w:r>
          </w:p>
        </w:tc>
        <w:tc>
          <w:tcPr>
            <w:tcW w:w="28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ставка на оплату технологического расхода (потерь) в электрических сетях</w:t>
            </w:r>
          </w:p>
        </w:tc>
        <w:tc>
          <w:tcPr>
            <w:tcW w:w="1110"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руб./МВт•ч</w:t>
            </w:r>
          </w:p>
        </w:tc>
        <w:tc>
          <w:tcPr>
            <w:tcW w:w="5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615"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170,46</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234,61</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415,25</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1 116,24</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64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177,45</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244,23</w:t>
            </w:r>
          </w:p>
        </w:tc>
        <w:tc>
          <w:tcPr>
            <w:tcW w:w="104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432,28</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1 162,01</w:t>
            </w:r>
          </w:p>
        </w:tc>
      </w:tr>
      <w:tr w:rsidR="00DB4114" w:rsidRPr="00DB4114" w:rsidTr="00356FFC">
        <w:trPr>
          <w:trHeight w:val="196"/>
        </w:trPr>
        <w:tc>
          <w:tcPr>
            <w:tcW w:w="0" w:type="auto"/>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jc w:val="center"/>
              <w:rPr>
                <w:rFonts w:eastAsia="Calibri"/>
                <w:sz w:val="16"/>
                <w:szCs w:val="16"/>
                <w:lang w:eastAsia="en-US"/>
              </w:rPr>
            </w:pPr>
            <w:r w:rsidRPr="00DB4114">
              <w:rPr>
                <w:rFonts w:eastAsia="Calibri"/>
                <w:sz w:val="16"/>
                <w:szCs w:val="16"/>
                <w:lang w:eastAsia="en-US"/>
              </w:rPr>
              <w:t>1.2</w:t>
            </w:r>
          </w:p>
        </w:tc>
        <w:tc>
          <w:tcPr>
            <w:tcW w:w="2893"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widowControl/>
              <w:autoSpaceDE w:val="0"/>
              <w:autoSpaceDN w:val="0"/>
              <w:adjustRightInd w:val="0"/>
              <w:rPr>
                <w:rFonts w:eastAsia="Calibri"/>
                <w:sz w:val="16"/>
                <w:szCs w:val="16"/>
                <w:lang w:eastAsia="en-US"/>
              </w:rPr>
            </w:pPr>
            <w:r w:rsidRPr="00DB4114">
              <w:rPr>
                <w:rFonts w:eastAsia="Calibri"/>
                <w:sz w:val="16"/>
                <w:szCs w:val="16"/>
                <w:lang w:eastAsia="en-US"/>
              </w:rPr>
              <w:t>Одноставочный тариф</w:t>
            </w:r>
          </w:p>
        </w:tc>
        <w:tc>
          <w:tcPr>
            <w:tcW w:w="1110" w:type="dxa"/>
            <w:tcBorders>
              <w:top w:val="single" w:sz="4" w:space="0" w:color="auto"/>
              <w:left w:val="single" w:sz="4" w:space="0" w:color="auto"/>
              <w:bottom w:val="single" w:sz="4" w:space="0" w:color="auto"/>
              <w:right w:val="single" w:sz="4" w:space="0" w:color="auto"/>
            </w:tcBorders>
          </w:tcPr>
          <w:p w:rsidR="00DB4114" w:rsidRPr="00DB4114" w:rsidRDefault="00DB4114" w:rsidP="00DB4114">
            <w:pPr>
              <w:suppressAutoHyphens/>
              <w:jc w:val="center"/>
              <w:rPr>
                <w:sz w:val="16"/>
                <w:szCs w:val="16"/>
                <w:lang w:eastAsia="zh-CN"/>
              </w:rPr>
            </w:pPr>
            <w:r w:rsidRPr="00DB4114">
              <w:rPr>
                <w:sz w:val="16"/>
                <w:szCs w:val="16"/>
                <w:lang w:eastAsia="zh-CN"/>
              </w:rPr>
              <w:t>руб./кВт•ч</w:t>
            </w:r>
          </w:p>
        </w:tc>
        <w:tc>
          <w:tcPr>
            <w:tcW w:w="51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615"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9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2,84574</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3,32162</w:t>
            </w:r>
          </w:p>
        </w:tc>
        <w:tc>
          <w:tcPr>
            <w:tcW w:w="113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5,02801</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7,44025</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643"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widowControl/>
              <w:autoSpaceDE w:val="0"/>
              <w:autoSpaceDN w:val="0"/>
              <w:adjustRightInd w:val="0"/>
              <w:jc w:val="center"/>
              <w:rPr>
                <w:rFonts w:eastAsia="Calibri"/>
                <w:sz w:val="16"/>
                <w:szCs w:val="16"/>
                <w:lang w:val="en-US" w:eastAsia="en-US"/>
              </w:rPr>
            </w:pPr>
            <w:r w:rsidRPr="00DB4114">
              <w:rPr>
                <w:rFonts w:eastAsia="Calibri"/>
                <w:sz w:val="16"/>
                <w:szCs w:val="16"/>
                <w:lang w:val="en-US" w:eastAsia="en-US"/>
              </w:rPr>
              <w:t>x</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2,96242</w:t>
            </w:r>
          </w:p>
        </w:tc>
        <w:tc>
          <w:tcPr>
            <w:tcW w:w="964"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3,45781</w:t>
            </w:r>
          </w:p>
        </w:tc>
        <w:tc>
          <w:tcPr>
            <w:tcW w:w="1049" w:type="dxa"/>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5,23416</w:t>
            </w:r>
          </w:p>
        </w:tc>
        <w:tc>
          <w:tcPr>
            <w:tcW w:w="0" w:type="auto"/>
            <w:tcBorders>
              <w:top w:val="single" w:sz="4" w:space="0" w:color="auto"/>
              <w:left w:val="single" w:sz="4" w:space="0" w:color="auto"/>
              <w:bottom w:val="single" w:sz="4" w:space="0" w:color="auto"/>
              <w:right w:val="single" w:sz="4" w:space="0" w:color="auto"/>
            </w:tcBorders>
            <w:vAlign w:val="center"/>
          </w:tcPr>
          <w:p w:rsidR="00DB4114" w:rsidRPr="00DB4114" w:rsidRDefault="00DB4114" w:rsidP="00DB4114">
            <w:pPr>
              <w:suppressAutoHyphens/>
              <w:jc w:val="right"/>
              <w:rPr>
                <w:sz w:val="16"/>
                <w:szCs w:val="16"/>
                <w:lang w:eastAsia="zh-CN"/>
              </w:rPr>
            </w:pPr>
            <w:r w:rsidRPr="00DB4114">
              <w:rPr>
                <w:sz w:val="16"/>
                <w:szCs w:val="16"/>
                <w:lang w:eastAsia="zh-CN"/>
              </w:rPr>
              <w:t>7,74530</w:t>
            </w:r>
          </w:p>
        </w:tc>
      </w:tr>
    </w:tbl>
    <w:p w:rsidR="00DB4114" w:rsidRPr="00DB4114" w:rsidRDefault="00DB4114" w:rsidP="00DB4114">
      <w:pPr>
        <w:suppressAutoHyphens/>
        <w:rPr>
          <w:sz w:val="26"/>
          <w:szCs w:val="26"/>
          <w:lang w:eastAsia="zh-CN"/>
        </w:rPr>
      </w:pPr>
    </w:p>
    <w:p w:rsidR="00754A8C" w:rsidRPr="002F1BFC" w:rsidRDefault="00754A8C" w:rsidP="00754A8C">
      <w:pPr>
        <w:suppressAutoHyphens/>
        <w:rPr>
          <w:sz w:val="26"/>
          <w:szCs w:val="26"/>
          <w:lang w:eastAsia="zh-CN"/>
        </w:rPr>
      </w:pPr>
    </w:p>
    <w:p w:rsidR="007B309C" w:rsidRDefault="007B309C" w:rsidP="00977F17">
      <w:pPr>
        <w:widowControl/>
        <w:tabs>
          <w:tab w:val="left" w:pos="720"/>
        </w:tabs>
        <w:autoSpaceDE w:val="0"/>
        <w:autoSpaceDN w:val="0"/>
        <w:adjustRightInd w:val="0"/>
        <w:ind w:firstLine="540"/>
        <w:jc w:val="both"/>
        <w:rPr>
          <w:sz w:val="24"/>
          <w:szCs w:val="24"/>
        </w:rPr>
      </w:pPr>
    </w:p>
    <w:p w:rsidR="007B309C" w:rsidRDefault="007B309C" w:rsidP="00977F17">
      <w:pPr>
        <w:widowControl/>
        <w:tabs>
          <w:tab w:val="left" w:pos="720"/>
        </w:tabs>
        <w:autoSpaceDE w:val="0"/>
        <w:autoSpaceDN w:val="0"/>
        <w:adjustRightInd w:val="0"/>
        <w:ind w:firstLine="540"/>
        <w:jc w:val="both"/>
        <w:rPr>
          <w:sz w:val="24"/>
          <w:szCs w:val="24"/>
        </w:rPr>
      </w:pPr>
    </w:p>
    <w:p w:rsidR="007B309C" w:rsidRDefault="007B309C" w:rsidP="00977F17">
      <w:pPr>
        <w:widowControl/>
        <w:tabs>
          <w:tab w:val="left" w:pos="720"/>
        </w:tabs>
        <w:autoSpaceDE w:val="0"/>
        <w:autoSpaceDN w:val="0"/>
        <w:adjustRightInd w:val="0"/>
        <w:ind w:firstLine="540"/>
        <w:jc w:val="both"/>
        <w:rPr>
          <w:sz w:val="24"/>
          <w:szCs w:val="24"/>
        </w:rPr>
      </w:pPr>
    </w:p>
    <w:p w:rsidR="0032562B" w:rsidRDefault="0032562B" w:rsidP="009F2D1F">
      <w:pPr>
        <w:tabs>
          <w:tab w:val="left" w:pos="4020"/>
        </w:tabs>
        <w:rPr>
          <w:b/>
          <w:sz w:val="24"/>
          <w:szCs w:val="24"/>
          <w:highlight w:val="yellow"/>
        </w:rPr>
        <w:sectPr w:rsidR="0032562B" w:rsidSect="00DB4114">
          <w:headerReference w:type="default" r:id="rId10"/>
          <w:pgSz w:w="16838" w:h="11906" w:orient="landscape"/>
          <w:pgMar w:top="1077" w:right="1418" w:bottom="425" w:left="567" w:header="284" w:footer="709" w:gutter="0"/>
          <w:cols w:space="708"/>
          <w:titlePg/>
          <w:docGrid w:linePitch="360"/>
        </w:sectPr>
      </w:pPr>
    </w:p>
    <w:p w:rsidR="00FE0A3A" w:rsidRPr="00D55430" w:rsidRDefault="00FE0A3A" w:rsidP="00FE0A3A">
      <w:pPr>
        <w:tabs>
          <w:tab w:val="left" w:pos="4020"/>
        </w:tabs>
        <w:ind w:firstLine="540"/>
        <w:rPr>
          <w:sz w:val="24"/>
          <w:szCs w:val="24"/>
        </w:rPr>
      </w:pPr>
      <w:r w:rsidRPr="00D55430">
        <w:rPr>
          <w:sz w:val="24"/>
          <w:szCs w:val="24"/>
        </w:rPr>
        <w:lastRenderedPageBreak/>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1159E4" w:rsidRPr="00D55430" w:rsidTr="00FB6FF3">
        <w:tc>
          <w:tcPr>
            <w:tcW w:w="959"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 п/п</w:t>
            </w:r>
          </w:p>
        </w:tc>
        <w:tc>
          <w:tcPr>
            <w:tcW w:w="2533"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FE0A3A" w:rsidRPr="00D55430" w:rsidRDefault="00FE0A3A" w:rsidP="00FE0A3A">
            <w:pPr>
              <w:tabs>
                <w:tab w:val="left" w:pos="4020"/>
              </w:tabs>
              <w:rPr>
                <w:sz w:val="24"/>
                <w:szCs w:val="24"/>
              </w:rPr>
            </w:pPr>
            <w:r w:rsidRPr="00D55430">
              <w:rPr>
                <w:sz w:val="24"/>
                <w:szCs w:val="24"/>
              </w:rPr>
              <w:t>Результаты голосования</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38321A" w:rsidP="00FE0A3A">
            <w:pPr>
              <w:tabs>
                <w:tab w:val="left" w:pos="4020"/>
              </w:tabs>
              <w:ind w:firstLine="33"/>
              <w:jc w:val="center"/>
              <w:rPr>
                <w:sz w:val="24"/>
                <w:szCs w:val="24"/>
              </w:rPr>
            </w:pPr>
            <w:r>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33"/>
              <w:jc w:val="center"/>
              <w:rPr>
                <w:sz w:val="24"/>
                <w:szCs w:val="24"/>
              </w:rPr>
            </w:pPr>
            <w:r w:rsidRPr="001159E4">
              <w:rPr>
                <w:sz w:val="24"/>
                <w:szCs w:val="24"/>
              </w:rPr>
              <w:t>за</w:t>
            </w:r>
          </w:p>
        </w:tc>
      </w:tr>
      <w:tr w:rsidR="001159E4" w:rsidRPr="001159E4" w:rsidTr="00FE0A3A">
        <w:tc>
          <w:tcPr>
            <w:tcW w:w="959"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540"/>
              <w:rPr>
                <w:sz w:val="24"/>
                <w:szCs w:val="24"/>
              </w:rPr>
            </w:pPr>
            <w:r w:rsidRPr="001159E4">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FE0A3A" w:rsidRPr="001159E4" w:rsidRDefault="00FE0A3A" w:rsidP="00FE0A3A">
            <w:pPr>
              <w:tabs>
                <w:tab w:val="left" w:pos="4020"/>
              </w:tabs>
              <w:ind w:firstLine="15"/>
              <w:rPr>
                <w:sz w:val="24"/>
                <w:szCs w:val="24"/>
              </w:rPr>
            </w:pPr>
            <w:r w:rsidRPr="001159E4">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FE0A3A" w:rsidRPr="001159E4" w:rsidRDefault="007B309C" w:rsidP="00FE0A3A">
            <w:pPr>
              <w:tabs>
                <w:tab w:val="left" w:pos="4020"/>
              </w:tabs>
              <w:ind w:firstLine="33"/>
              <w:jc w:val="center"/>
              <w:rPr>
                <w:sz w:val="24"/>
                <w:szCs w:val="24"/>
              </w:rPr>
            </w:pPr>
            <w:r>
              <w:rPr>
                <w:sz w:val="24"/>
                <w:szCs w:val="24"/>
              </w:rPr>
              <w:t>против</w:t>
            </w:r>
          </w:p>
        </w:tc>
      </w:tr>
    </w:tbl>
    <w:p w:rsidR="00FE0A3A" w:rsidRDefault="00FE0A3A" w:rsidP="00FE0A3A">
      <w:pPr>
        <w:tabs>
          <w:tab w:val="left" w:pos="4020"/>
        </w:tabs>
        <w:ind w:left="284" w:firstLine="283"/>
        <w:rPr>
          <w:sz w:val="24"/>
          <w:szCs w:val="24"/>
        </w:rPr>
      </w:pPr>
      <w:r w:rsidRPr="001159E4">
        <w:rPr>
          <w:sz w:val="24"/>
          <w:szCs w:val="24"/>
        </w:rPr>
        <w:t xml:space="preserve">Итого: за – </w:t>
      </w:r>
      <w:r w:rsidR="0038321A">
        <w:rPr>
          <w:sz w:val="24"/>
          <w:szCs w:val="24"/>
        </w:rPr>
        <w:t>7</w:t>
      </w:r>
      <w:r w:rsidRPr="001159E4">
        <w:rPr>
          <w:sz w:val="24"/>
          <w:szCs w:val="24"/>
        </w:rPr>
        <w:t xml:space="preserve">, против – </w:t>
      </w:r>
      <w:r w:rsidR="007B309C">
        <w:rPr>
          <w:sz w:val="24"/>
          <w:szCs w:val="24"/>
        </w:rPr>
        <w:t>1</w:t>
      </w:r>
      <w:r w:rsidRPr="001159E4">
        <w:rPr>
          <w:sz w:val="24"/>
          <w:szCs w:val="24"/>
        </w:rPr>
        <w:t xml:space="preserve">, воздержался – 0, отсутствуют – </w:t>
      </w:r>
      <w:r w:rsidR="007B309C">
        <w:rPr>
          <w:sz w:val="24"/>
          <w:szCs w:val="24"/>
        </w:rPr>
        <w:t>0</w:t>
      </w:r>
      <w:r w:rsidRPr="001159E4">
        <w:rPr>
          <w:sz w:val="24"/>
          <w:szCs w:val="24"/>
        </w:rPr>
        <w:t>.</w:t>
      </w:r>
    </w:p>
    <w:p w:rsidR="00C62E6B" w:rsidRDefault="00C62E6B" w:rsidP="00630E3B">
      <w:pPr>
        <w:tabs>
          <w:tab w:val="left" w:pos="4020"/>
        </w:tabs>
        <w:rPr>
          <w:sz w:val="24"/>
          <w:szCs w:val="24"/>
        </w:rPr>
      </w:pPr>
    </w:p>
    <w:p w:rsidR="00C62E6B" w:rsidRPr="00C62E6B" w:rsidRDefault="00C62E6B" w:rsidP="00C62E6B">
      <w:pPr>
        <w:tabs>
          <w:tab w:val="left" w:pos="0"/>
          <w:tab w:val="left" w:pos="709"/>
          <w:tab w:val="left" w:pos="851"/>
        </w:tabs>
        <w:ind w:firstLine="567"/>
        <w:contextualSpacing/>
        <w:jc w:val="both"/>
        <w:rPr>
          <w:b/>
          <w:bCs/>
          <w:sz w:val="24"/>
          <w:szCs w:val="24"/>
        </w:rPr>
      </w:pPr>
      <w:r w:rsidRPr="00C62E6B">
        <w:rPr>
          <w:b/>
          <w:bCs/>
          <w:sz w:val="24"/>
          <w:szCs w:val="24"/>
          <w:lang w:val="en-US"/>
        </w:rPr>
        <w:t>II</w:t>
      </w:r>
      <w:r w:rsidRPr="00C62E6B">
        <w:rPr>
          <w:b/>
          <w:bCs/>
          <w:sz w:val="24"/>
          <w:szCs w:val="24"/>
        </w:rPr>
        <w:t>. СЛУШАЛИ: Об индивидуальных тарифах на услуги по передаче электрической энергии для взаиморасчетов между сетевыми организациями Ивановской области на 2025 год (Морева, Коннова).</w:t>
      </w:r>
    </w:p>
    <w:p w:rsidR="00C62E6B" w:rsidRPr="00C62E6B" w:rsidRDefault="00C62E6B" w:rsidP="00C62E6B">
      <w:pPr>
        <w:tabs>
          <w:tab w:val="left" w:pos="4020"/>
        </w:tabs>
        <w:ind w:firstLine="540"/>
        <w:jc w:val="both"/>
        <w:rPr>
          <w:sz w:val="24"/>
          <w:szCs w:val="24"/>
        </w:rPr>
      </w:pPr>
      <w:r w:rsidRPr="00C62E6B">
        <w:rPr>
          <w:sz w:val="24"/>
          <w:szCs w:val="24"/>
        </w:rPr>
        <w:t xml:space="preserve">Специалистами Департамента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 принятыми размерами необходимой валовой выручки на содержание электрических сетей 4 сетевых организаций (см. протоколы от 06.12.2024 № 48/4, от 10.12.2024 №49/1), величины расходов на покупку электроэнергии для компенсации потерь в сетях, а также балансовых показателей, участвующих в расчете тарифов на услуги по передаче электрической энергии (мощности), рассчитаны двухставочные и одноставочные индивидуальные тарифы для взаиморасчетов между сетевыми организациями Ивановской области на 2025 год (с календарной разбивкой по полугодиям). </w:t>
      </w:r>
    </w:p>
    <w:p w:rsidR="00C62E6B" w:rsidRPr="00C62E6B" w:rsidRDefault="00C62E6B" w:rsidP="00C62E6B">
      <w:pPr>
        <w:tabs>
          <w:tab w:val="left" w:pos="4020"/>
        </w:tabs>
        <w:ind w:firstLine="540"/>
        <w:jc w:val="both"/>
        <w:rPr>
          <w:sz w:val="24"/>
          <w:szCs w:val="24"/>
        </w:rPr>
      </w:pPr>
      <w:r w:rsidRPr="00C62E6B">
        <w:rPr>
          <w:sz w:val="24"/>
          <w:szCs w:val="24"/>
        </w:rPr>
        <w:t>Для каждой сетевой организации специалистами Департамента подготовлены соответствующие экспертные заключения по расчету индивидуальных тарифов.</w:t>
      </w:r>
    </w:p>
    <w:p w:rsidR="00C62E6B" w:rsidRPr="00C62E6B" w:rsidRDefault="00C62E6B" w:rsidP="00C62E6B">
      <w:pPr>
        <w:widowControl/>
        <w:ind w:firstLine="540"/>
        <w:jc w:val="both"/>
        <w:rPr>
          <w:sz w:val="24"/>
          <w:szCs w:val="24"/>
        </w:rPr>
      </w:pPr>
      <w:r w:rsidRPr="00C62E6B">
        <w:rPr>
          <w:sz w:val="24"/>
          <w:szCs w:val="24"/>
        </w:rPr>
        <w:t>Порядок определения объемов для взаиморасчетов между территориальными сетевыми организациями и филиалом ПАО «Россети Центр и Приволжье» - «Ивэнерго» (системообразующей территориальной сетевой организацией) определен соответствующими договорами взаимного оказания услуг по передаче электрической энергии с учетом особенностей, предусмотренных положениями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27.12.2004 № 861.</w:t>
      </w:r>
    </w:p>
    <w:p w:rsidR="00C62E6B" w:rsidRPr="00C62E6B" w:rsidRDefault="00C62E6B" w:rsidP="00C62E6B">
      <w:pPr>
        <w:widowControl/>
        <w:ind w:firstLine="540"/>
        <w:jc w:val="both"/>
        <w:rPr>
          <w:sz w:val="24"/>
          <w:szCs w:val="24"/>
        </w:rPr>
      </w:pPr>
      <w:r w:rsidRPr="00C62E6B">
        <w:rPr>
          <w:sz w:val="24"/>
          <w:szCs w:val="24"/>
        </w:rPr>
        <w:t>Показатели, используемые при расчете индивидуальных тарифов на услуги по передаче электрической энергии, приведены в таблице:</w:t>
      </w:r>
    </w:p>
    <w:tbl>
      <w:tblPr>
        <w:tblW w:w="10065" w:type="dxa"/>
        <w:tblInd w:w="103" w:type="dxa"/>
        <w:tblLayout w:type="fixed"/>
        <w:tblLook w:val="04A0" w:firstRow="1" w:lastRow="0" w:firstColumn="1" w:lastColumn="0" w:noHBand="0" w:noVBand="1"/>
      </w:tblPr>
      <w:tblGrid>
        <w:gridCol w:w="571"/>
        <w:gridCol w:w="1983"/>
        <w:gridCol w:w="566"/>
        <w:gridCol w:w="566"/>
        <w:gridCol w:w="567"/>
        <w:gridCol w:w="567"/>
        <w:gridCol w:w="567"/>
        <w:gridCol w:w="567"/>
        <w:gridCol w:w="709"/>
        <w:gridCol w:w="567"/>
        <w:gridCol w:w="708"/>
        <w:gridCol w:w="709"/>
        <w:gridCol w:w="709"/>
        <w:gridCol w:w="709"/>
      </w:tblGrid>
      <w:tr w:rsidR="00C62E6B" w:rsidRPr="00C62E6B" w:rsidTr="00FB6FF3">
        <w:trPr>
          <w:trHeight w:val="45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jc w:val="center"/>
              <w:rPr>
                <w:sz w:val="16"/>
                <w:szCs w:val="16"/>
              </w:rPr>
            </w:pPr>
            <w:r w:rsidRPr="00C62E6B">
              <w:rPr>
                <w:sz w:val="16"/>
                <w:szCs w:val="16"/>
              </w:rPr>
              <w:t xml:space="preserve">№ </w:t>
            </w:r>
            <w:proofErr w:type="gramStart"/>
            <w:r w:rsidRPr="00C62E6B">
              <w:rPr>
                <w:sz w:val="16"/>
                <w:szCs w:val="16"/>
              </w:rPr>
              <w:t>п</w:t>
            </w:r>
            <w:proofErr w:type="gramEnd"/>
            <w:r w:rsidRPr="00C62E6B">
              <w:rPr>
                <w:sz w:val="16"/>
                <w:szCs w:val="16"/>
              </w:rPr>
              <w:t>/п</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jc w:val="center"/>
              <w:rPr>
                <w:sz w:val="16"/>
                <w:szCs w:val="16"/>
              </w:rPr>
            </w:pPr>
            <w:r w:rsidRPr="00C62E6B">
              <w:rPr>
                <w:sz w:val="16"/>
                <w:szCs w:val="16"/>
              </w:rPr>
              <w:t>Наименование сетевых организаций</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НВВ на содержание электрических сетей на 2025 год</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НВВ на содержание электрических сетей на 1 полугодие 2025 года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НВВ на содержание электрических сетей на 2 полугодие 2025 года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НВВ на оплату технологического расхода (потерь) на 2025 год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НВВ на оплату технологического расхода (потерь) на 1 полугодие 2025 года</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НВВ на оплату технологического расхода (потерь) на 2 полугодие 2025 года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 xml:space="preserve">Объем  </w:t>
            </w:r>
            <w:proofErr w:type="gramStart"/>
            <w:r w:rsidRPr="00C62E6B">
              <w:rPr>
                <w:sz w:val="16"/>
                <w:szCs w:val="16"/>
              </w:rPr>
              <w:t>электрической</w:t>
            </w:r>
            <w:proofErr w:type="gramEnd"/>
            <w:r w:rsidRPr="00C62E6B">
              <w:rPr>
                <w:sz w:val="16"/>
                <w:szCs w:val="16"/>
              </w:rPr>
              <w:t xml:space="preserve"> энергии, участвующий в расчете индивидуальных тарифов, на 2025 год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 xml:space="preserve">Объем  </w:t>
            </w:r>
            <w:proofErr w:type="gramStart"/>
            <w:r w:rsidRPr="00C62E6B">
              <w:rPr>
                <w:sz w:val="16"/>
                <w:szCs w:val="16"/>
              </w:rPr>
              <w:t>электрической</w:t>
            </w:r>
            <w:proofErr w:type="gramEnd"/>
            <w:r w:rsidRPr="00C62E6B">
              <w:rPr>
                <w:sz w:val="16"/>
                <w:szCs w:val="16"/>
              </w:rPr>
              <w:t xml:space="preserve"> энергии, участвующий в расчете индивидуальных тарифов, на 1 полугодие 2025 года</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 xml:space="preserve">Объем  </w:t>
            </w:r>
            <w:proofErr w:type="gramStart"/>
            <w:r w:rsidRPr="00C62E6B">
              <w:rPr>
                <w:sz w:val="16"/>
                <w:szCs w:val="16"/>
              </w:rPr>
              <w:t>электрической</w:t>
            </w:r>
            <w:proofErr w:type="gramEnd"/>
            <w:r w:rsidRPr="00C62E6B">
              <w:rPr>
                <w:sz w:val="16"/>
                <w:szCs w:val="16"/>
              </w:rPr>
              <w:t xml:space="preserve"> энергии, участвующий в расчете индивидуальных тарифов, на 2 полугодие 2025 года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Объем  электрической мощности, участвующий в расчете индивидуальных тарифов, на 2025 год</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Объем  электрической мощности, участвующий в расчете индивидуальных тарифов, на 1 полугодие 2025 года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Объем  электрической мощности, участвующий в расчете индивидуальных тарифов, на 2 полугодие 2025 года</w:t>
            </w:r>
          </w:p>
        </w:tc>
      </w:tr>
      <w:tr w:rsidR="00C62E6B" w:rsidRPr="00C62E6B" w:rsidTr="00FB6FF3">
        <w:trPr>
          <w:trHeight w:val="45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r>
      <w:tr w:rsidR="00C62E6B" w:rsidRPr="00C62E6B" w:rsidTr="00FB6FF3">
        <w:trPr>
          <w:trHeight w:val="495"/>
        </w:trPr>
        <w:tc>
          <w:tcPr>
            <w:tcW w:w="571"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r>
      <w:tr w:rsidR="00C62E6B" w:rsidRPr="00C62E6B" w:rsidTr="00FB6FF3">
        <w:trPr>
          <w:trHeight w:val="2430"/>
        </w:trPr>
        <w:tc>
          <w:tcPr>
            <w:tcW w:w="571"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r>
      <w:tr w:rsidR="00C62E6B" w:rsidRPr="00C62E6B" w:rsidTr="00FB6FF3">
        <w:trPr>
          <w:cantSplit/>
          <w:trHeight w:val="709"/>
        </w:trPr>
        <w:tc>
          <w:tcPr>
            <w:tcW w:w="571"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16"/>
                <w:szCs w:val="16"/>
              </w:rPr>
            </w:pP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руб.</w:t>
            </w:r>
          </w:p>
        </w:tc>
        <w:tc>
          <w:tcPr>
            <w:tcW w:w="566"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руб.</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руб.</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кВт·ч</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кВт·ч</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тыс. кВт·ч</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кВт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кВт</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62E6B" w:rsidRPr="00C62E6B" w:rsidRDefault="00C62E6B" w:rsidP="00C62E6B">
            <w:pPr>
              <w:widowControl/>
              <w:ind w:left="113" w:right="113"/>
              <w:jc w:val="center"/>
              <w:rPr>
                <w:sz w:val="16"/>
                <w:szCs w:val="16"/>
              </w:rPr>
            </w:pPr>
            <w:r w:rsidRPr="00C62E6B">
              <w:rPr>
                <w:sz w:val="16"/>
                <w:szCs w:val="16"/>
              </w:rPr>
              <w:t>кВт</w:t>
            </w:r>
          </w:p>
        </w:tc>
      </w:tr>
      <w:tr w:rsidR="00C62E6B" w:rsidRPr="00C62E6B" w:rsidTr="00FB6FF3">
        <w:trPr>
          <w:cantSplit/>
          <w:trHeight w:val="272"/>
        </w:trPr>
        <w:tc>
          <w:tcPr>
            <w:tcW w:w="571" w:type="dxa"/>
            <w:tcBorders>
              <w:top w:val="single" w:sz="4" w:space="0" w:color="auto"/>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1</w:t>
            </w:r>
          </w:p>
        </w:tc>
        <w:tc>
          <w:tcPr>
            <w:tcW w:w="1983"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2</w:t>
            </w:r>
          </w:p>
        </w:tc>
        <w:tc>
          <w:tcPr>
            <w:tcW w:w="566"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3</w:t>
            </w:r>
          </w:p>
        </w:tc>
        <w:tc>
          <w:tcPr>
            <w:tcW w:w="566"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4</w:t>
            </w:r>
          </w:p>
        </w:tc>
        <w:tc>
          <w:tcPr>
            <w:tcW w:w="567"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5</w:t>
            </w:r>
          </w:p>
        </w:tc>
        <w:tc>
          <w:tcPr>
            <w:tcW w:w="567"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6</w:t>
            </w:r>
          </w:p>
        </w:tc>
        <w:tc>
          <w:tcPr>
            <w:tcW w:w="567"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7</w:t>
            </w:r>
          </w:p>
        </w:tc>
        <w:tc>
          <w:tcPr>
            <w:tcW w:w="567"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8</w:t>
            </w:r>
          </w:p>
        </w:tc>
        <w:tc>
          <w:tcPr>
            <w:tcW w:w="709"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9</w:t>
            </w:r>
          </w:p>
        </w:tc>
        <w:tc>
          <w:tcPr>
            <w:tcW w:w="567"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10</w:t>
            </w:r>
          </w:p>
        </w:tc>
        <w:tc>
          <w:tcPr>
            <w:tcW w:w="708"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11</w:t>
            </w:r>
          </w:p>
        </w:tc>
        <w:tc>
          <w:tcPr>
            <w:tcW w:w="709"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12</w:t>
            </w:r>
          </w:p>
        </w:tc>
        <w:tc>
          <w:tcPr>
            <w:tcW w:w="709"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13</w:t>
            </w:r>
          </w:p>
        </w:tc>
        <w:tc>
          <w:tcPr>
            <w:tcW w:w="709" w:type="dxa"/>
            <w:tcBorders>
              <w:top w:val="single" w:sz="4" w:space="0" w:color="auto"/>
              <w:left w:val="nil"/>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14</w:t>
            </w:r>
          </w:p>
        </w:tc>
      </w:tr>
      <w:tr w:rsidR="00C62E6B" w:rsidRPr="00C62E6B" w:rsidTr="00FB6FF3">
        <w:trPr>
          <w:cantSplit/>
          <w:trHeight w:val="1134"/>
        </w:trPr>
        <w:tc>
          <w:tcPr>
            <w:tcW w:w="571" w:type="dxa"/>
            <w:tcBorders>
              <w:top w:val="single" w:sz="4" w:space="0" w:color="auto"/>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lastRenderedPageBreak/>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rPr>
                <w:sz w:val="16"/>
                <w:szCs w:val="16"/>
              </w:rPr>
            </w:pPr>
            <w:r w:rsidRPr="00C62E6B">
              <w:rPr>
                <w:sz w:val="16"/>
                <w:szCs w:val="16"/>
              </w:rPr>
              <w:t>ПАО "Россети Центр и Приволжье" (филиал "Ивэнерго") - ООО "ИВЭЛС"</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bCs/>
                <w:sz w:val="16"/>
                <w:szCs w:val="16"/>
              </w:rPr>
            </w:pPr>
            <w:r w:rsidRPr="00C62E6B">
              <w:rPr>
                <w:rFonts w:eastAsia="Calibri"/>
                <w:sz w:val="16"/>
                <w:szCs w:val="16"/>
                <w:lang w:eastAsia="en-US"/>
              </w:rPr>
              <w:t>187 441,554</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93 720,777</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93 720,777</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bCs/>
                <w:sz w:val="16"/>
                <w:szCs w:val="16"/>
              </w:rPr>
            </w:pPr>
            <w:r w:rsidRPr="00C62E6B">
              <w:rPr>
                <w:rFonts w:eastAsia="Calibri"/>
                <w:sz w:val="16"/>
                <w:szCs w:val="16"/>
                <w:lang w:eastAsia="en-US"/>
              </w:rPr>
              <w:t>137 375,892</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63 391,294</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73 984,598</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265 204,024</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131 998,570</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133 205,454</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30 340</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30 468</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30 211</w:t>
            </w:r>
          </w:p>
        </w:tc>
      </w:tr>
      <w:tr w:rsidR="00C62E6B" w:rsidRPr="00C62E6B" w:rsidTr="00FB6FF3">
        <w:trPr>
          <w:cantSplit/>
          <w:trHeight w:val="1134"/>
        </w:trPr>
        <w:tc>
          <w:tcPr>
            <w:tcW w:w="571" w:type="dxa"/>
            <w:tcBorders>
              <w:top w:val="single" w:sz="4" w:space="0" w:color="auto"/>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rPr>
                <w:sz w:val="16"/>
                <w:szCs w:val="16"/>
              </w:rPr>
            </w:pPr>
            <w:r w:rsidRPr="00C62E6B">
              <w:rPr>
                <w:sz w:val="16"/>
                <w:szCs w:val="16"/>
              </w:rPr>
              <w:t>ПАО "Россети Центр и Приволжье" (филиал "Ивэнерго") - АО "Оборонэнерго" (филиал "Волго-Вятский")</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bCs/>
                <w:sz w:val="16"/>
                <w:szCs w:val="16"/>
              </w:rPr>
            </w:pPr>
            <w:r w:rsidRPr="00C62E6B">
              <w:rPr>
                <w:rFonts w:eastAsia="Calibri"/>
                <w:sz w:val="16"/>
                <w:szCs w:val="16"/>
                <w:lang w:eastAsia="en-US"/>
              </w:rPr>
              <w:t>61 435,820</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30 717,910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30 717,910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bCs/>
                <w:sz w:val="16"/>
                <w:szCs w:val="16"/>
              </w:rPr>
            </w:pPr>
            <w:r w:rsidRPr="00C62E6B">
              <w:rPr>
                <w:rFonts w:eastAsia="Calibri"/>
                <w:sz w:val="16"/>
                <w:szCs w:val="16"/>
                <w:lang w:eastAsia="en-US"/>
              </w:rPr>
              <w:t>13 057,799</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5 883,824</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7 173,974</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45 666,907</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23 649,179</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22 017,728</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7 642</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7 915</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7 369</w:t>
            </w:r>
          </w:p>
        </w:tc>
      </w:tr>
      <w:tr w:rsidR="00C62E6B" w:rsidRPr="00C62E6B" w:rsidTr="00FB6FF3">
        <w:trPr>
          <w:cantSplit/>
          <w:trHeight w:val="1293"/>
        </w:trPr>
        <w:tc>
          <w:tcPr>
            <w:tcW w:w="571" w:type="dxa"/>
            <w:tcBorders>
              <w:top w:val="single" w:sz="4" w:space="0" w:color="auto"/>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rPr>
                <w:sz w:val="16"/>
                <w:szCs w:val="16"/>
              </w:rPr>
            </w:pPr>
            <w:r w:rsidRPr="00C62E6B">
              <w:rPr>
                <w:sz w:val="16"/>
                <w:szCs w:val="16"/>
              </w:rPr>
              <w:t>3</w:t>
            </w:r>
          </w:p>
        </w:tc>
        <w:tc>
          <w:tcPr>
            <w:tcW w:w="1983"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rPr>
                <w:sz w:val="16"/>
                <w:szCs w:val="16"/>
              </w:rPr>
            </w:pPr>
            <w:r w:rsidRPr="00C62E6B">
              <w:rPr>
                <w:sz w:val="16"/>
                <w:szCs w:val="16"/>
              </w:rPr>
              <w:t>ПАО "Россети Центр и Приволжье" (филиал "Ивэнерго") - АО "Объединенные электрические сети"</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bCs/>
                <w:sz w:val="16"/>
                <w:szCs w:val="16"/>
              </w:rPr>
            </w:pPr>
            <w:r w:rsidRPr="00C62E6B">
              <w:rPr>
                <w:rFonts w:eastAsia="Calibri"/>
                <w:sz w:val="16"/>
                <w:szCs w:val="16"/>
                <w:lang w:eastAsia="en-US"/>
              </w:rPr>
              <w:t>1 030 578,093</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515 289,0465</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515 289,0465</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bCs/>
                <w:sz w:val="16"/>
                <w:szCs w:val="16"/>
              </w:rPr>
            </w:pPr>
            <w:r w:rsidRPr="00C62E6B">
              <w:rPr>
                <w:rFonts w:eastAsia="Calibri"/>
                <w:sz w:val="16"/>
                <w:szCs w:val="16"/>
                <w:lang w:eastAsia="en-US"/>
              </w:rPr>
              <w:t>270 975,730</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105 391,553</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165 584,177</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556 478,464</w:t>
            </w:r>
          </w:p>
        </w:tc>
        <w:tc>
          <w:tcPr>
            <w:tcW w:w="567"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284 310,821</w:t>
            </w:r>
          </w:p>
        </w:tc>
        <w:tc>
          <w:tcPr>
            <w:tcW w:w="708"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272 167,643</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139 259</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142 298</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hideMark/>
          </w:tcPr>
          <w:p w:rsidR="00C62E6B" w:rsidRPr="00C62E6B" w:rsidRDefault="00C62E6B" w:rsidP="00C62E6B">
            <w:pPr>
              <w:widowControl/>
              <w:ind w:left="113" w:right="113"/>
              <w:jc w:val="center"/>
              <w:rPr>
                <w:sz w:val="16"/>
                <w:szCs w:val="16"/>
              </w:rPr>
            </w:pPr>
            <w:r w:rsidRPr="00C62E6B">
              <w:rPr>
                <w:rFonts w:eastAsia="Calibri"/>
                <w:sz w:val="16"/>
                <w:szCs w:val="16"/>
                <w:lang w:eastAsia="en-US"/>
              </w:rPr>
              <w:t>136 220</w:t>
            </w:r>
          </w:p>
        </w:tc>
      </w:tr>
    </w:tbl>
    <w:p w:rsidR="00C62E6B" w:rsidRPr="00C62E6B" w:rsidRDefault="00C62E6B" w:rsidP="00C62E6B">
      <w:pPr>
        <w:widowControl/>
        <w:ind w:firstLine="540"/>
        <w:jc w:val="both"/>
        <w:rPr>
          <w:sz w:val="24"/>
          <w:szCs w:val="24"/>
        </w:rPr>
      </w:pPr>
    </w:p>
    <w:p w:rsidR="00C62E6B" w:rsidRPr="00C62E6B" w:rsidRDefault="00C62E6B" w:rsidP="00C62E6B">
      <w:pPr>
        <w:tabs>
          <w:tab w:val="left" w:pos="4020"/>
        </w:tabs>
        <w:ind w:firstLine="540"/>
        <w:jc w:val="both"/>
        <w:rPr>
          <w:sz w:val="24"/>
          <w:szCs w:val="24"/>
        </w:rPr>
      </w:pPr>
      <w:r w:rsidRPr="00C62E6B">
        <w:rPr>
          <w:i/>
          <w:sz w:val="24"/>
          <w:szCs w:val="24"/>
        </w:rPr>
        <w:t xml:space="preserve">АО «Оборонэнерго» (филиал «Волго-Вятский») </w:t>
      </w:r>
      <w:r w:rsidRPr="00C62E6B">
        <w:rPr>
          <w:sz w:val="24"/>
          <w:szCs w:val="24"/>
        </w:rPr>
        <w:t xml:space="preserve">письмом от 06.12.2024 № ВЛГ/030/3417 (прилагается к настоящему протоколу) выражает свое согласие с предложением Департамента по необходимой валовой выручке и расчетом индивидуальных тарифов для АО «Оборонэнерго» (филиал «Волго-Вятский») на 2025 год, направленных Обществу, и просит утвердить их без присутствия представителя организации на заседании Правления. </w:t>
      </w:r>
    </w:p>
    <w:p w:rsidR="00C62E6B" w:rsidRPr="00C62E6B" w:rsidRDefault="00C62E6B" w:rsidP="00C62E6B">
      <w:pPr>
        <w:tabs>
          <w:tab w:val="left" w:pos="4020"/>
        </w:tabs>
        <w:ind w:firstLine="540"/>
        <w:jc w:val="both"/>
        <w:rPr>
          <w:sz w:val="24"/>
          <w:szCs w:val="24"/>
        </w:rPr>
      </w:pPr>
      <w:r w:rsidRPr="00C62E6B">
        <w:rPr>
          <w:i/>
          <w:iCs/>
          <w:sz w:val="24"/>
          <w:szCs w:val="24"/>
        </w:rPr>
        <w:t>АО «Объединенные электрические сети»</w:t>
      </w:r>
      <w:r w:rsidRPr="00C62E6B">
        <w:rPr>
          <w:sz w:val="24"/>
          <w:szCs w:val="24"/>
        </w:rPr>
        <w:t xml:space="preserve"> письмом от 10.12.2024 № 101-031 (прилагается к настоящему протоколу) выразило свое несогласие с предложенными на утверждение Департаментом индивидуальными тарифами на услуги о передаче электрической энергии для взаиморасчетов между сетевыми организациями Ивановской области на 2025 год. Основания несогласия и позиция Департамента указаны в п. 4 настоящего протокола.</w:t>
      </w:r>
    </w:p>
    <w:p w:rsidR="00C62E6B" w:rsidRPr="00C62E6B" w:rsidRDefault="00C62E6B" w:rsidP="00C62E6B">
      <w:pPr>
        <w:tabs>
          <w:tab w:val="left" w:pos="4020"/>
        </w:tabs>
        <w:ind w:firstLine="540"/>
        <w:jc w:val="both"/>
        <w:rPr>
          <w:sz w:val="24"/>
          <w:szCs w:val="24"/>
        </w:rPr>
      </w:pPr>
      <w:r w:rsidRPr="00C62E6B">
        <w:rPr>
          <w:i/>
          <w:sz w:val="24"/>
          <w:szCs w:val="24"/>
        </w:rPr>
        <w:t xml:space="preserve">ООО «ИВЭЛС» </w:t>
      </w:r>
      <w:r w:rsidRPr="00C62E6B">
        <w:rPr>
          <w:sz w:val="24"/>
          <w:szCs w:val="24"/>
        </w:rPr>
        <w:t>письмом от 09.12.2024 № 475/1 (прилагается к настоящему протоколу) выражает свое несогласие с предлагаемой Департаментом к установлению необходимой валовой выручкой в отношении ООО «ИВЭЛС» на 2025 год. Основания несогласия и позиция Департамента указаны в п. 3 настоящего протокола.</w:t>
      </w:r>
    </w:p>
    <w:p w:rsidR="00C62E6B" w:rsidRPr="00C62E6B" w:rsidRDefault="00C62E6B" w:rsidP="00C62E6B">
      <w:pPr>
        <w:tabs>
          <w:tab w:val="left" w:pos="4020"/>
        </w:tabs>
        <w:ind w:firstLine="540"/>
        <w:jc w:val="both"/>
        <w:rPr>
          <w:sz w:val="24"/>
          <w:szCs w:val="24"/>
        </w:rPr>
      </w:pPr>
      <w:r w:rsidRPr="00C62E6B">
        <w:rPr>
          <w:i/>
          <w:sz w:val="24"/>
          <w:szCs w:val="24"/>
        </w:rPr>
        <w:t>Филиал ПАО «Россети Центр и Приволжье» - «Ивэнерго»</w:t>
      </w:r>
      <w:r w:rsidRPr="00C62E6B">
        <w:rPr>
          <w:sz w:val="24"/>
          <w:szCs w:val="24"/>
        </w:rPr>
        <w:t xml:space="preserve"> в письме от 10.12.2024 №МР7-ИвЭ/25-2/7055 (прилагается к настоящему протоколу) в части расчета индивидуальных тарифов для взаиморасчетов со смежными сетевыми организациями выразил несогласие с принимаемыми в расчет данных тарифов для АО «Объединенные электрические сети» плановыми объемами полезного отпуска электрической энергии. По мнению филиала «Ивэнерго», Департаментом не учтены объемы полезного отпуска электрической энергии по потребителям ООО «Эксполит» и ООО «МК КРАНЭКС» (на уровне напряжения ВН от ПС 110/6 кВ «КРАНЭКС»), что приводит к завышению индивидуального тарифа для расчетов с АО «Объединенные электрические сети». </w:t>
      </w:r>
    </w:p>
    <w:p w:rsidR="00C62E6B" w:rsidRPr="00C62E6B" w:rsidRDefault="00C62E6B" w:rsidP="00C62E6B">
      <w:pPr>
        <w:tabs>
          <w:tab w:val="left" w:pos="4020"/>
        </w:tabs>
        <w:ind w:firstLine="540"/>
        <w:jc w:val="both"/>
        <w:rPr>
          <w:sz w:val="24"/>
          <w:szCs w:val="24"/>
        </w:rPr>
      </w:pPr>
      <w:r w:rsidRPr="00C62E6B">
        <w:rPr>
          <w:sz w:val="24"/>
          <w:szCs w:val="24"/>
        </w:rPr>
        <w:t>Департамент отмечает следующее.</w:t>
      </w:r>
    </w:p>
    <w:p w:rsidR="00C62E6B" w:rsidRPr="00C62E6B" w:rsidRDefault="00C62E6B" w:rsidP="00C62E6B">
      <w:pPr>
        <w:tabs>
          <w:tab w:val="left" w:pos="4020"/>
        </w:tabs>
        <w:ind w:firstLine="540"/>
        <w:jc w:val="both"/>
        <w:rPr>
          <w:sz w:val="24"/>
          <w:szCs w:val="24"/>
        </w:rPr>
      </w:pPr>
      <w:r w:rsidRPr="00C62E6B">
        <w:rPr>
          <w:sz w:val="24"/>
          <w:szCs w:val="24"/>
        </w:rPr>
        <w:t>С июня 2019 года и по настоящее время вышеуказанные потребители отсутствовали в перечне потребителей, в отношении которых у «котлодержателя» (филиала «Ивэнерго») были урегулированы договорные отношения по оказанию услуг по передаче электрической энергии. Услуги по передаче электрической энергии вышеуказанным потребителям филиалом «Ивэнерго» не оказывались. Соответствующие точки поставки не были включены филиалом «Ивэнерго» и в действующий договор взаимного оказания услуг по передаче электрической энергии, заключенный с АО «Объединенные электрические сети». Полезный отпуск электрической энергии потребителям, присоединенным к электрическим сетям АО «Объединенные электрические сети», был сформирован на основании фактических данных за 2023 год и с учетом действующих договорных отношений «котлодержателя». Департамент также отмечает, что законодательством предусмотрена корректировка необходимой валовой выручки сетевых организаций в связи с отклонением объема фактически оказанных услуг по передаче электрической энергии от плановых значений, так как в течение периода регулирования фактические показатели объема оказанных услуг объективно могут меняться.</w:t>
      </w:r>
    </w:p>
    <w:p w:rsidR="00C62E6B" w:rsidRPr="00C62E6B" w:rsidRDefault="00C62E6B" w:rsidP="00C62E6B">
      <w:pPr>
        <w:tabs>
          <w:tab w:val="left" w:pos="4020"/>
        </w:tabs>
        <w:ind w:firstLine="540"/>
        <w:jc w:val="both"/>
        <w:rPr>
          <w:sz w:val="24"/>
          <w:szCs w:val="24"/>
        </w:rPr>
      </w:pPr>
      <w:r w:rsidRPr="00C62E6B">
        <w:rPr>
          <w:sz w:val="24"/>
          <w:szCs w:val="24"/>
        </w:rPr>
        <w:t>Ассоциация «НП Совет рынка» голосует по данному вопросу «против», по причине не предоставления расчетов и экспертного заключения.</w:t>
      </w:r>
    </w:p>
    <w:p w:rsidR="00C62E6B" w:rsidRPr="00C62E6B" w:rsidRDefault="00C62E6B" w:rsidP="00C62E6B">
      <w:pPr>
        <w:tabs>
          <w:tab w:val="left" w:pos="4020"/>
        </w:tabs>
        <w:ind w:firstLine="567"/>
        <w:jc w:val="both"/>
        <w:rPr>
          <w:sz w:val="24"/>
          <w:szCs w:val="24"/>
        </w:rPr>
      </w:pPr>
      <w:r w:rsidRPr="00C62E6B">
        <w:rPr>
          <w:sz w:val="24"/>
          <w:szCs w:val="24"/>
        </w:rPr>
        <w:lastRenderedPageBreak/>
        <w:t>Департамент отмечает, что в адрес Ассоциации «НП Совет рынка» подробные расчетные материалы в отношении территориальных сетевых организаций были направлены.</w:t>
      </w:r>
    </w:p>
    <w:p w:rsidR="00C62E6B" w:rsidRPr="00C62E6B" w:rsidRDefault="00C62E6B" w:rsidP="00C62E6B">
      <w:pPr>
        <w:tabs>
          <w:tab w:val="left" w:pos="4020"/>
        </w:tabs>
        <w:ind w:firstLine="567"/>
        <w:jc w:val="both"/>
        <w:rPr>
          <w:sz w:val="24"/>
          <w:szCs w:val="24"/>
        </w:rPr>
      </w:pPr>
    </w:p>
    <w:p w:rsidR="00C62E6B" w:rsidRPr="00C62E6B" w:rsidRDefault="00C62E6B" w:rsidP="00C62E6B">
      <w:pPr>
        <w:tabs>
          <w:tab w:val="left" w:pos="0"/>
          <w:tab w:val="left" w:pos="1134"/>
          <w:tab w:val="left" w:pos="1276"/>
        </w:tabs>
        <w:ind w:firstLine="567"/>
        <w:contextualSpacing/>
        <w:jc w:val="both"/>
        <w:rPr>
          <w:sz w:val="24"/>
          <w:szCs w:val="24"/>
        </w:rPr>
      </w:pPr>
      <w:r w:rsidRPr="00C62E6B">
        <w:rPr>
          <w:b/>
          <w:sz w:val="24"/>
          <w:szCs w:val="24"/>
        </w:rPr>
        <w:t>РЕШИЛИ:</w:t>
      </w:r>
    </w:p>
    <w:p w:rsidR="00C62E6B" w:rsidRPr="00C62E6B" w:rsidRDefault="00C62E6B" w:rsidP="00C62E6B">
      <w:pPr>
        <w:autoSpaceDE w:val="0"/>
        <w:autoSpaceDN w:val="0"/>
        <w:adjustRightInd w:val="0"/>
        <w:ind w:firstLine="567"/>
        <w:contextualSpacing/>
        <w:jc w:val="both"/>
        <w:rPr>
          <w:sz w:val="24"/>
          <w:szCs w:val="24"/>
        </w:rPr>
      </w:pPr>
      <w:r w:rsidRPr="00C62E6B">
        <w:rPr>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w:t>
      </w:r>
    </w:p>
    <w:p w:rsidR="00C62E6B" w:rsidRPr="00C62E6B" w:rsidRDefault="00C62E6B" w:rsidP="00C62E6B">
      <w:pPr>
        <w:autoSpaceDE w:val="0"/>
        <w:autoSpaceDN w:val="0"/>
        <w:adjustRightInd w:val="0"/>
        <w:ind w:firstLine="567"/>
        <w:contextualSpacing/>
        <w:jc w:val="both"/>
        <w:rPr>
          <w:sz w:val="24"/>
          <w:szCs w:val="24"/>
        </w:rPr>
      </w:pPr>
      <w:r w:rsidRPr="00C62E6B">
        <w:rPr>
          <w:sz w:val="24"/>
          <w:szCs w:val="24"/>
        </w:rPr>
        <w:t>1. Установить с 01.01.2025 по 31.12.2025 индивидуальные тарифы на услуги по передаче электрической энергии для взаиморасчетов между сетевыми организациями Ивановской области в соответствии с Таблицей ниже.</w:t>
      </w:r>
    </w:p>
    <w:p w:rsidR="00C62E6B" w:rsidRPr="00C62E6B" w:rsidRDefault="00C62E6B" w:rsidP="00C62E6B">
      <w:pPr>
        <w:autoSpaceDE w:val="0"/>
        <w:autoSpaceDN w:val="0"/>
        <w:adjustRightInd w:val="0"/>
        <w:ind w:firstLine="567"/>
        <w:contextualSpacing/>
        <w:jc w:val="right"/>
        <w:rPr>
          <w:sz w:val="24"/>
          <w:szCs w:val="24"/>
        </w:rPr>
      </w:pPr>
      <w:r w:rsidRPr="00C62E6B">
        <w:rPr>
          <w:sz w:val="24"/>
          <w:szCs w:val="24"/>
        </w:rPr>
        <w:t>Таблица</w:t>
      </w:r>
    </w:p>
    <w:p w:rsidR="00C62E6B" w:rsidRPr="00C62E6B" w:rsidRDefault="00C62E6B" w:rsidP="00C62E6B">
      <w:pPr>
        <w:tabs>
          <w:tab w:val="left" w:pos="1276"/>
        </w:tabs>
        <w:autoSpaceDE w:val="0"/>
        <w:autoSpaceDN w:val="0"/>
        <w:adjustRightInd w:val="0"/>
        <w:jc w:val="center"/>
        <w:rPr>
          <w:sz w:val="24"/>
          <w:szCs w:val="24"/>
        </w:rPr>
      </w:pPr>
      <w:r w:rsidRPr="00C62E6B">
        <w:rPr>
          <w:sz w:val="24"/>
          <w:szCs w:val="24"/>
        </w:rPr>
        <w:t>Индивидуальные тарифы</w:t>
      </w:r>
    </w:p>
    <w:p w:rsidR="00C62E6B" w:rsidRPr="00C62E6B" w:rsidRDefault="00C62E6B" w:rsidP="00C62E6B">
      <w:pPr>
        <w:tabs>
          <w:tab w:val="left" w:pos="1276"/>
        </w:tabs>
        <w:autoSpaceDE w:val="0"/>
        <w:autoSpaceDN w:val="0"/>
        <w:adjustRightInd w:val="0"/>
        <w:jc w:val="center"/>
        <w:rPr>
          <w:sz w:val="24"/>
          <w:szCs w:val="24"/>
        </w:rPr>
      </w:pPr>
      <w:r w:rsidRPr="00C62E6B">
        <w:rPr>
          <w:sz w:val="24"/>
          <w:szCs w:val="24"/>
        </w:rPr>
        <w:t>на услуги по передаче электрической энергии</w:t>
      </w:r>
    </w:p>
    <w:p w:rsidR="00C62E6B" w:rsidRPr="00C62E6B" w:rsidRDefault="00C62E6B" w:rsidP="00C62E6B">
      <w:pPr>
        <w:tabs>
          <w:tab w:val="left" w:pos="1276"/>
        </w:tabs>
        <w:autoSpaceDE w:val="0"/>
        <w:autoSpaceDN w:val="0"/>
        <w:adjustRightInd w:val="0"/>
        <w:jc w:val="center"/>
        <w:rPr>
          <w:sz w:val="24"/>
          <w:szCs w:val="24"/>
        </w:rPr>
      </w:pPr>
      <w:r w:rsidRPr="00C62E6B">
        <w:rPr>
          <w:sz w:val="24"/>
          <w:szCs w:val="24"/>
        </w:rPr>
        <w:t>для взаиморасчетов между сетевыми организациями</w:t>
      </w:r>
    </w:p>
    <w:p w:rsidR="00C62E6B" w:rsidRPr="00C62E6B" w:rsidRDefault="00C62E6B" w:rsidP="00C62E6B">
      <w:pPr>
        <w:tabs>
          <w:tab w:val="left" w:pos="1276"/>
        </w:tabs>
        <w:autoSpaceDE w:val="0"/>
        <w:autoSpaceDN w:val="0"/>
        <w:adjustRightInd w:val="0"/>
        <w:jc w:val="center"/>
        <w:rPr>
          <w:sz w:val="24"/>
          <w:szCs w:val="24"/>
        </w:rPr>
      </w:pPr>
      <w:r w:rsidRPr="00C62E6B">
        <w:rPr>
          <w:sz w:val="24"/>
          <w:szCs w:val="24"/>
        </w:rPr>
        <w:t>(согласно заключенным договорам оказания услуг по передаче электрической энергии)</w:t>
      </w:r>
    </w:p>
    <w:p w:rsidR="00C62E6B" w:rsidRPr="00C62E6B" w:rsidRDefault="00C62E6B" w:rsidP="00C62E6B">
      <w:pPr>
        <w:autoSpaceDE w:val="0"/>
        <w:autoSpaceDN w:val="0"/>
        <w:adjustRightInd w:val="0"/>
        <w:ind w:firstLine="567"/>
        <w:contextualSpacing/>
        <w:jc w:val="both"/>
        <w:rPr>
          <w:sz w:val="24"/>
          <w:szCs w:val="24"/>
        </w:rPr>
      </w:pPr>
    </w:p>
    <w:p w:rsidR="00C62E6B" w:rsidRPr="00C62E6B" w:rsidRDefault="00C62E6B" w:rsidP="00C62E6B">
      <w:pPr>
        <w:widowControl/>
        <w:ind w:hanging="426"/>
        <w:jc w:val="both"/>
        <w:rPr>
          <w:sz w:val="24"/>
          <w:szCs w:val="24"/>
        </w:rPr>
      </w:pPr>
      <w:r w:rsidRPr="00C62E6B">
        <w:rPr>
          <w:rFonts w:ascii="Calibri" w:eastAsia="Calibri" w:hAnsi="Calibri"/>
          <w:noProof/>
          <w:sz w:val="22"/>
          <w:szCs w:val="22"/>
        </w:rPr>
        <w:drawing>
          <wp:inline distT="0" distB="0" distL="0" distR="0" wp14:anchorId="151529F7" wp14:editId="67F79A1B">
            <wp:extent cx="6607810" cy="2734310"/>
            <wp:effectExtent l="0" t="0" r="2540"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7810" cy="2734310"/>
                    </a:xfrm>
                    <a:prstGeom prst="rect">
                      <a:avLst/>
                    </a:prstGeom>
                    <a:noFill/>
                    <a:ln>
                      <a:noFill/>
                    </a:ln>
                  </pic:spPr>
                </pic:pic>
              </a:graphicData>
            </a:graphic>
          </wp:inline>
        </w:drawing>
      </w:r>
    </w:p>
    <w:p w:rsidR="00C62E6B" w:rsidRPr="00C62E6B" w:rsidRDefault="00C62E6B" w:rsidP="00C62E6B">
      <w:pPr>
        <w:widowControl/>
        <w:ind w:hanging="426"/>
        <w:jc w:val="both"/>
        <w:rPr>
          <w:sz w:val="24"/>
          <w:szCs w:val="24"/>
        </w:rPr>
      </w:pPr>
    </w:p>
    <w:p w:rsidR="00C62E6B" w:rsidRPr="00C62E6B" w:rsidRDefault="00C62E6B" w:rsidP="00C62E6B">
      <w:pPr>
        <w:tabs>
          <w:tab w:val="left" w:pos="1276"/>
        </w:tabs>
        <w:autoSpaceDE w:val="0"/>
        <w:autoSpaceDN w:val="0"/>
        <w:adjustRightInd w:val="0"/>
        <w:ind w:firstLine="540"/>
        <w:jc w:val="both"/>
        <w:rPr>
          <w:sz w:val="24"/>
          <w:szCs w:val="24"/>
        </w:rPr>
      </w:pPr>
      <w:r w:rsidRPr="00C62E6B">
        <w:rPr>
          <w:sz w:val="24"/>
          <w:szCs w:val="24"/>
        </w:rPr>
        <w:t>2. С 01.01.2025 признать утратившим силу постановление Департамента энергетики и тарифов Ивановской области от 15.10.2024 № 37-э/2.</w:t>
      </w:r>
    </w:p>
    <w:p w:rsidR="00C62E6B" w:rsidRPr="00C62E6B" w:rsidRDefault="00C62E6B" w:rsidP="00C62E6B">
      <w:pPr>
        <w:tabs>
          <w:tab w:val="left" w:pos="1276"/>
        </w:tabs>
        <w:autoSpaceDE w:val="0"/>
        <w:autoSpaceDN w:val="0"/>
        <w:adjustRightInd w:val="0"/>
        <w:ind w:firstLine="540"/>
        <w:jc w:val="both"/>
        <w:rPr>
          <w:b/>
          <w:sz w:val="24"/>
          <w:szCs w:val="24"/>
        </w:rPr>
      </w:pPr>
      <w:r w:rsidRPr="00C62E6B">
        <w:rPr>
          <w:sz w:val="24"/>
          <w:szCs w:val="24"/>
        </w:rPr>
        <w:t>3</w:t>
      </w:r>
      <w:r w:rsidRPr="00C62E6B">
        <w:rPr>
          <w:sz w:val="24"/>
          <w:szCs w:val="24"/>
          <w:lang w:val="x-none"/>
        </w:rPr>
        <w:t xml:space="preserve">. Настоящее постановление вступает в силу </w:t>
      </w:r>
      <w:r w:rsidRPr="00C62E6B">
        <w:rPr>
          <w:sz w:val="24"/>
          <w:szCs w:val="24"/>
        </w:rPr>
        <w:t>после дня</w:t>
      </w:r>
      <w:r w:rsidRPr="00C62E6B">
        <w:rPr>
          <w:sz w:val="24"/>
          <w:szCs w:val="24"/>
          <w:lang w:val="x-none"/>
        </w:rPr>
        <w:t xml:space="preserve"> </w:t>
      </w:r>
      <w:r w:rsidRPr="00C62E6B">
        <w:rPr>
          <w:sz w:val="24"/>
          <w:szCs w:val="24"/>
        </w:rPr>
        <w:t xml:space="preserve">его </w:t>
      </w:r>
      <w:r w:rsidRPr="00C62E6B">
        <w:rPr>
          <w:sz w:val="24"/>
          <w:szCs w:val="24"/>
          <w:lang w:val="x-none"/>
        </w:rPr>
        <w:t>официального опубликования.</w:t>
      </w:r>
    </w:p>
    <w:p w:rsidR="00C62E6B" w:rsidRPr="00C62E6B" w:rsidRDefault="00C62E6B" w:rsidP="00C62E6B">
      <w:pPr>
        <w:widowControl/>
        <w:ind w:firstLine="567"/>
        <w:jc w:val="both"/>
        <w:rPr>
          <w:sz w:val="24"/>
          <w:szCs w:val="24"/>
        </w:rPr>
      </w:pPr>
    </w:p>
    <w:p w:rsidR="00C62E6B" w:rsidRPr="00C62E6B" w:rsidRDefault="00C62E6B" w:rsidP="00C62E6B">
      <w:pPr>
        <w:tabs>
          <w:tab w:val="left" w:pos="4020"/>
        </w:tabs>
        <w:ind w:firstLine="540"/>
        <w:rPr>
          <w:sz w:val="24"/>
          <w:szCs w:val="24"/>
        </w:rPr>
      </w:pPr>
      <w:r w:rsidRPr="00C62E6B">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rPr>
                <w:sz w:val="24"/>
                <w:szCs w:val="24"/>
              </w:rPr>
            </w:pPr>
            <w:r w:rsidRPr="00C62E6B">
              <w:rPr>
                <w:sz w:val="24"/>
                <w:szCs w:val="24"/>
              </w:rPr>
              <w:t>№ п/п</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rPr>
                <w:sz w:val="24"/>
                <w:szCs w:val="24"/>
              </w:rPr>
            </w:pPr>
            <w:r w:rsidRPr="00C62E6B">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rPr>
                <w:sz w:val="24"/>
                <w:szCs w:val="24"/>
              </w:rPr>
            </w:pPr>
            <w:r w:rsidRPr="00C62E6B">
              <w:rPr>
                <w:sz w:val="24"/>
                <w:szCs w:val="24"/>
              </w:rPr>
              <w:t>Результаты голосования</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1.</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2.</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3.</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4.</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5.</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6.</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7.</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540"/>
              <w:rPr>
                <w:sz w:val="24"/>
                <w:szCs w:val="24"/>
              </w:rPr>
            </w:pPr>
            <w:r w:rsidRPr="00C62E6B">
              <w:rPr>
                <w:sz w:val="24"/>
                <w:szCs w:val="24"/>
              </w:rPr>
              <w:t>8.</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15"/>
              <w:rPr>
                <w:sz w:val="24"/>
                <w:szCs w:val="24"/>
              </w:rPr>
            </w:pPr>
            <w:r w:rsidRPr="00C62E6B">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ind w:firstLine="33"/>
              <w:jc w:val="center"/>
              <w:rPr>
                <w:sz w:val="24"/>
                <w:szCs w:val="24"/>
              </w:rPr>
            </w:pPr>
            <w:r w:rsidRPr="00C62E6B">
              <w:rPr>
                <w:sz w:val="24"/>
                <w:szCs w:val="24"/>
              </w:rPr>
              <w:t>против</w:t>
            </w:r>
          </w:p>
        </w:tc>
      </w:tr>
    </w:tbl>
    <w:p w:rsidR="00C62E6B" w:rsidRPr="00C62E6B" w:rsidRDefault="00C62E6B" w:rsidP="00C62E6B">
      <w:pPr>
        <w:tabs>
          <w:tab w:val="left" w:pos="4020"/>
        </w:tabs>
        <w:ind w:left="284" w:firstLine="283"/>
        <w:rPr>
          <w:sz w:val="24"/>
          <w:szCs w:val="24"/>
        </w:rPr>
      </w:pPr>
      <w:r w:rsidRPr="00C62E6B">
        <w:rPr>
          <w:sz w:val="24"/>
          <w:szCs w:val="24"/>
        </w:rPr>
        <w:t>Итого: за – 7, против – 1, воздержался – 0, отсутствуют – 0.</w:t>
      </w:r>
    </w:p>
    <w:p w:rsidR="00C62E6B" w:rsidRDefault="00C62E6B" w:rsidP="00FE0A3A">
      <w:pPr>
        <w:tabs>
          <w:tab w:val="left" w:pos="4020"/>
        </w:tabs>
        <w:ind w:left="284" w:firstLine="283"/>
        <w:rPr>
          <w:sz w:val="24"/>
          <w:szCs w:val="24"/>
        </w:rPr>
      </w:pPr>
    </w:p>
    <w:p w:rsidR="00C62E6B" w:rsidRPr="00C62E6B" w:rsidRDefault="00C62E6B" w:rsidP="00C62E6B">
      <w:pPr>
        <w:tabs>
          <w:tab w:val="left" w:pos="0"/>
          <w:tab w:val="left" w:pos="709"/>
          <w:tab w:val="left" w:pos="851"/>
        </w:tabs>
        <w:ind w:firstLine="567"/>
        <w:contextualSpacing/>
        <w:jc w:val="both"/>
        <w:rPr>
          <w:b/>
          <w:bCs/>
          <w:sz w:val="24"/>
          <w:szCs w:val="24"/>
        </w:rPr>
      </w:pPr>
      <w:r w:rsidRPr="00C62E6B">
        <w:rPr>
          <w:b/>
          <w:bCs/>
          <w:sz w:val="24"/>
          <w:szCs w:val="24"/>
          <w:lang w:val="en-US"/>
        </w:rPr>
        <w:lastRenderedPageBreak/>
        <w:t>III</w:t>
      </w:r>
      <w:r w:rsidRPr="00C62E6B">
        <w:rPr>
          <w:b/>
          <w:bCs/>
          <w:sz w:val="24"/>
          <w:szCs w:val="24"/>
        </w:rPr>
        <w:t xml:space="preserve">. СЛУШАЛИ: </w:t>
      </w:r>
      <w:r w:rsidRPr="00C62E6B">
        <w:rPr>
          <w:b/>
          <w:bCs/>
          <w:sz w:val="24"/>
          <w:szCs w:val="24"/>
        </w:rPr>
        <w:tab/>
        <w:t>О внесении изменений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 (Морева, Коннова, Назарова, Лизунов).</w:t>
      </w:r>
    </w:p>
    <w:p w:rsidR="00C62E6B" w:rsidRPr="00C62E6B" w:rsidRDefault="00C62E6B" w:rsidP="00C62E6B">
      <w:pPr>
        <w:tabs>
          <w:tab w:val="left" w:pos="993"/>
          <w:tab w:val="left" w:pos="1418"/>
          <w:tab w:val="left" w:pos="4020"/>
        </w:tabs>
        <w:ind w:firstLine="567"/>
        <w:jc w:val="both"/>
        <w:rPr>
          <w:bCs/>
          <w:sz w:val="24"/>
          <w:szCs w:val="24"/>
        </w:rPr>
      </w:pPr>
      <w:r w:rsidRPr="00C62E6B">
        <w:rPr>
          <w:bCs/>
          <w:sz w:val="24"/>
          <w:szCs w:val="24"/>
        </w:rPr>
        <w:t xml:space="preserve">Рассмотрено дело в части корректировки </w:t>
      </w:r>
      <w:r w:rsidRPr="00C62E6B">
        <w:rPr>
          <w:sz w:val="24"/>
          <w:szCs w:val="24"/>
        </w:rPr>
        <w:t xml:space="preserve">НВВ на содержание электрических сетей на 2025 год, </w:t>
      </w:r>
      <w:r w:rsidRPr="00C62E6B">
        <w:rPr>
          <w:bCs/>
          <w:sz w:val="24"/>
          <w:szCs w:val="24"/>
        </w:rPr>
        <w:t>принимаемой в расчет единых (котловых) и индивидуальных тарифов на услуги по передаче электрической энергии (без учета оплаты потерь), для ООО «ИВЭЛС» (долгосрочный период регулирования 2021-2025 гг.).</w:t>
      </w:r>
    </w:p>
    <w:p w:rsidR="00C62E6B" w:rsidRPr="00C62E6B" w:rsidRDefault="00C62E6B" w:rsidP="00C62E6B">
      <w:pPr>
        <w:tabs>
          <w:tab w:val="left" w:pos="993"/>
          <w:tab w:val="left" w:pos="1418"/>
          <w:tab w:val="left" w:pos="4020"/>
        </w:tabs>
        <w:ind w:firstLine="567"/>
        <w:jc w:val="both"/>
        <w:rPr>
          <w:sz w:val="24"/>
          <w:szCs w:val="24"/>
        </w:rPr>
      </w:pPr>
      <w:r w:rsidRPr="00C62E6B">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C62E6B" w:rsidRPr="00C62E6B" w:rsidRDefault="00C62E6B" w:rsidP="00C62E6B">
      <w:pPr>
        <w:ind w:firstLine="567"/>
        <w:jc w:val="both"/>
        <w:rPr>
          <w:sz w:val="24"/>
          <w:szCs w:val="24"/>
        </w:rPr>
      </w:pPr>
      <w:r w:rsidRPr="00C62E6B">
        <w:rPr>
          <w:bCs/>
          <w:sz w:val="24"/>
          <w:szCs w:val="24"/>
        </w:rPr>
        <w:t>Департамент отмечает, что расчет произведен специалистами Департамента в</w:t>
      </w:r>
      <w:r w:rsidRPr="00C62E6B">
        <w:rPr>
          <w:sz w:val="24"/>
          <w:szCs w:val="24"/>
        </w:rPr>
        <w:t xml:space="preserve"> соответствии с:</w:t>
      </w:r>
    </w:p>
    <w:p w:rsidR="00C62E6B" w:rsidRPr="00C62E6B" w:rsidRDefault="00C62E6B" w:rsidP="00C62E6B">
      <w:pPr>
        <w:tabs>
          <w:tab w:val="left" w:pos="993"/>
          <w:tab w:val="left" w:pos="1418"/>
          <w:tab w:val="left" w:pos="4020"/>
        </w:tabs>
        <w:ind w:firstLine="567"/>
        <w:jc w:val="both"/>
        <w:rPr>
          <w:bCs/>
          <w:sz w:val="24"/>
          <w:szCs w:val="24"/>
        </w:rPr>
      </w:pPr>
      <w:r w:rsidRPr="00C62E6B">
        <w:rPr>
          <w:bCs/>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2025 год и плановый период 2026 и 2027 годов,</w:t>
      </w:r>
    </w:p>
    <w:p w:rsidR="00C62E6B" w:rsidRPr="00C62E6B" w:rsidRDefault="00C62E6B" w:rsidP="00C62E6B">
      <w:pPr>
        <w:tabs>
          <w:tab w:val="left" w:pos="993"/>
          <w:tab w:val="left" w:pos="1418"/>
          <w:tab w:val="left" w:pos="4020"/>
        </w:tabs>
        <w:ind w:firstLine="567"/>
        <w:jc w:val="both"/>
        <w:rPr>
          <w:sz w:val="24"/>
          <w:szCs w:val="24"/>
        </w:rPr>
      </w:pPr>
      <w:r w:rsidRPr="00C62E6B">
        <w:rPr>
          <w:bCs/>
          <w:sz w:val="24"/>
          <w:szCs w:val="24"/>
        </w:rPr>
        <w:t>- положениями постановления Правительства Российской Федерации от 29.12.2011 № 1178 «О</w:t>
      </w:r>
      <w:r w:rsidRPr="00C62E6B">
        <w:rPr>
          <w:sz w:val="24"/>
          <w:szCs w:val="24"/>
        </w:rPr>
        <w:t xml:space="preserve"> ценообразовании в области регулируемых цен (тарифов) в электроэнергетике» (далее – Основы ценообразования),</w:t>
      </w:r>
    </w:p>
    <w:p w:rsidR="00C62E6B" w:rsidRPr="00C62E6B" w:rsidRDefault="00C62E6B" w:rsidP="00C62E6B">
      <w:pPr>
        <w:widowControl/>
        <w:autoSpaceDE w:val="0"/>
        <w:autoSpaceDN w:val="0"/>
        <w:adjustRightInd w:val="0"/>
        <w:ind w:firstLine="567"/>
        <w:jc w:val="both"/>
        <w:rPr>
          <w:sz w:val="24"/>
          <w:szCs w:val="24"/>
        </w:rPr>
      </w:pPr>
      <w:r w:rsidRPr="00C62E6B">
        <w:rPr>
          <w:sz w:val="24"/>
          <w:szCs w:val="24"/>
        </w:rPr>
        <w:t>- 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C62E6B" w:rsidRPr="00C62E6B" w:rsidRDefault="00C62E6B" w:rsidP="00C62E6B">
      <w:pPr>
        <w:ind w:firstLine="567"/>
        <w:jc w:val="both"/>
        <w:rPr>
          <w:sz w:val="24"/>
          <w:szCs w:val="24"/>
        </w:rPr>
      </w:pPr>
      <w:r w:rsidRPr="00C62E6B">
        <w:rPr>
          <w:sz w:val="24"/>
          <w:szCs w:val="24"/>
        </w:rPr>
        <w:t>Основные показатели деятельности ООО «ИВЭЛС», принимаемые в расчет единых (котловых) и индивидуальных тарифов на услуги по передаче электрической энергии на 2025 год, а также принимаемые при установлении НВВ, приведены в приложениях к протоколу.</w:t>
      </w:r>
    </w:p>
    <w:p w:rsidR="00C62E6B" w:rsidRPr="00C62E6B" w:rsidRDefault="00C62E6B" w:rsidP="00C62E6B">
      <w:pPr>
        <w:ind w:firstLine="567"/>
        <w:jc w:val="both"/>
        <w:rPr>
          <w:sz w:val="24"/>
          <w:szCs w:val="24"/>
        </w:rPr>
      </w:pPr>
      <w:r w:rsidRPr="00C62E6B">
        <w:rPr>
          <w:sz w:val="24"/>
          <w:szCs w:val="24"/>
        </w:rPr>
        <w:t>По результатам экспертизы подготовлены расчетные материалы и соответствующее экспертное заключение.</w:t>
      </w:r>
    </w:p>
    <w:p w:rsidR="00C62E6B" w:rsidRPr="00C62E6B" w:rsidRDefault="00C62E6B" w:rsidP="00C62E6B">
      <w:pPr>
        <w:ind w:firstLine="567"/>
        <w:jc w:val="both"/>
        <w:rPr>
          <w:bCs/>
          <w:sz w:val="24"/>
          <w:szCs w:val="24"/>
        </w:rPr>
      </w:pPr>
      <w:r w:rsidRPr="00C62E6B">
        <w:rPr>
          <w:bCs/>
          <w:sz w:val="24"/>
          <w:szCs w:val="24"/>
        </w:rPr>
        <w:t>Необходимо внести соответствующие изменения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2021-2025 годы, в отношении которого тарифы на услуги по передаче электрической энергии устанавливаются на основе долгосрочных параметров регулирования».</w:t>
      </w:r>
    </w:p>
    <w:p w:rsidR="00C62E6B" w:rsidRPr="00C62E6B" w:rsidRDefault="00C62E6B" w:rsidP="00C62E6B">
      <w:pPr>
        <w:widowControl/>
        <w:tabs>
          <w:tab w:val="left" w:pos="0"/>
          <w:tab w:val="left" w:pos="709"/>
          <w:tab w:val="left" w:pos="851"/>
          <w:tab w:val="left" w:pos="1134"/>
        </w:tabs>
        <w:ind w:firstLine="567"/>
        <w:contextualSpacing/>
        <w:jc w:val="both"/>
        <w:rPr>
          <w:bCs/>
          <w:sz w:val="24"/>
          <w:szCs w:val="24"/>
        </w:rPr>
      </w:pPr>
      <w:r w:rsidRPr="00C62E6B">
        <w:rPr>
          <w:bCs/>
          <w:sz w:val="24"/>
          <w:szCs w:val="24"/>
        </w:rPr>
        <w:t>ООО «ИВЭЛС» письмом от 09.12.2024 № 475/1 (прилагается к настоящему протоколу) направило особое мнение, в котором отразило свое несогласие с предлагаемой к утверждению НВВ, участвующей в расчете тарифов на услуги по передаче электрической энергии (мощности) на 2025 год, по следующим статьям.</w:t>
      </w:r>
    </w:p>
    <w:p w:rsidR="00C62E6B" w:rsidRPr="00C62E6B" w:rsidRDefault="00C62E6B" w:rsidP="00C62E6B">
      <w:pPr>
        <w:widowControl/>
        <w:ind w:firstLine="708"/>
        <w:jc w:val="both"/>
        <w:rPr>
          <w:rFonts w:eastAsia="Calibri"/>
          <w:bCs/>
          <w:sz w:val="24"/>
          <w:szCs w:val="24"/>
          <w:u w:val="single"/>
          <w:lang w:eastAsia="en-US"/>
        </w:rPr>
      </w:pPr>
      <w:r w:rsidRPr="00C62E6B">
        <w:rPr>
          <w:rFonts w:eastAsia="Calibri"/>
          <w:bCs/>
          <w:sz w:val="24"/>
          <w:szCs w:val="24"/>
          <w:u w:val="single"/>
          <w:lang w:eastAsia="en-US"/>
        </w:rPr>
        <w:t>Аренда склада</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t xml:space="preserve">Департаментом в отсутствие каких-либо оснований не учтены плановые затраты Общества на 2025 год по договору аренды склада </w:t>
      </w:r>
      <w:r w:rsidRPr="00C62E6B">
        <w:rPr>
          <w:rFonts w:eastAsia="Calibri"/>
          <w:bCs/>
          <w:sz w:val="24"/>
          <w:szCs w:val="24"/>
          <w:lang w:eastAsia="en-US"/>
        </w:rPr>
        <w:t>№ 01/10/24 от 01/10/2024 г.</w:t>
      </w:r>
      <w:r w:rsidRPr="00C62E6B">
        <w:rPr>
          <w:rFonts w:eastAsia="Calibri"/>
          <w:sz w:val="24"/>
          <w:szCs w:val="24"/>
          <w:lang w:eastAsia="en-US"/>
        </w:rPr>
        <w:t xml:space="preserve"> между ООО «ИВЭЛС» и ООО «Ритм» в размере 2 280,58 тыс. руб. </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t>Необходимость хранения материалов, в том числе аварийного запаса, регламентируется требованиями действующего законодательства.</w:t>
      </w:r>
    </w:p>
    <w:p w:rsidR="00C62E6B" w:rsidRPr="00C62E6B" w:rsidRDefault="00C62E6B" w:rsidP="00C62E6B">
      <w:pPr>
        <w:widowControl/>
        <w:ind w:firstLine="709"/>
        <w:jc w:val="both"/>
        <w:rPr>
          <w:rFonts w:eastAsia="Calibri"/>
          <w:sz w:val="24"/>
          <w:szCs w:val="24"/>
          <w:lang w:eastAsia="en-US"/>
        </w:rPr>
      </w:pPr>
      <w:r w:rsidRPr="00C62E6B">
        <w:rPr>
          <w:rFonts w:eastAsia="Calibri"/>
          <w:sz w:val="24"/>
          <w:szCs w:val="24"/>
          <w:lang w:eastAsia="en-US"/>
        </w:rPr>
        <w:t>Договор аренды складского помещения был предоставлен в составе тарифной заявки ООО «ИВЭЛС» в установленном порядке. Каких-либо замечаний и дополнительных запросов в адрес Общества не поступало.</w:t>
      </w:r>
    </w:p>
    <w:p w:rsidR="00C62E6B" w:rsidRPr="00C62E6B" w:rsidRDefault="00C62E6B" w:rsidP="00C62E6B">
      <w:pPr>
        <w:widowControl/>
        <w:ind w:firstLine="709"/>
        <w:jc w:val="both"/>
        <w:rPr>
          <w:rFonts w:eastAsia="Calibri"/>
          <w:sz w:val="24"/>
          <w:szCs w:val="24"/>
          <w:lang w:eastAsia="en-US"/>
        </w:rPr>
      </w:pPr>
      <w:r w:rsidRPr="00C62E6B">
        <w:rPr>
          <w:rFonts w:eastAsia="Calibri"/>
          <w:sz w:val="24"/>
          <w:szCs w:val="24"/>
          <w:lang w:eastAsia="en-US"/>
        </w:rPr>
        <w:t>Обращаем внимание, что возможность размещения склада не только на первом и цокольном (подземном) этажах зданий допускается законом. В частности, согласно п. 9.2. Свода правил «Склады нефти и нефтепродуктов. Требования пожарной безопасности», утв. Приказ МЧС России от 26 декабря 2013 г. № 837, складские здания для нефтепродуктов в таре следует принимать для горючих нефтепродуктов - не более </w:t>
      </w:r>
      <w:r w:rsidRPr="00C62E6B">
        <w:rPr>
          <w:rFonts w:eastAsia="Calibri"/>
          <w:i/>
          <w:iCs/>
          <w:sz w:val="24"/>
          <w:szCs w:val="24"/>
          <w:lang w:eastAsia="en-US"/>
        </w:rPr>
        <w:t>трех</w:t>
      </w:r>
      <w:r w:rsidRPr="00C62E6B">
        <w:rPr>
          <w:rFonts w:eastAsia="Calibri"/>
          <w:sz w:val="24"/>
          <w:szCs w:val="24"/>
          <w:lang w:eastAsia="en-US"/>
        </w:rPr>
        <w:t> </w:t>
      </w:r>
      <w:r w:rsidRPr="00C62E6B">
        <w:rPr>
          <w:rFonts w:eastAsia="Calibri"/>
          <w:i/>
          <w:iCs/>
          <w:sz w:val="24"/>
          <w:szCs w:val="24"/>
          <w:lang w:eastAsia="en-US"/>
        </w:rPr>
        <w:t>этажей</w:t>
      </w:r>
      <w:r w:rsidRPr="00C62E6B">
        <w:rPr>
          <w:rFonts w:eastAsia="Calibri"/>
          <w:sz w:val="24"/>
          <w:szCs w:val="24"/>
          <w:lang w:eastAsia="en-US"/>
        </w:rPr>
        <w:t>.</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lastRenderedPageBreak/>
        <w:t>В соответствии п.7 Основ ценообразования в области регулируемых цен (тарифов) в электроэнергетике, утв. Постановления Правительства РФ от 29.12.2011 № 1178 (далее – Основы ценообразования) фактические расходы определяются на основании данных статистической и бухгалтерской отчетности за год и иных материалов.</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t>По данному вопросу Департамент отмечает следующее.</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t xml:space="preserve">По результатам проведенной экспертизы обосновывающих материалов Департаментом затраты по статье расходов «Аренда склада» принимаются 0,00 тыс. руб. Плановые расходы на 2025 год заявлены в размере 2 280,58 тыс. руб. </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t>Согласно пункту 12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 1178, 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t>В адрес Департамент</w:t>
      </w:r>
      <w:proofErr w:type="gramStart"/>
      <w:r w:rsidRPr="00C62E6B">
        <w:rPr>
          <w:rFonts w:eastAsia="Calibri"/>
          <w:sz w:val="24"/>
          <w:szCs w:val="24"/>
          <w:lang w:eastAsia="en-US"/>
        </w:rPr>
        <w:t>а ООО</w:t>
      </w:r>
      <w:proofErr w:type="gramEnd"/>
      <w:r w:rsidRPr="00C62E6B">
        <w:rPr>
          <w:rFonts w:eastAsia="Calibri"/>
          <w:sz w:val="24"/>
          <w:szCs w:val="24"/>
          <w:lang w:eastAsia="en-US"/>
        </w:rPr>
        <w:t xml:space="preserve"> «ИВЭЛС» представил договор аренды нежилого помещения № 01/10/2024 от 01.10.2024 с ООО «РИТМ» письмом от 18.11.2024 № 448 (вх-4377-018/1-1-07 от 19.11.2024). Ранее в материалы тарифного дела был предоставлен в качестве обосновывающего документа договор аренды жилого помещения под склад, что не соответствует требованиям действующего законодательства.</w:t>
      </w:r>
    </w:p>
    <w:p w:rsidR="00C62E6B" w:rsidRPr="00C62E6B" w:rsidRDefault="00C62E6B" w:rsidP="00C62E6B">
      <w:pPr>
        <w:widowControl/>
        <w:ind w:firstLine="708"/>
        <w:jc w:val="both"/>
        <w:rPr>
          <w:rFonts w:eastAsia="Calibri"/>
          <w:sz w:val="24"/>
          <w:szCs w:val="24"/>
          <w:lang w:eastAsia="en-US"/>
        </w:rPr>
      </w:pPr>
      <w:r w:rsidRPr="00C62E6B">
        <w:rPr>
          <w:rFonts w:eastAsia="Calibri"/>
          <w:sz w:val="24"/>
          <w:szCs w:val="24"/>
          <w:lang w:eastAsia="en-US"/>
        </w:rPr>
        <w:t>В связи с нарушением срока предоставления дополнительных документов вышеуказанный договор не может быть принят Департаментом в качестве обосновывающего документа. Кроме того, в материалах тарифного дела отсутствуют обоснования заявленной к аренде площади складских помещений, в том числе с учетом характеристик арендуемых помещений (комнаты на третьем этаже административного здания).</w:t>
      </w:r>
    </w:p>
    <w:p w:rsidR="00C62E6B" w:rsidRPr="00C62E6B" w:rsidRDefault="00C62E6B" w:rsidP="00C62E6B">
      <w:pPr>
        <w:widowControl/>
        <w:ind w:firstLine="709"/>
        <w:rPr>
          <w:rFonts w:eastAsia="Calibri"/>
          <w:bCs/>
          <w:sz w:val="24"/>
          <w:szCs w:val="24"/>
          <w:u w:val="single"/>
          <w:lang w:eastAsia="en-US"/>
        </w:rPr>
      </w:pPr>
      <w:r w:rsidRPr="00C62E6B">
        <w:rPr>
          <w:rFonts w:eastAsia="Calibri"/>
          <w:bCs/>
          <w:sz w:val="24"/>
          <w:szCs w:val="24"/>
          <w:u w:val="single"/>
          <w:lang w:eastAsia="en-US"/>
        </w:rPr>
        <w:t>Аренда электросетевого хозяйства</w:t>
      </w:r>
    </w:p>
    <w:p w:rsidR="00C62E6B" w:rsidRPr="00C62E6B" w:rsidRDefault="00C62E6B" w:rsidP="00C62E6B">
      <w:pPr>
        <w:widowControl/>
        <w:ind w:firstLine="709"/>
        <w:jc w:val="both"/>
        <w:rPr>
          <w:sz w:val="24"/>
          <w:szCs w:val="24"/>
          <w:lang w:eastAsia="en-US"/>
        </w:rPr>
      </w:pPr>
      <w:r w:rsidRPr="00C62E6B">
        <w:rPr>
          <w:sz w:val="24"/>
          <w:szCs w:val="24"/>
          <w:lang w:eastAsia="en-US"/>
        </w:rPr>
        <w:t xml:space="preserve">Департаментом без оснований не приняты фактические затраты Общества за 2023 год по договору аренды имущества </w:t>
      </w:r>
      <w:r w:rsidRPr="00C62E6B">
        <w:rPr>
          <w:bCs/>
          <w:sz w:val="24"/>
          <w:szCs w:val="24"/>
          <w:lang w:eastAsia="en-US"/>
        </w:rPr>
        <w:t>№ АР0201-2021ЛС от 01.02.2021 г.</w:t>
      </w:r>
      <w:r w:rsidRPr="00C62E6B">
        <w:rPr>
          <w:sz w:val="24"/>
          <w:szCs w:val="24"/>
          <w:lang w:eastAsia="en-US"/>
        </w:rPr>
        <w:t xml:space="preserve"> между ООО «ИВЭЛС» и ООО «Рост Текс» в размере 1 800 тыс. руб. и ИП Волков М.Е в размере 2 тыс. руб.</w:t>
      </w:r>
    </w:p>
    <w:p w:rsidR="00C62E6B" w:rsidRPr="00C62E6B" w:rsidRDefault="00FB6FF3" w:rsidP="00C62E6B">
      <w:pPr>
        <w:widowControl/>
        <w:ind w:firstLine="709"/>
        <w:jc w:val="both"/>
        <w:rPr>
          <w:sz w:val="24"/>
          <w:szCs w:val="24"/>
          <w:lang w:eastAsia="en-US"/>
        </w:rPr>
      </w:pPr>
      <w:r>
        <w:rPr>
          <w:sz w:val="24"/>
          <w:szCs w:val="24"/>
          <w:lang w:eastAsia="en-US"/>
        </w:rPr>
        <w:t>В обоснование</w:t>
      </w:r>
      <w:r w:rsidR="00C62E6B" w:rsidRPr="00C62E6B">
        <w:rPr>
          <w:sz w:val="24"/>
          <w:szCs w:val="24"/>
          <w:lang w:eastAsia="en-US"/>
        </w:rPr>
        <w:t xml:space="preserve"> исключения данной величины Департаментом указано отсутствие оригиналов инвентарных карточек и оборотно-сальдовых ведомостей от ООО «Рост Текс» и оригинала инвентарной карточки ИП Волков М.Е. </w:t>
      </w:r>
      <w:r>
        <w:rPr>
          <w:sz w:val="24"/>
          <w:szCs w:val="24"/>
          <w:lang w:eastAsia="en-US"/>
        </w:rPr>
        <w:t xml:space="preserve">в </w:t>
      </w:r>
      <w:r w:rsidR="00C62E6B" w:rsidRPr="00C62E6B">
        <w:rPr>
          <w:sz w:val="24"/>
          <w:szCs w:val="24"/>
          <w:lang w:eastAsia="en-US"/>
        </w:rPr>
        <w:t>тарифной заявке ООО «ИВЭЛС».</w:t>
      </w:r>
    </w:p>
    <w:p w:rsidR="00C62E6B" w:rsidRPr="00C62E6B" w:rsidRDefault="00C62E6B" w:rsidP="00C62E6B">
      <w:pPr>
        <w:widowControl/>
        <w:ind w:firstLine="709"/>
        <w:jc w:val="both"/>
        <w:rPr>
          <w:sz w:val="24"/>
          <w:szCs w:val="24"/>
          <w:lang w:eastAsia="en-US"/>
        </w:rPr>
      </w:pPr>
      <w:r w:rsidRPr="00C62E6B">
        <w:rPr>
          <w:sz w:val="24"/>
          <w:szCs w:val="24"/>
          <w:lang w:eastAsia="en-US"/>
        </w:rPr>
        <w:t>Инвентарные карточки по форме ОС-6 ООО «Рост Текс» ранее представлялись в полном объеме в составе тарифной заявки ООО «ИВЭЛС» на 2022 год, в т.ч. оригиналы (письмо № 189, полученное Департаментом 30.07.2021 г.). Оригиналы оборотно-сальдовых ведомостей по счету 01 и 02 за 2023 год ИП Волков М.Е. были предоставлены в Департамент письмом № 199 от «11» июня 2024 года</w:t>
      </w:r>
    </w:p>
    <w:p w:rsidR="00C62E6B" w:rsidRPr="00C62E6B" w:rsidRDefault="00C62E6B" w:rsidP="00C62E6B">
      <w:pPr>
        <w:widowControl/>
        <w:ind w:firstLine="709"/>
        <w:jc w:val="both"/>
        <w:rPr>
          <w:sz w:val="24"/>
          <w:szCs w:val="24"/>
          <w:lang w:eastAsia="en-US"/>
        </w:rPr>
      </w:pPr>
      <w:r w:rsidRPr="00C62E6B">
        <w:rPr>
          <w:sz w:val="24"/>
          <w:szCs w:val="24"/>
          <w:lang w:eastAsia="en-US"/>
        </w:rPr>
        <w:t>При предъявлении требований о повторном представлении имеющихся у регулирующего органа документов Департаментом не учтено, что договорные отношения между ООО «ИВЭЛС» и ООО «Рост Текс» в настоящее время отсутствуют в виду того, что последнее с 02.05.2024 года не является стороной по договору аренды, в связи с продажей имущества новому собственнику, а соответственно не может предоставлять в текущем периоде какие-либо оригиналы документов относительно данного объекта.</w:t>
      </w:r>
    </w:p>
    <w:p w:rsidR="00C62E6B" w:rsidRPr="00C62E6B" w:rsidRDefault="00C62E6B" w:rsidP="00C62E6B">
      <w:pPr>
        <w:widowControl/>
        <w:ind w:firstLine="709"/>
        <w:jc w:val="both"/>
        <w:rPr>
          <w:sz w:val="24"/>
          <w:szCs w:val="24"/>
          <w:lang w:eastAsia="en-US"/>
        </w:rPr>
      </w:pPr>
      <w:r w:rsidRPr="00C62E6B">
        <w:rPr>
          <w:sz w:val="24"/>
          <w:szCs w:val="24"/>
          <w:lang w:eastAsia="en-US"/>
        </w:rPr>
        <w:t xml:space="preserve">Кроме того, у ООО «ИВЭЛС» отсутствует возможность и правовые основания истребования запрашиваемых Департаментом документов. </w:t>
      </w:r>
    </w:p>
    <w:p w:rsidR="00C62E6B" w:rsidRPr="00C62E6B" w:rsidRDefault="00C62E6B" w:rsidP="00C62E6B">
      <w:pPr>
        <w:widowControl/>
        <w:ind w:firstLine="709"/>
        <w:jc w:val="both"/>
        <w:rPr>
          <w:sz w:val="24"/>
          <w:szCs w:val="24"/>
          <w:lang w:eastAsia="en-US"/>
        </w:rPr>
      </w:pPr>
      <w:r w:rsidRPr="00C62E6B">
        <w:rPr>
          <w:sz w:val="24"/>
          <w:szCs w:val="24"/>
          <w:lang w:eastAsia="en-US"/>
        </w:rPr>
        <w:t>В соответствии п.7 Основ ценообразования в области регулируемых цен (тарифов) в электроэнергетике, утв. Постановления Правительства РФ от 29.12.2011 № 1178 (далее – Основы ценообразования) фактические расходы определяются на основании данных статистической и бухгалтерской отчетности за год и иных материалов.</w:t>
      </w:r>
    </w:p>
    <w:p w:rsidR="00C62E6B" w:rsidRPr="00C62E6B" w:rsidRDefault="00C62E6B" w:rsidP="00C62E6B">
      <w:pPr>
        <w:widowControl/>
        <w:ind w:firstLine="709"/>
        <w:jc w:val="both"/>
        <w:rPr>
          <w:sz w:val="24"/>
          <w:szCs w:val="24"/>
          <w:lang w:eastAsia="en-US"/>
        </w:rPr>
      </w:pPr>
      <w:r w:rsidRPr="00C62E6B">
        <w:rPr>
          <w:sz w:val="24"/>
          <w:szCs w:val="24"/>
          <w:lang w:eastAsia="en-US"/>
        </w:rPr>
        <w:t>Указанные расходы связаны с осуществлением регулируемой деятельности и фактически понесены в периоде регулирования, а также подтверждены актами выполненных работ за 2023 год.</w:t>
      </w:r>
    </w:p>
    <w:p w:rsidR="00C62E6B" w:rsidRPr="00C62E6B" w:rsidRDefault="00C62E6B" w:rsidP="00C62E6B">
      <w:pPr>
        <w:widowControl/>
        <w:ind w:firstLine="709"/>
        <w:jc w:val="both"/>
        <w:rPr>
          <w:sz w:val="24"/>
          <w:szCs w:val="24"/>
          <w:lang w:eastAsia="en-US"/>
        </w:rPr>
      </w:pPr>
      <w:r w:rsidRPr="00C62E6B">
        <w:rPr>
          <w:sz w:val="24"/>
          <w:szCs w:val="24"/>
          <w:lang w:eastAsia="en-US"/>
        </w:rPr>
        <w:t>Предоставление либо не предоставление оригиналов инвентарных карточек и оборотно-сальдовых ведомостей не меняет цель использования имущества и не опровергает факт несения таких расходов.</w:t>
      </w:r>
    </w:p>
    <w:p w:rsidR="00C62E6B" w:rsidRPr="00C62E6B" w:rsidRDefault="00C62E6B" w:rsidP="00C62E6B">
      <w:pPr>
        <w:widowControl/>
        <w:ind w:firstLine="709"/>
        <w:jc w:val="both"/>
        <w:rPr>
          <w:sz w:val="24"/>
          <w:szCs w:val="24"/>
          <w:lang w:eastAsia="en-US"/>
        </w:rPr>
      </w:pPr>
      <w:r w:rsidRPr="00C62E6B">
        <w:rPr>
          <w:sz w:val="24"/>
          <w:szCs w:val="24"/>
          <w:lang w:eastAsia="en-US"/>
        </w:rPr>
        <w:lastRenderedPageBreak/>
        <w:t>С учетом вышеизложенного, фактические затраты Общества за 2023 год по договору аренды имущества № АР0201-2021ЛС от 01.02.2021г. межд</w:t>
      </w:r>
      <w:proofErr w:type="gramStart"/>
      <w:r w:rsidRPr="00C62E6B">
        <w:rPr>
          <w:sz w:val="24"/>
          <w:szCs w:val="24"/>
          <w:lang w:eastAsia="en-US"/>
        </w:rPr>
        <w:t>у ООО</w:t>
      </w:r>
      <w:proofErr w:type="gramEnd"/>
      <w:r w:rsidRPr="00C62E6B">
        <w:rPr>
          <w:sz w:val="24"/>
          <w:szCs w:val="24"/>
          <w:lang w:eastAsia="en-US"/>
        </w:rPr>
        <w:t xml:space="preserve"> «ИВЭЛС» и ООО «Рост Текс» в размере 1 800 тыс. руб. подлежат включению в состав НВВ.</w:t>
      </w:r>
    </w:p>
    <w:p w:rsidR="00C62E6B" w:rsidRPr="00C62E6B" w:rsidRDefault="00C62E6B" w:rsidP="00C62E6B">
      <w:pPr>
        <w:widowControl/>
        <w:ind w:firstLine="709"/>
        <w:jc w:val="both"/>
        <w:rPr>
          <w:sz w:val="24"/>
          <w:szCs w:val="24"/>
          <w:lang w:eastAsia="en-US"/>
        </w:rPr>
      </w:pPr>
      <w:r w:rsidRPr="00C62E6B">
        <w:rPr>
          <w:rFonts w:eastAsia="Calibri"/>
          <w:sz w:val="24"/>
          <w:szCs w:val="24"/>
          <w:lang w:eastAsia="en-US"/>
        </w:rPr>
        <w:t xml:space="preserve">По данному вопросу Департамент отмечает следующее. </w:t>
      </w:r>
    </w:p>
    <w:p w:rsidR="00C62E6B" w:rsidRPr="00C62E6B" w:rsidRDefault="00C62E6B" w:rsidP="00C62E6B">
      <w:pPr>
        <w:widowControl/>
        <w:ind w:firstLine="709"/>
        <w:jc w:val="both"/>
        <w:rPr>
          <w:sz w:val="24"/>
          <w:szCs w:val="24"/>
        </w:rPr>
      </w:pPr>
      <w:r w:rsidRPr="00C62E6B">
        <w:rPr>
          <w:sz w:val="24"/>
          <w:szCs w:val="24"/>
        </w:rPr>
        <w:t>Согласно графе «Год завершения строительства» выписки из единого государственного реестра недвижимости об основных характеристиках и зарегистрированных правах на объект недвижимости, представленного органами Росреестра по объекту недвижимости, а именно здание механической мастерской с подвалом и электростанции (кадастровый номер 37:02:010203:470) год ввода объекта в эксплуатацию – 1936 год (КУВИ-001/2024-295431162 от 05.12.2024).</w:t>
      </w:r>
    </w:p>
    <w:p w:rsidR="00C62E6B" w:rsidRPr="00C62E6B" w:rsidRDefault="00C62E6B" w:rsidP="00C62E6B">
      <w:pPr>
        <w:widowControl/>
        <w:ind w:firstLine="567"/>
        <w:jc w:val="both"/>
        <w:rPr>
          <w:sz w:val="24"/>
          <w:szCs w:val="24"/>
        </w:rPr>
      </w:pPr>
      <w:r w:rsidRPr="00C62E6B">
        <w:rPr>
          <w:sz w:val="24"/>
          <w:szCs w:val="24"/>
        </w:rPr>
        <w:t>Принимая во внимание год ввода объекта в эксплуатацию, указанное имущество полностью самортизировано.</w:t>
      </w:r>
    </w:p>
    <w:p w:rsidR="00C62E6B" w:rsidRPr="00C62E6B" w:rsidRDefault="00C62E6B" w:rsidP="00C62E6B">
      <w:pPr>
        <w:ind w:firstLine="567"/>
        <w:jc w:val="both"/>
        <w:rPr>
          <w:bCs/>
          <w:sz w:val="24"/>
          <w:szCs w:val="24"/>
        </w:rPr>
      </w:pPr>
      <w:r w:rsidRPr="00C62E6B">
        <w:rPr>
          <w:bCs/>
          <w:sz w:val="24"/>
          <w:szCs w:val="24"/>
        </w:rPr>
        <w:t>Кроме того, согласно положению по бухгалтерскому учету переоценка объектов основных средств - это изменение первоначальной стоимости основных средств, в которой они приняты к бухгалтерскому учету. Первоначальной стоимостью основных средств, приобретенных за плату, признается сумма затрат организации на приобретение, сооружение и изготовление, за исключением налога на добавленную стоимость и иных возмещаемых налогов. То есть, по смыслу данной нормы переоценка - это оценка имущества, которая ведет к изменению стоимости основных сре</w:t>
      </w:r>
      <w:proofErr w:type="gramStart"/>
      <w:r w:rsidRPr="00C62E6B">
        <w:rPr>
          <w:bCs/>
          <w:sz w:val="24"/>
          <w:szCs w:val="24"/>
        </w:rPr>
        <w:t>дств в б</w:t>
      </w:r>
      <w:proofErr w:type="gramEnd"/>
      <w:r w:rsidRPr="00C62E6B">
        <w:rPr>
          <w:bCs/>
          <w:sz w:val="24"/>
          <w:szCs w:val="24"/>
        </w:rPr>
        <w:t>ухгалтерском учете организации собственника без проведения ремонтных работ либо иных мероприятий, направленных на улучшение фактического состояния основных средств.</w:t>
      </w:r>
    </w:p>
    <w:p w:rsidR="00C62E6B" w:rsidRPr="00C62E6B" w:rsidRDefault="00C62E6B" w:rsidP="00C62E6B">
      <w:pPr>
        <w:ind w:firstLine="567"/>
        <w:jc w:val="both"/>
        <w:rPr>
          <w:bCs/>
          <w:sz w:val="24"/>
          <w:szCs w:val="24"/>
        </w:rPr>
      </w:pPr>
      <w:r w:rsidRPr="00C62E6B">
        <w:rPr>
          <w:bCs/>
          <w:sz w:val="24"/>
          <w:szCs w:val="24"/>
        </w:rPr>
        <w:t>Федеральным законом от 29.07.1998 № 135-ФЗ «Об оценочной деятельности в Российской Федерации» предусмотрено, что оценочная деятельность проводится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w:t>
      </w:r>
    </w:p>
    <w:p w:rsidR="00C62E6B" w:rsidRPr="00C62E6B" w:rsidRDefault="00C62E6B" w:rsidP="00C62E6B">
      <w:pPr>
        <w:ind w:firstLine="567"/>
        <w:jc w:val="both"/>
        <w:rPr>
          <w:bCs/>
          <w:sz w:val="24"/>
          <w:szCs w:val="24"/>
        </w:rPr>
      </w:pPr>
      <w:r w:rsidRPr="00C62E6B">
        <w:rPr>
          <w:bCs/>
          <w:sz w:val="24"/>
          <w:szCs w:val="24"/>
        </w:rPr>
        <w:t xml:space="preserve">Из совокупности указанных норм следует, что результатом проведенной оценки становится изменение стоимости объектов (в сравнении с остаточной стоимостью организации продавца на момент продажи) в бухгалтерском учете организации покупателя без проведения ремонтных работ либо иных мероприятий (реконструкции), направленных на улучшение фактического состояния основных средств. </w:t>
      </w:r>
    </w:p>
    <w:p w:rsidR="00C62E6B" w:rsidRPr="00C62E6B" w:rsidRDefault="00C62E6B" w:rsidP="00C62E6B">
      <w:pPr>
        <w:ind w:firstLine="567"/>
        <w:jc w:val="both"/>
        <w:rPr>
          <w:bCs/>
          <w:sz w:val="24"/>
          <w:szCs w:val="24"/>
        </w:rPr>
      </w:pPr>
      <w:r w:rsidRPr="00C62E6B">
        <w:rPr>
          <w:bCs/>
          <w:sz w:val="24"/>
          <w:szCs w:val="24"/>
        </w:rPr>
        <w:t xml:space="preserve">Таким образом, по смыслу указанных норм, оценка с целью продажи и переоценка имущества, по сути, являются аналогичными действиями – действиями, направленными на изменение  стоимости объекта в бухгалтерском учете без проведения ремонтных работ либо иных мероприятий (реконструкции), направленных на улучшение фактического состояния основных средств. Кроме того, у конкретного объекта основных средств имеется определенный законодательством максимальный срок полезного использования. </w:t>
      </w:r>
    </w:p>
    <w:p w:rsidR="00C62E6B" w:rsidRPr="00C62E6B" w:rsidRDefault="00C62E6B" w:rsidP="00C62E6B">
      <w:pPr>
        <w:ind w:firstLine="567"/>
        <w:jc w:val="both"/>
        <w:rPr>
          <w:bCs/>
          <w:sz w:val="24"/>
          <w:szCs w:val="24"/>
        </w:rPr>
      </w:pPr>
      <w:r w:rsidRPr="00C62E6B">
        <w:rPr>
          <w:bCs/>
          <w:sz w:val="24"/>
          <w:szCs w:val="24"/>
        </w:rPr>
        <w:t>В соответствии с требованиями законодательства в сфере тарифного регулирования результаты переоценки не могут быть учтены в составе необходимой валовой выручки регулируемых организаций, если расходы на амортизацию не являются источником финансирования мероприятий утвержденной в установленном порядке инвестиционной программы организации.</w:t>
      </w:r>
    </w:p>
    <w:p w:rsidR="00C62E6B" w:rsidRPr="00C62E6B" w:rsidRDefault="00C62E6B" w:rsidP="00C62E6B">
      <w:pPr>
        <w:ind w:firstLine="567"/>
        <w:jc w:val="both"/>
        <w:rPr>
          <w:bCs/>
          <w:sz w:val="24"/>
          <w:szCs w:val="24"/>
        </w:rPr>
      </w:pPr>
      <w:r w:rsidRPr="00C62E6B">
        <w:rPr>
          <w:bCs/>
          <w:sz w:val="24"/>
          <w:szCs w:val="24"/>
        </w:rPr>
        <w:t xml:space="preserve">В случае учета подобных сделок при тарифном регулировании потребитель услуг по передаче электрической энергии, по сути, вынужден будет оплачивать расходы на амортизационные отчисления собственников объектов электросетевого хозяйства и при этом сами объекты электросетевого хозяйства, которые, в том числе, уже были самортизированы у предыдущего собственника, могут оставаться в неизменном виде и состоянии. </w:t>
      </w:r>
    </w:p>
    <w:p w:rsidR="00C62E6B" w:rsidRPr="00C62E6B" w:rsidRDefault="00C62E6B" w:rsidP="00C62E6B">
      <w:pPr>
        <w:ind w:firstLine="567"/>
        <w:jc w:val="both"/>
        <w:rPr>
          <w:bCs/>
          <w:sz w:val="24"/>
          <w:szCs w:val="24"/>
        </w:rPr>
      </w:pPr>
      <w:r w:rsidRPr="00C62E6B">
        <w:rPr>
          <w:bCs/>
          <w:sz w:val="24"/>
          <w:szCs w:val="24"/>
        </w:rPr>
        <w:t>Также необходимо отметить, что тарифный источник формируется из средств потребителей услуг по передаче электрической энергии, т.е., подобное неоднократное приобретение одних и тех же объектов электросетевого хозяйства без улучшения фактического состояния объектов основных средств, по сути, осуществлялось бы не за счет приобретателя активов, а за счет лиц, которым оказываются услуги естественно-монопольного характера, от приобретения которых потребители не могут отказаться в силу их инфраструктурного характера, непосредственно связанного с жизнеобеспечением.</w:t>
      </w:r>
    </w:p>
    <w:p w:rsidR="00C62E6B" w:rsidRPr="00C62E6B" w:rsidRDefault="00C62E6B" w:rsidP="00C62E6B">
      <w:pPr>
        <w:widowControl/>
        <w:ind w:firstLine="567"/>
        <w:jc w:val="both"/>
        <w:rPr>
          <w:sz w:val="24"/>
          <w:szCs w:val="24"/>
        </w:rPr>
      </w:pPr>
      <w:r w:rsidRPr="00C62E6B">
        <w:rPr>
          <w:sz w:val="24"/>
          <w:szCs w:val="24"/>
        </w:rPr>
        <w:lastRenderedPageBreak/>
        <w:t xml:space="preserve">Таким образом, с учетом принципов тарифного регулирования, в том числе соблюдения баланса интересов, на потребителей электрической энергии не может быть возложена необходимость возмещения содержания такого имущества. Информация о проводимых физических улучшениях данного имущества в материалы тарифного дела не предоставлена. </w:t>
      </w:r>
    </w:p>
    <w:p w:rsidR="00C62E6B" w:rsidRPr="00C62E6B" w:rsidRDefault="00C62E6B" w:rsidP="00C62E6B">
      <w:pPr>
        <w:widowControl/>
        <w:ind w:firstLine="567"/>
        <w:jc w:val="both"/>
        <w:rPr>
          <w:sz w:val="24"/>
          <w:szCs w:val="24"/>
        </w:rPr>
      </w:pPr>
      <w:r w:rsidRPr="00C62E6B">
        <w:rPr>
          <w:sz w:val="24"/>
          <w:szCs w:val="24"/>
        </w:rPr>
        <w:t>По договору аренды между ООО «ИВЭЛС» и ИП Волковым М.Е. Департамент отмечает следующее.</w:t>
      </w:r>
    </w:p>
    <w:p w:rsidR="00C62E6B" w:rsidRPr="00C62E6B" w:rsidRDefault="00C62E6B" w:rsidP="00C62E6B">
      <w:pPr>
        <w:widowControl/>
        <w:ind w:firstLine="567"/>
        <w:jc w:val="both"/>
        <w:rPr>
          <w:sz w:val="24"/>
          <w:szCs w:val="24"/>
        </w:rPr>
      </w:pPr>
      <w:r w:rsidRPr="00C62E6B">
        <w:rPr>
          <w:sz w:val="24"/>
          <w:szCs w:val="24"/>
        </w:rPr>
        <w:t>Первоначальная стоимость основных средств должна быть подтверждена первичными документами собственника электросетевого оборудования, а именно, инвентарными карточками основных средств.</w:t>
      </w:r>
    </w:p>
    <w:p w:rsidR="00C62E6B" w:rsidRPr="00C62E6B" w:rsidRDefault="00C62E6B" w:rsidP="00C62E6B">
      <w:pPr>
        <w:widowControl/>
        <w:ind w:firstLine="567"/>
        <w:jc w:val="both"/>
        <w:rPr>
          <w:sz w:val="24"/>
          <w:szCs w:val="24"/>
        </w:rPr>
      </w:pPr>
      <w:r w:rsidRPr="00C62E6B">
        <w:rPr>
          <w:sz w:val="24"/>
          <w:szCs w:val="24"/>
        </w:rPr>
        <w:t>В связи с тем, что в материалах тарифного дела на 2025 год отсутствуют инвентарная карточка основного средства по вышеуказанному договору, Департаменту не представляется возможным определить первоначальную стоимость основного средства переданного в аренду имущества.</w:t>
      </w:r>
    </w:p>
    <w:p w:rsidR="00C62E6B" w:rsidRPr="00C62E6B" w:rsidRDefault="00C62E6B" w:rsidP="00C62E6B">
      <w:pPr>
        <w:widowControl/>
        <w:ind w:firstLine="567"/>
        <w:jc w:val="both"/>
        <w:rPr>
          <w:bCs/>
          <w:sz w:val="24"/>
          <w:szCs w:val="24"/>
          <w:u w:val="single"/>
        </w:rPr>
      </w:pPr>
      <w:r w:rsidRPr="00C62E6B">
        <w:rPr>
          <w:bCs/>
          <w:sz w:val="24"/>
          <w:szCs w:val="24"/>
          <w:u w:val="single"/>
        </w:rPr>
        <w:t>Аренда специальной техники</w:t>
      </w:r>
    </w:p>
    <w:p w:rsidR="00C62E6B" w:rsidRPr="00C62E6B" w:rsidRDefault="00C62E6B" w:rsidP="00C62E6B">
      <w:pPr>
        <w:widowControl/>
        <w:ind w:firstLine="567"/>
        <w:jc w:val="both"/>
        <w:rPr>
          <w:sz w:val="24"/>
          <w:szCs w:val="24"/>
          <w:lang w:eastAsia="en-US"/>
        </w:rPr>
      </w:pPr>
      <w:r w:rsidRPr="00C62E6B">
        <w:rPr>
          <w:sz w:val="24"/>
          <w:szCs w:val="24"/>
          <w:lang w:eastAsia="en-US"/>
        </w:rPr>
        <w:t>Департаментом без оснований исключены затраты на аренду специальной техники в сумме 2 562,00 тыс. руб. по заключенному договору № 3/2023 от 01.09.2023 с ООО «Стройэнергомонтаж». Расчет годовой стоимости договора в машино-часах предоставлен в материалах тарифной заявки на 2025 г. стр. 62 том 3. При этом Общество не заявляло предоставление услуг спецтехники, а заявило ее аренду. Необходимость аренды спецтехники, т.е. ее постоянное наличие в распоряжении Общества обусловлено требованиями к бесперебойному обслуживанию потребителей, со стороны действующего законодательства.</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 xml:space="preserve">Сообщаем, что непредставление Обществом каких-либо документов, обосновывающих по мнению Департамента энергетики и тарифов по Ивановской области затраты, не является обстоятельством, исключающим возможность принятия к учету расходов, поскольку в этом случае используется информация о ценах из источников, перечисленных в </w:t>
      </w:r>
      <w:hyperlink r:id="rId12" w:history="1">
        <w:r w:rsidRPr="00C62E6B">
          <w:rPr>
            <w:rFonts w:eastAsia="Calibri"/>
            <w:color w:val="0000FF"/>
            <w:sz w:val="24"/>
            <w:szCs w:val="24"/>
            <w:u w:val="single"/>
            <w:lang w:eastAsia="en-US"/>
          </w:rPr>
          <w:t>пункте 29</w:t>
        </w:r>
      </w:hyperlink>
      <w:r w:rsidRPr="00C62E6B">
        <w:rPr>
          <w:rFonts w:eastAsia="Calibri"/>
          <w:sz w:val="24"/>
          <w:szCs w:val="24"/>
          <w:lang w:eastAsia="en-US"/>
        </w:rPr>
        <w:t xml:space="preserve"> Основ ценообразования (в порядке очередности):</w:t>
      </w:r>
    </w:p>
    <w:p w:rsidR="00C62E6B" w:rsidRPr="00C62E6B" w:rsidRDefault="00C62E6B" w:rsidP="00C62E6B">
      <w:pPr>
        <w:widowControl/>
        <w:ind w:firstLine="567"/>
        <w:jc w:val="both"/>
        <w:rPr>
          <w:sz w:val="24"/>
          <w:szCs w:val="24"/>
        </w:rPr>
      </w:pPr>
      <w:r w:rsidRPr="00C62E6B">
        <w:rPr>
          <w:sz w:val="24"/>
          <w:szCs w:val="24"/>
        </w:rPr>
        <w:t>установленные на очередной период регулирования цены (тарифы) в случае, если они подлежат государственному регулированию;</w:t>
      </w:r>
    </w:p>
    <w:p w:rsidR="00C62E6B" w:rsidRPr="00C62E6B" w:rsidRDefault="00C62E6B" w:rsidP="00C62E6B">
      <w:pPr>
        <w:widowControl/>
        <w:ind w:firstLine="567"/>
        <w:jc w:val="both"/>
        <w:rPr>
          <w:sz w:val="24"/>
          <w:szCs w:val="24"/>
        </w:rPr>
      </w:pPr>
      <w:r w:rsidRPr="00C62E6B">
        <w:rPr>
          <w:sz w:val="24"/>
          <w:szCs w:val="24"/>
        </w:rPr>
        <w:t>расходы (цены), установленные в договорах, заключенных в результате проведения торгов;</w:t>
      </w:r>
    </w:p>
    <w:p w:rsidR="00C62E6B" w:rsidRPr="00C62E6B" w:rsidRDefault="00C62E6B" w:rsidP="00C62E6B">
      <w:pPr>
        <w:widowControl/>
        <w:ind w:firstLine="567"/>
        <w:jc w:val="both"/>
        <w:rPr>
          <w:sz w:val="24"/>
          <w:szCs w:val="24"/>
        </w:rPr>
      </w:pPr>
      <w:r w:rsidRPr="00C62E6B">
        <w:rPr>
          <w:sz w:val="24"/>
          <w:szCs w:val="24"/>
        </w:rPr>
        <w:t>рыночные цены, сложившиеся на организованных торговых площадках;</w:t>
      </w:r>
    </w:p>
    <w:p w:rsidR="00C62E6B" w:rsidRPr="00C62E6B" w:rsidRDefault="00C62E6B" w:rsidP="00C62E6B">
      <w:pPr>
        <w:widowControl/>
        <w:ind w:firstLine="567"/>
        <w:jc w:val="both"/>
        <w:rPr>
          <w:sz w:val="24"/>
          <w:szCs w:val="24"/>
        </w:rPr>
      </w:pPr>
      <w:r w:rsidRPr="00C62E6B">
        <w:rPr>
          <w:sz w:val="24"/>
          <w:szCs w:val="24"/>
        </w:rPr>
        <w:t>рыночные цены.</w:t>
      </w:r>
    </w:p>
    <w:p w:rsidR="00C62E6B" w:rsidRPr="00C62E6B" w:rsidRDefault="00C62E6B" w:rsidP="00C62E6B">
      <w:pPr>
        <w:widowControl/>
        <w:ind w:firstLine="567"/>
        <w:jc w:val="both"/>
        <w:rPr>
          <w:rFonts w:eastAsia="Calibri"/>
          <w:sz w:val="24"/>
          <w:szCs w:val="24"/>
          <w:shd w:val="clear" w:color="auto" w:fill="FFFFFF"/>
          <w:lang w:eastAsia="en-US"/>
        </w:rPr>
      </w:pPr>
      <w:r w:rsidRPr="00C62E6B">
        <w:rPr>
          <w:rFonts w:eastAsia="Calibri"/>
          <w:sz w:val="24"/>
          <w:szCs w:val="24"/>
          <w:shd w:val="clear" w:color="auto" w:fill="FFFFFF"/>
          <w:lang w:eastAsia="en-US"/>
        </w:rPr>
        <w:t>При отсутствии указанных данных расчетные значения расходов определяются с использованием официальной статистической информации.</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 xml:space="preserve">В соответствии с </w:t>
      </w:r>
      <w:hyperlink r:id="rId13" w:history="1">
        <w:r w:rsidRPr="00C62E6B">
          <w:rPr>
            <w:rFonts w:eastAsia="Calibri"/>
            <w:color w:val="0000FF"/>
            <w:sz w:val="24"/>
            <w:szCs w:val="24"/>
            <w:u w:val="single"/>
            <w:lang w:eastAsia="en-US"/>
          </w:rPr>
          <w:t>пунктом 31</w:t>
        </w:r>
      </w:hyperlink>
      <w:r w:rsidRPr="00C62E6B">
        <w:rPr>
          <w:rFonts w:eastAsia="Calibri"/>
          <w:sz w:val="24"/>
          <w:szCs w:val="24"/>
          <w:lang w:eastAsia="en-US"/>
        </w:rPr>
        <w:t xml:space="preserve"> Основ ценообразования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Вместе с тем, при отсутствии иных источников цен и наличии обязанности регулятора произвести расчет затрат по данной статье, с учетом наличия информации о наличии годовой потребности в машино-часах, основания для их исключения отсутствуют.</w:t>
      </w:r>
    </w:p>
    <w:p w:rsidR="00C62E6B" w:rsidRPr="00C62E6B" w:rsidRDefault="00C62E6B" w:rsidP="00C62E6B">
      <w:pPr>
        <w:widowControl/>
        <w:ind w:firstLine="567"/>
        <w:jc w:val="both"/>
        <w:rPr>
          <w:sz w:val="24"/>
          <w:szCs w:val="24"/>
        </w:rPr>
      </w:pPr>
      <w:r w:rsidRPr="00C62E6B">
        <w:rPr>
          <w:sz w:val="24"/>
          <w:szCs w:val="24"/>
        </w:rPr>
        <w:t>По данному вопросу Департамент отмечает следующее.</w:t>
      </w:r>
    </w:p>
    <w:p w:rsidR="00C62E6B" w:rsidRPr="00C62E6B" w:rsidRDefault="00C62E6B" w:rsidP="00C62E6B">
      <w:pPr>
        <w:widowControl/>
        <w:ind w:firstLine="567"/>
        <w:jc w:val="both"/>
        <w:rPr>
          <w:sz w:val="24"/>
          <w:szCs w:val="24"/>
        </w:rPr>
      </w:pPr>
      <w:r w:rsidRPr="00C62E6B">
        <w:rPr>
          <w:sz w:val="24"/>
          <w:szCs w:val="24"/>
        </w:rPr>
        <w:t xml:space="preserve">Плановые расходы на аренду спецтехники </w:t>
      </w:r>
      <w:r w:rsidR="002E7C6A">
        <w:rPr>
          <w:sz w:val="24"/>
          <w:szCs w:val="24"/>
        </w:rPr>
        <w:t xml:space="preserve">по </w:t>
      </w:r>
      <w:r w:rsidRPr="00C62E6B">
        <w:rPr>
          <w:sz w:val="24"/>
          <w:szCs w:val="24"/>
        </w:rPr>
        <w:t>договору № 3/2023 от 01.09.2023 с ООО «Стройэнергомонтаж» на 2025 год Департаментом определены в размере 0,00 тыс. руб. в связи с отсутствием экономического обоснования в соответствии с требованиями пункта 29 Основ ценообразования, расчета потребности аренды спецтехники, а также отсутствия фактических затрат по данному договору.</w:t>
      </w:r>
    </w:p>
    <w:p w:rsidR="00C62E6B" w:rsidRPr="00C62E6B" w:rsidRDefault="00C62E6B" w:rsidP="00C62E6B">
      <w:pPr>
        <w:widowControl/>
        <w:ind w:firstLine="567"/>
        <w:jc w:val="both"/>
        <w:rPr>
          <w:bCs/>
          <w:sz w:val="24"/>
          <w:szCs w:val="24"/>
          <w:u w:val="single"/>
        </w:rPr>
      </w:pPr>
      <w:r w:rsidRPr="00C62E6B">
        <w:rPr>
          <w:bCs/>
          <w:sz w:val="24"/>
          <w:szCs w:val="24"/>
          <w:u w:val="single"/>
        </w:rPr>
        <w:t>Расчет условных единиц</w:t>
      </w:r>
    </w:p>
    <w:p w:rsidR="00C62E6B" w:rsidRPr="00C62E6B" w:rsidRDefault="00C62E6B" w:rsidP="00C62E6B">
      <w:pPr>
        <w:widowControl/>
        <w:ind w:firstLine="567"/>
        <w:jc w:val="both"/>
        <w:rPr>
          <w:sz w:val="24"/>
          <w:szCs w:val="24"/>
        </w:rPr>
      </w:pPr>
      <w:r w:rsidRPr="00C62E6B">
        <w:rPr>
          <w:sz w:val="24"/>
          <w:szCs w:val="24"/>
        </w:rPr>
        <w:t>Департаментом без оснований не приняты условные единицы в размере 9.53 у.е. ПС 35,6 «Каминский» и ТП 1 и ТП 2 г. Кохма, ул. Ивановская, 67,69.</w:t>
      </w:r>
    </w:p>
    <w:p w:rsidR="00C62E6B" w:rsidRPr="00C62E6B" w:rsidRDefault="00C62E6B" w:rsidP="00C62E6B">
      <w:pPr>
        <w:widowControl/>
        <w:ind w:firstLine="567"/>
        <w:jc w:val="both"/>
        <w:rPr>
          <w:sz w:val="24"/>
          <w:szCs w:val="24"/>
        </w:rPr>
      </w:pPr>
      <w:r w:rsidRPr="00C62E6B">
        <w:rPr>
          <w:sz w:val="24"/>
          <w:szCs w:val="24"/>
        </w:rPr>
        <w:t>По мнению Департамента, 3.24 у.е. не должны включаться в состав НВВ, так как кабельные линии 0,4 кВ на ПС 35/6 «Каминский», протяженностью 1,2 км находятся внутри здания и попадают под действия пункта 81 (7) Основ ценообразования в области регулируемых цен (тарифов) в электроэнергетике.</w:t>
      </w:r>
    </w:p>
    <w:p w:rsidR="00C62E6B" w:rsidRPr="00C62E6B" w:rsidRDefault="00C62E6B" w:rsidP="00C62E6B">
      <w:pPr>
        <w:widowControl/>
        <w:ind w:firstLine="567"/>
        <w:jc w:val="both"/>
        <w:rPr>
          <w:sz w:val="24"/>
          <w:szCs w:val="24"/>
        </w:rPr>
      </w:pPr>
      <w:r w:rsidRPr="00C62E6B">
        <w:rPr>
          <w:sz w:val="24"/>
          <w:szCs w:val="24"/>
        </w:rPr>
        <w:lastRenderedPageBreak/>
        <w:t>Согласно предоставленным техническим документам (паспорта КЛ, схемы, акты техприсоединения) следует, что данные кабельные линии проходят от ОРУ-35 кВ (открытое распределительное устройство) до РУ-1 здания фабрики.</w:t>
      </w:r>
    </w:p>
    <w:p w:rsidR="00C62E6B" w:rsidRPr="00C62E6B" w:rsidRDefault="00C62E6B" w:rsidP="00C62E6B">
      <w:pPr>
        <w:widowControl/>
        <w:ind w:firstLine="567"/>
        <w:jc w:val="both"/>
        <w:rPr>
          <w:sz w:val="24"/>
          <w:szCs w:val="24"/>
        </w:rPr>
      </w:pPr>
      <w:r w:rsidRPr="00C62E6B">
        <w:rPr>
          <w:sz w:val="24"/>
          <w:szCs w:val="24"/>
        </w:rPr>
        <w:t>В соответствии с п. 81 (7) Основ ценообразования в области регулируемых цен (тарифов) в электроэнергетике, при установлении цен (тарифов) на услуги по передаче электрической энергии не учитываются следующие расходы (независимо от их предназначения):</w:t>
      </w:r>
    </w:p>
    <w:p w:rsidR="00C62E6B" w:rsidRPr="00C62E6B" w:rsidRDefault="00C62E6B" w:rsidP="00C62E6B">
      <w:pPr>
        <w:widowControl/>
        <w:ind w:firstLine="567"/>
        <w:jc w:val="both"/>
        <w:rPr>
          <w:sz w:val="24"/>
          <w:szCs w:val="24"/>
        </w:rPr>
      </w:pPr>
      <w:r w:rsidRPr="00C62E6B">
        <w:rPr>
          <w:sz w:val="24"/>
          <w:szCs w:val="24"/>
        </w:rPr>
        <w:t>-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C62E6B" w:rsidRPr="00C62E6B" w:rsidRDefault="00C62E6B" w:rsidP="00C62E6B">
      <w:pPr>
        <w:widowControl/>
        <w:ind w:firstLine="567"/>
        <w:jc w:val="both"/>
        <w:rPr>
          <w:sz w:val="24"/>
          <w:szCs w:val="24"/>
        </w:rPr>
      </w:pPr>
      <w:r w:rsidRPr="00C62E6B">
        <w:rPr>
          <w:sz w:val="24"/>
          <w:szCs w:val="24"/>
        </w:rPr>
        <w:t>Во-первых: спорные объекты расположены не внутри здания, строения (их обособленных частей).</w:t>
      </w:r>
    </w:p>
    <w:p w:rsidR="00C62E6B" w:rsidRPr="00C62E6B" w:rsidRDefault="00C62E6B" w:rsidP="00C62E6B">
      <w:pPr>
        <w:widowControl/>
        <w:ind w:firstLine="567"/>
        <w:jc w:val="both"/>
        <w:rPr>
          <w:sz w:val="24"/>
          <w:szCs w:val="24"/>
        </w:rPr>
      </w:pPr>
      <w:r w:rsidRPr="00C62E6B">
        <w:rPr>
          <w:sz w:val="24"/>
          <w:szCs w:val="24"/>
        </w:rPr>
        <w:t>Во-вторых: исключением являются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rsidR="00C62E6B" w:rsidRPr="00C62E6B" w:rsidRDefault="00C62E6B" w:rsidP="00C62E6B">
      <w:pPr>
        <w:widowControl/>
        <w:ind w:firstLine="567"/>
        <w:jc w:val="both"/>
        <w:rPr>
          <w:sz w:val="24"/>
          <w:szCs w:val="24"/>
        </w:rPr>
      </w:pPr>
      <w:r w:rsidRPr="00C62E6B">
        <w:rPr>
          <w:sz w:val="24"/>
          <w:szCs w:val="24"/>
        </w:rPr>
        <w:t>Как указывалось, данные кабельные линии проходят от ОРУ-35 кВ (открытое распределительное устройство) до РУ-1 здания фабрики.</w:t>
      </w:r>
    </w:p>
    <w:p w:rsidR="00C62E6B" w:rsidRPr="00C62E6B" w:rsidRDefault="00C62E6B" w:rsidP="00C62E6B">
      <w:pPr>
        <w:widowControl/>
        <w:ind w:firstLine="567"/>
        <w:jc w:val="both"/>
        <w:rPr>
          <w:sz w:val="24"/>
          <w:szCs w:val="24"/>
        </w:rPr>
      </w:pPr>
      <w:r w:rsidRPr="00C62E6B">
        <w:rPr>
          <w:sz w:val="24"/>
          <w:szCs w:val="24"/>
        </w:rPr>
        <w:t>Обоснований исключения из расчета условных единиц по объектам ТП 1 и ТП 2  г. Кохма, ул. Ивановская, 67,69 не предоставлено.</w:t>
      </w:r>
    </w:p>
    <w:p w:rsidR="00C62E6B" w:rsidRPr="00C62E6B" w:rsidRDefault="00C62E6B" w:rsidP="00C62E6B">
      <w:pPr>
        <w:widowControl/>
        <w:ind w:firstLine="567"/>
        <w:jc w:val="both"/>
        <w:rPr>
          <w:sz w:val="24"/>
          <w:szCs w:val="24"/>
        </w:rPr>
      </w:pPr>
      <w:r w:rsidRPr="00C62E6B">
        <w:rPr>
          <w:sz w:val="24"/>
          <w:szCs w:val="24"/>
        </w:rPr>
        <w:t xml:space="preserve">Как следует из пункта 11 Методических указаний № 98-э, количество условных единиц является одной из переменных в формулах расчета НВВ на соответствующий год долгосрочного периода регулирования и при ее корректировке. </w:t>
      </w:r>
    </w:p>
    <w:p w:rsidR="00C62E6B" w:rsidRPr="00C62E6B" w:rsidRDefault="00C62E6B" w:rsidP="00C62E6B">
      <w:pPr>
        <w:widowControl/>
        <w:ind w:firstLine="567"/>
        <w:jc w:val="both"/>
        <w:rPr>
          <w:sz w:val="24"/>
          <w:szCs w:val="24"/>
        </w:rPr>
      </w:pPr>
      <w:r w:rsidRPr="00C62E6B">
        <w:rPr>
          <w:sz w:val="24"/>
          <w:szCs w:val="24"/>
        </w:rPr>
        <w:t>В соответствии с подпунктом 13 пункта 17 Правил государственного регулирования (пересмотра, применения) цен (тарифов) в электроэнергетике, к заявлениям, направленным в соответствии с пунктами 12, 14 и 16 названных правил, организации, осуществляющие регулируемую деятельность, прилагают документы, подтверждающие осуществление (фактическое или планируемое) регулируемой деятельности, в частности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(или) договоры на осуществление регулируемой деятельности (при реорганизации юридического лица - передаточные акты).</w:t>
      </w:r>
    </w:p>
    <w:p w:rsidR="00C62E6B" w:rsidRPr="00C62E6B" w:rsidRDefault="00C62E6B" w:rsidP="00C62E6B">
      <w:pPr>
        <w:widowControl/>
        <w:ind w:firstLine="567"/>
        <w:jc w:val="both"/>
        <w:rPr>
          <w:sz w:val="24"/>
          <w:szCs w:val="24"/>
        </w:rPr>
      </w:pPr>
      <w:r w:rsidRPr="00C62E6B">
        <w:rPr>
          <w:sz w:val="24"/>
          <w:szCs w:val="24"/>
        </w:rPr>
        <w:t>В соответствии с п. 8 Правил государственного регулирования (пересмотра, применения) цен (тарифов) в электроэнергетике, к заявлению прилагается также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w:t>
      </w:r>
    </w:p>
    <w:p w:rsidR="00C62E6B" w:rsidRPr="00C62E6B" w:rsidRDefault="00C62E6B" w:rsidP="00C62E6B">
      <w:pPr>
        <w:widowControl/>
        <w:ind w:firstLine="567"/>
        <w:jc w:val="both"/>
        <w:rPr>
          <w:sz w:val="24"/>
          <w:szCs w:val="24"/>
        </w:rPr>
      </w:pPr>
      <w:r w:rsidRPr="00C62E6B">
        <w:rPr>
          <w:sz w:val="24"/>
          <w:szCs w:val="24"/>
        </w:rPr>
        <w:t>Документы, подтверждающие законные основания владения со стороны ООО «ИВЭЛС» предоставлялись.</w:t>
      </w:r>
    </w:p>
    <w:p w:rsidR="00C62E6B" w:rsidRPr="00C62E6B" w:rsidRDefault="00C62E6B" w:rsidP="00C62E6B">
      <w:pPr>
        <w:widowControl/>
        <w:ind w:firstLine="567"/>
        <w:jc w:val="both"/>
        <w:rPr>
          <w:sz w:val="24"/>
          <w:szCs w:val="24"/>
        </w:rPr>
      </w:pPr>
      <w:r w:rsidRPr="00C62E6B">
        <w:rPr>
          <w:sz w:val="24"/>
          <w:szCs w:val="24"/>
        </w:rPr>
        <w:t>С учетом из выше изложенного условные единицы в размере 9.53 у.е</w:t>
      </w:r>
      <w:r w:rsidR="002E7C6A">
        <w:rPr>
          <w:sz w:val="24"/>
          <w:szCs w:val="24"/>
        </w:rPr>
        <w:t>.</w:t>
      </w:r>
      <w:r w:rsidRPr="00C62E6B">
        <w:rPr>
          <w:sz w:val="24"/>
          <w:szCs w:val="24"/>
        </w:rPr>
        <w:t xml:space="preserve"> должны учитываться при расчете НВВ Общества.</w:t>
      </w:r>
    </w:p>
    <w:p w:rsidR="00C62E6B" w:rsidRPr="00C62E6B" w:rsidRDefault="00C62E6B" w:rsidP="00C62E6B">
      <w:pPr>
        <w:widowControl/>
        <w:ind w:firstLine="567"/>
        <w:jc w:val="both"/>
        <w:rPr>
          <w:sz w:val="24"/>
          <w:szCs w:val="24"/>
        </w:rPr>
      </w:pPr>
      <w:r w:rsidRPr="00C62E6B">
        <w:rPr>
          <w:sz w:val="24"/>
          <w:szCs w:val="24"/>
        </w:rPr>
        <w:t>По данному вопросу Департамент отмечает следующее.</w:t>
      </w:r>
    </w:p>
    <w:p w:rsidR="00C62E6B" w:rsidRPr="00C62E6B" w:rsidRDefault="00C62E6B" w:rsidP="00C62E6B">
      <w:pPr>
        <w:widowControl/>
        <w:ind w:firstLine="567"/>
        <w:jc w:val="both"/>
        <w:rPr>
          <w:sz w:val="24"/>
          <w:szCs w:val="24"/>
        </w:rPr>
      </w:pPr>
      <w:r w:rsidRPr="00C62E6B">
        <w:rPr>
          <w:sz w:val="24"/>
          <w:szCs w:val="24"/>
        </w:rPr>
        <w:t>Согласно договору аренды имущества № 1 от 02.09.2024 ОАО «ЮЭС» обязуется предоставить во временное владение и пользование за плату имущество, в том числе трансформаторную подстанцию, расположенную по адресу: г. Кохма, ул. Ивановская, д. 67, 69.</w:t>
      </w:r>
    </w:p>
    <w:p w:rsidR="00C62E6B" w:rsidRPr="00C62E6B" w:rsidRDefault="00C62E6B" w:rsidP="00C62E6B">
      <w:pPr>
        <w:widowControl/>
        <w:ind w:firstLine="567"/>
        <w:jc w:val="both"/>
        <w:rPr>
          <w:sz w:val="24"/>
          <w:szCs w:val="24"/>
        </w:rPr>
      </w:pPr>
      <w:r w:rsidRPr="00C62E6B">
        <w:rPr>
          <w:sz w:val="24"/>
          <w:szCs w:val="24"/>
        </w:rPr>
        <w:t xml:space="preserve">Однако согласно графе «Особые отметки» выписки из Единого государственного реестра недвижимости об основных характеристиках и зарегистрированных правах на объект недвижимости – сведения о зарегистрированных правах отсутствуют на объект недвижимого имущества, а именно трансформаторную подстанцию (с кадастровым номером 37:29:010101:812). </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lastRenderedPageBreak/>
        <w:t>Таким образом, поскольку в материалы тарифного дела ООО «ИВЭЛС» не представлено доказательств (правоподтверждающие документы) наличия законного права владения ОАО «ЮЭС» объектом электросетевого хозяйства Департамент исключил из расчета условных единиц данную трансформаторную подстанцию.</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Также Департаментом из расчета условных единиц исключены кабельные линии протяженностью 1200 метров ввиду того, что акт об осуществлении технологического присоединения от 01.01.2019 № 75-ск/2018 с указанием границ балансового разграничения не соответствует договору аренды имущества №Э/1-175/2023 от 01.01.2023, а также схеме соединений электрической сети.</w:t>
      </w:r>
    </w:p>
    <w:p w:rsidR="00C62E6B" w:rsidRPr="00C62E6B" w:rsidRDefault="00C62E6B" w:rsidP="00C62E6B">
      <w:pPr>
        <w:widowControl/>
        <w:ind w:firstLine="567"/>
        <w:jc w:val="both"/>
        <w:rPr>
          <w:rFonts w:eastAsia="Calibri"/>
          <w:bCs/>
          <w:sz w:val="24"/>
          <w:szCs w:val="24"/>
          <w:u w:val="single"/>
          <w:lang w:eastAsia="en-US"/>
        </w:rPr>
      </w:pPr>
      <w:r w:rsidRPr="00C62E6B">
        <w:rPr>
          <w:rFonts w:eastAsia="Calibri"/>
          <w:bCs/>
          <w:sz w:val="24"/>
          <w:szCs w:val="24"/>
          <w:u w:val="single"/>
          <w:lang w:eastAsia="en-US"/>
        </w:rPr>
        <w:t>Расчет корректировки НВВ на 2025 год</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Статья 4 Гражданского кодекса Российской Федерации определяет общие принципы действия гражданского законодательства во времени, а именно: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Ни сам Приказ Федеральной службы по тарифам от 17 февраля 2012 г. N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ни Приказ Федеральной антимонопольной службы от 20 июля 2023 г. N 485/23 «О внесении изменений в приказы ФСТ России от 17 февраля 2012 г. N 98-э и от 30 марта 2012 г. N 228-э, приказ ФАС России от 10 марта 2022 г. N 196/22» не содержат указаний на то, что их положения распространяются на отношения, возникшие до введения их в действие.</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Об этом же говорится и в разъяснениях ФАС России от 20.11.2023 №ГМ/96802/23. А именно:</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В данных разъяснения речь идет о корректировке подконтрольных расходов исходя из фактических параметров расчете тарифов, но в силу того, что закон обратной силы не имеет, аналогичный подход должен действовать и в отношении расчета планового размера подконтрольных расходов, т.е. должны применятся коэффициенты индексации, учтенные при утверждении на 2022-2023 годы.</w:t>
      </w:r>
    </w:p>
    <w:p w:rsidR="00C62E6B" w:rsidRPr="00C62E6B" w:rsidRDefault="00C62E6B" w:rsidP="00C62E6B">
      <w:pPr>
        <w:widowControl/>
        <w:ind w:firstLine="567"/>
        <w:jc w:val="both"/>
        <w:rPr>
          <w:rFonts w:eastAsia="Calibri"/>
          <w:sz w:val="24"/>
          <w:szCs w:val="24"/>
          <w:lang w:eastAsia="en-US"/>
        </w:rPr>
      </w:pPr>
      <w:r w:rsidRPr="00C62E6B">
        <w:rPr>
          <w:rFonts w:eastAsia="Calibri"/>
          <w:sz w:val="24"/>
          <w:szCs w:val="24"/>
          <w:lang w:eastAsia="en-US"/>
        </w:rPr>
        <w:t>Следовательно порядок расчета подконтрольных расходов, учтенных на год i долгосрочного периода регулирования, а также корректировку подконтрольных расходов в связи с изменением планируемых параметров расчета тарифов, зарегистрирован в Минюсте РФ 3 октября 2023 г. утвержденный Приказом Федеральной антимонопольной службы от 20 июля 2023 г. N 485/23 и вступил в силу с 15 октября 2023 года, должен применяться только для планируемых параметров расчета тарифов, т.е. начиная с 2024 года и последующие периоды.</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Департамент по данным доводам отмечает следующее.</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В части величины подконтрольных расходов на 2025 год для ООО «ИВЭЛС» вместо      148 017,73 тыс. руб. Департаментом приняты расходы в сумме 125 326,98 тыс. руб.</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В целях расчета подконтрольных расходов на 2025 год:</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 объем условных единиц электросетевого хозяйства ООО «ИВЭЛС» на 2025 год вместо    9 514,01у.е. (плановое среднегодовое значение) принят в размере 9 026,39 у.е. (плановое среднегодовое значение),</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 объем условных единиц электросетевого хозяйства ООО «ИВЭЛС» на 2024 год вместо 5247,30 у.е. (плановое среднегодовое значение) принят в размере 5 067,190 у.е. (плановое среднегодовое значение),</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 объем условных единиц электросетевого хозяйства ООО «ИВЭЛС» за 2023 год вместо    4 901,88 у.е. (фактическое среднегодовое значение) принят в размере 4303,918 у.е. (фактическое среднегодовое значение).</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Уменьшение количества активов, соответственно, повлекло снижение, в том числе, подконтрольных расходов.</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 xml:space="preserve">Согласно пункту 11(1) приказа ФСТ России от 17.02.2012 № 98-э «Об утверждении методических указаний по расчету тарифов на услуги по передаче электрической энергии, </w:t>
      </w:r>
      <w:r w:rsidRPr="00C62E6B">
        <w:rPr>
          <w:rFonts w:eastAsia="Calibri"/>
          <w:bCs/>
          <w:sz w:val="24"/>
          <w:szCs w:val="24"/>
          <w:lang w:eastAsia="en-US"/>
        </w:rPr>
        <w:lastRenderedPageBreak/>
        <w:t>устанавливаемых с применением метода долгосрочной индексации необходимой валовой выручки»,</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подконтрольные расходы, учтенные на год i долгосрочного периода регулирования, а также корректировка подконтрольных расходов в связи с изменением планируемых параметров расчета тарифов определяются по формулам:</w:t>
      </w:r>
    </w:p>
    <w:p w:rsidR="00C62E6B" w:rsidRPr="00C62E6B" w:rsidRDefault="00C62E6B" w:rsidP="00C62E6B">
      <w:pPr>
        <w:widowControl/>
        <w:ind w:firstLine="567"/>
        <w:jc w:val="center"/>
        <w:rPr>
          <w:rFonts w:eastAsia="Calibri"/>
          <w:b/>
          <w:bCs/>
          <w:sz w:val="24"/>
          <w:szCs w:val="24"/>
          <w:lang w:eastAsia="en-US"/>
        </w:rPr>
      </w:pPr>
      <w:r w:rsidRPr="00C62E6B">
        <w:rPr>
          <w:rFonts w:eastAsia="Calibri"/>
          <w:b/>
          <w:noProof/>
          <w:sz w:val="24"/>
          <w:szCs w:val="24"/>
        </w:rPr>
        <w:drawing>
          <wp:inline distT="0" distB="0" distL="0" distR="0" wp14:anchorId="19ABE789" wp14:editId="72DE2DE3">
            <wp:extent cx="1561465" cy="551815"/>
            <wp:effectExtent l="0" t="0" r="63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1465" cy="551815"/>
                    </a:xfrm>
                    <a:prstGeom prst="rect">
                      <a:avLst/>
                    </a:prstGeom>
                    <a:noFill/>
                    <a:ln>
                      <a:noFill/>
                    </a:ln>
                  </pic:spPr>
                </pic:pic>
              </a:graphicData>
            </a:graphic>
          </wp:inline>
        </w:drawing>
      </w:r>
      <w:r w:rsidRPr="00C62E6B">
        <w:rPr>
          <w:rFonts w:eastAsia="Calibri"/>
          <w:b/>
          <w:bCs/>
          <w:sz w:val="24"/>
          <w:szCs w:val="24"/>
          <w:lang w:eastAsia="en-US"/>
        </w:rPr>
        <w:t>,</w:t>
      </w:r>
    </w:p>
    <w:p w:rsidR="00C62E6B" w:rsidRPr="00C62E6B" w:rsidRDefault="00C62E6B" w:rsidP="00C62E6B">
      <w:pPr>
        <w:widowControl/>
        <w:ind w:firstLine="567"/>
        <w:jc w:val="center"/>
        <w:rPr>
          <w:rFonts w:eastAsia="Calibri"/>
          <w:b/>
          <w:bCs/>
          <w:sz w:val="24"/>
          <w:szCs w:val="24"/>
          <w:lang w:eastAsia="en-US"/>
        </w:rPr>
      </w:pPr>
      <w:r w:rsidRPr="00C62E6B">
        <w:rPr>
          <w:rFonts w:eastAsia="Calibri"/>
          <w:b/>
          <w:noProof/>
          <w:sz w:val="24"/>
          <w:szCs w:val="24"/>
        </w:rPr>
        <w:drawing>
          <wp:inline distT="0" distB="0" distL="0" distR="0" wp14:anchorId="5093435E" wp14:editId="3C8C4830">
            <wp:extent cx="2752090" cy="336550"/>
            <wp:effectExtent l="0" t="0" r="0" b="635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2090" cy="336550"/>
                    </a:xfrm>
                    <a:prstGeom prst="rect">
                      <a:avLst/>
                    </a:prstGeom>
                    <a:noFill/>
                    <a:ln>
                      <a:noFill/>
                    </a:ln>
                  </pic:spPr>
                </pic:pic>
              </a:graphicData>
            </a:graphic>
          </wp:inline>
        </w:drawing>
      </w:r>
      <w:r w:rsidRPr="00C62E6B">
        <w:rPr>
          <w:rFonts w:eastAsia="Calibri"/>
          <w:b/>
          <w:bCs/>
          <w:sz w:val="24"/>
          <w:szCs w:val="24"/>
          <w:lang w:eastAsia="en-US"/>
        </w:rPr>
        <w:t>,</w:t>
      </w:r>
    </w:p>
    <w:p w:rsidR="00C62E6B" w:rsidRPr="00C62E6B" w:rsidRDefault="00C62E6B" w:rsidP="00C62E6B">
      <w:pPr>
        <w:widowControl/>
        <w:ind w:firstLine="567"/>
        <w:jc w:val="both"/>
        <w:rPr>
          <w:rFonts w:eastAsia="Calibri"/>
          <w:b/>
          <w:bCs/>
          <w:sz w:val="24"/>
          <w:szCs w:val="24"/>
          <w:lang w:eastAsia="en-US"/>
        </w:rPr>
      </w:pPr>
    </w:p>
    <w:p w:rsidR="00C62E6B" w:rsidRPr="00C62E6B" w:rsidRDefault="00C62E6B" w:rsidP="00C62E6B">
      <w:pPr>
        <w:widowControl/>
        <w:ind w:firstLine="567"/>
        <w:jc w:val="center"/>
        <w:rPr>
          <w:rFonts w:eastAsia="Calibri"/>
          <w:b/>
          <w:bCs/>
          <w:sz w:val="24"/>
          <w:szCs w:val="24"/>
          <w:lang w:eastAsia="en-US"/>
        </w:rPr>
      </w:pPr>
      <w:r w:rsidRPr="00C62E6B">
        <w:rPr>
          <w:rFonts w:eastAsia="Calibri"/>
          <w:b/>
          <w:noProof/>
          <w:sz w:val="24"/>
          <w:szCs w:val="24"/>
        </w:rPr>
        <w:drawing>
          <wp:inline distT="0" distB="0" distL="0" distR="0" wp14:anchorId="6CBA2783" wp14:editId="3C8AB0C5">
            <wp:extent cx="1880870" cy="560705"/>
            <wp:effectExtent l="0" t="0" r="508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80870" cy="560705"/>
                    </a:xfrm>
                    <a:prstGeom prst="rect">
                      <a:avLst/>
                    </a:prstGeom>
                    <a:noFill/>
                    <a:ln>
                      <a:noFill/>
                    </a:ln>
                  </pic:spPr>
                </pic:pic>
              </a:graphicData>
            </a:graphic>
          </wp:inline>
        </w:drawing>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При этом</w:t>
      </w:r>
      <w:r w:rsidRPr="00C62E6B">
        <w:rPr>
          <w:rFonts w:eastAsia="Calibri"/>
          <w:sz w:val="24"/>
          <w:szCs w:val="24"/>
          <w:lang w:eastAsia="en-US"/>
        </w:rPr>
        <w:t xml:space="preserve"> </w:t>
      </w:r>
      <w:proofErr w:type="spellStart"/>
      <w:r w:rsidRPr="00C62E6B">
        <w:rPr>
          <w:rFonts w:eastAsia="Calibri"/>
          <w:bCs/>
          <w:sz w:val="24"/>
          <w:szCs w:val="24"/>
          <w:lang w:eastAsia="en-US"/>
        </w:rPr>
        <w:t>уеj</w:t>
      </w:r>
      <w:proofErr w:type="spellEnd"/>
      <w:r w:rsidRPr="00C62E6B">
        <w:rPr>
          <w:rFonts w:eastAsia="Calibri"/>
          <w:bCs/>
          <w:sz w:val="24"/>
          <w:szCs w:val="24"/>
          <w:lang w:eastAsia="en-US"/>
        </w:rPr>
        <w:t xml:space="preserve">, уеj-1 -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инвестиционной программой, определяемое без учета месяца ввода в эксплуатацию, планируемых к эксплуатации в соответствующем году долгосрочного периода регулирования, </w:t>
      </w:r>
      <w:r w:rsidRPr="00C62E6B">
        <w:rPr>
          <w:rFonts w:eastAsia="Calibri"/>
          <w:bCs/>
          <w:i/>
          <w:sz w:val="24"/>
          <w:szCs w:val="24"/>
          <w:lang w:eastAsia="en-US"/>
        </w:rPr>
        <w:t>а при наличии известных фактических значений используется фактическое среднегодовое (среднее за 12 месяцев)</w:t>
      </w:r>
      <w:r w:rsidRPr="00C62E6B">
        <w:rPr>
          <w:rFonts w:eastAsia="Calibri"/>
          <w:bCs/>
          <w:sz w:val="24"/>
          <w:szCs w:val="24"/>
          <w:lang w:eastAsia="en-US"/>
        </w:rPr>
        <w:t xml:space="preserve"> количество условных единиц на соответствующий год долгосрочного периода регулирования, который определяется с учетом фактического объема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инвестиционной программой.</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Таким образом, расчет плановых подконтрольных расходов ООО «ИВЭЛС» на 2025 год произведен Департаментом строго в соответствии с действующим законодательством, плановые подконтрольные расходы ООО «ИВЭЛС» на 2023 и на 2024 годы Департаментом не пересматривались.</w:t>
      </w:r>
    </w:p>
    <w:p w:rsidR="00C62E6B" w:rsidRPr="00C62E6B" w:rsidRDefault="00C62E6B" w:rsidP="00C62E6B">
      <w:pPr>
        <w:widowControl/>
        <w:ind w:firstLine="567"/>
        <w:jc w:val="both"/>
        <w:rPr>
          <w:bCs/>
          <w:sz w:val="24"/>
          <w:szCs w:val="24"/>
          <w:u w:val="single"/>
          <w:lang w:eastAsia="en-US"/>
        </w:rPr>
      </w:pPr>
      <w:bookmarkStart w:id="4" w:name="_Hlk184647210"/>
      <w:r w:rsidRPr="00C62E6B">
        <w:rPr>
          <w:bCs/>
          <w:sz w:val="24"/>
          <w:szCs w:val="24"/>
          <w:u w:val="single"/>
          <w:lang w:eastAsia="en-US"/>
        </w:rPr>
        <w:t xml:space="preserve">Уровень потерь электрической энергии при ее передаче по электрическим сетям </w:t>
      </w:r>
      <w:bookmarkEnd w:id="4"/>
      <w:r w:rsidRPr="00C62E6B">
        <w:rPr>
          <w:bCs/>
          <w:sz w:val="24"/>
          <w:szCs w:val="24"/>
          <w:u w:val="single"/>
          <w:lang w:eastAsia="en-US"/>
        </w:rPr>
        <w:t>ООО «ИВЭЛС»</w:t>
      </w:r>
    </w:p>
    <w:p w:rsidR="00C62E6B" w:rsidRPr="00C62E6B" w:rsidRDefault="00C62E6B" w:rsidP="00C62E6B">
      <w:pPr>
        <w:widowControl/>
        <w:ind w:firstLine="567"/>
        <w:jc w:val="both"/>
        <w:rPr>
          <w:sz w:val="24"/>
          <w:szCs w:val="24"/>
          <w:lang w:eastAsia="en-US"/>
        </w:rPr>
      </w:pPr>
      <w:r w:rsidRPr="00C62E6B">
        <w:rPr>
          <w:sz w:val="24"/>
          <w:szCs w:val="24"/>
          <w:lang w:eastAsia="en-US"/>
        </w:rPr>
        <w:t>Направленный в адрес ООО «ИВЭЛС» расчет уровня потерь электрической энергии при ее передаче по электрическим сетям на 7,36% не соответствует постановлению Правительства Российской Федерации от 29 декабря 2011 г. №1178 с учетом изменений, утвержденных постановлением Правительства Российской Федерации от 19.11.2024 г. №1581. (далее – Постановление Правительства №1178)</w:t>
      </w:r>
    </w:p>
    <w:p w:rsidR="00C62E6B" w:rsidRPr="00C62E6B" w:rsidRDefault="00C62E6B" w:rsidP="00C62E6B">
      <w:pPr>
        <w:widowControl/>
        <w:ind w:firstLine="567"/>
        <w:jc w:val="both"/>
        <w:rPr>
          <w:sz w:val="24"/>
          <w:szCs w:val="24"/>
          <w:lang w:eastAsia="en-US"/>
        </w:rPr>
      </w:pPr>
      <w:r w:rsidRPr="00C62E6B">
        <w:rPr>
          <w:sz w:val="24"/>
          <w:szCs w:val="24"/>
          <w:lang w:eastAsia="en-US"/>
        </w:rPr>
        <w:t xml:space="preserve">ООО «ИВЭЛС» отмечает, что расчет уровня потерь предоставленного Департаментом энергетики и тарифов Ивановской области в адрес организации рассчитан в соответствии с п. 12 Постановления Правительства №1178 и приказа Минэнерго от 26.09.17 г. №887 только в отношение электросетевого комплекса ООО «ИВЭЛС» без учета электросетевых комплексов </w:t>
      </w:r>
      <w:bookmarkStart w:id="5" w:name="_Hlk184653062"/>
      <w:r w:rsidRPr="00C62E6B">
        <w:rPr>
          <w:sz w:val="24"/>
          <w:szCs w:val="24"/>
          <w:lang w:eastAsia="en-US"/>
        </w:rPr>
        <w:t>АО «МРСК-ТК»</w:t>
      </w:r>
      <w:bookmarkEnd w:id="5"/>
      <w:r w:rsidRPr="00C62E6B">
        <w:rPr>
          <w:sz w:val="24"/>
          <w:szCs w:val="24"/>
          <w:lang w:eastAsia="en-US"/>
        </w:rPr>
        <w:t xml:space="preserve"> и ОАО «Юрьевецкие электрические сети» в размере 7,36%.</w:t>
      </w:r>
    </w:p>
    <w:p w:rsidR="00C62E6B" w:rsidRPr="00C62E6B" w:rsidRDefault="00C62E6B" w:rsidP="00C62E6B">
      <w:pPr>
        <w:widowControl/>
        <w:ind w:firstLine="567"/>
        <w:jc w:val="both"/>
        <w:rPr>
          <w:sz w:val="24"/>
          <w:szCs w:val="24"/>
          <w:lang w:eastAsia="en-US"/>
        </w:rPr>
      </w:pPr>
      <w:r w:rsidRPr="00C62E6B">
        <w:rPr>
          <w:sz w:val="24"/>
          <w:szCs w:val="24"/>
          <w:lang w:eastAsia="en-US"/>
        </w:rPr>
        <w:t xml:space="preserve">Однако, в соответствии с п. 40.1 Постановления Правительства №1178 в случае перехода к территориальной сетевой организации в течение долгосрочного периода регулирования права собственности или иных предусмотренных законом прав на объекты электросетевого хозяйства до начала очередного долгосрочного периода регулирования (за исключением случаев пересмотра уровня потерь электрической энергии, указанных в абзаце двадцать первом пункта 12 настоящего документа) </w:t>
      </w:r>
      <w:r w:rsidRPr="00C62E6B">
        <w:rPr>
          <w:bCs/>
          <w:sz w:val="24"/>
          <w:szCs w:val="24"/>
          <w:lang w:eastAsia="en-US"/>
        </w:rPr>
        <w:t>величина потерь электрической энергии</w:t>
      </w:r>
      <w:r w:rsidRPr="00C62E6B">
        <w:rPr>
          <w:sz w:val="24"/>
          <w:szCs w:val="24"/>
          <w:lang w:eastAsia="en-US"/>
        </w:rPr>
        <w:t xml:space="preserve"> при ее передаче по электрическим сетям </w:t>
      </w:r>
      <w:r w:rsidRPr="00C62E6B">
        <w:rPr>
          <w:bCs/>
          <w:sz w:val="24"/>
          <w:szCs w:val="24"/>
          <w:lang w:eastAsia="en-US"/>
        </w:rPr>
        <w:t>определяется как сумма величины потерь электрической энергии в отношении объектов электросетевого хозяйства, принадлежавших территориальной сетевой организации до начала текущего долгосрочного периода регулирования</w:t>
      </w:r>
      <w:r w:rsidRPr="00C62E6B">
        <w:rPr>
          <w:sz w:val="24"/>
          <w:szCs w:val="24"/>
          <w:lang w:eastAsia="en-US"/>
        </w:rPr>
        <w:t xml:space="preserve"> </w:t>
      </w:r>
      <w:r w:rsidRPr="00C62E6B">
        <w:rPr>
          <w:bCs/>
          <w:sz w:val="24"/>
          <w:szCs w:val="24"/>
          <w:lang w:eastAsia="en-US"/>
        </w:rPr>
        <w:t>и величины потерь электрической энергии</w:t>
      </w:r>
      <w:r w:rsidRPr="00C62E6B">
        <w:rPr>
          <w:sz w:val="24"/>
          <w:szCs w:val="24"/>
          <w:lang w:eastAsia="en-US"/>
        </w:rPr>
        <w:t xml:space="preserve">, </w:t>
      </w:r>
      <w:r w:rsidRPr="00C62E6B">
        <w:rPr>
          <w:bCs/>
          <w:sz w:val="24"/>
          <w:szCs w:val="24"/>
          <w:lang w:eastAsia="en-US"/>
        </w:rPr>
        <w:t>в отношении объектов электросетевого хозяйства, права собственности или иные предусмотренные законом права на которые перешли к территориальной сетевой организации в течение долгосрочного периода регулирования</w:t>
      </w:r>
      <w:r w:rsidRPr="00C62E6B">
        <w:rPr>
          <w:sz w:val="24"/>
          <w:szCs w:val="24"/>
          <w:lang w:eastAsia="en-US"/>
        </w:rPr>
        <w:t>.</w:t>
      </w:r>
    </w:p>
    <w:p w:rsidR="00C62E6B" w:rsidRPr="00C62E6B" w:rsidRDefault="00C62E6B" w:rsidP="00C62E6B">
      <w:pPr>
        <w:widowControl/>
        <w:ind w:firstLine="567"/>
        <w:jc w:val="both"/>
        <w:rPr>
          <w:sz w:val="24"/>
          <w:szCs w:val="24"/>
          <w:lang w:eastAsia="en-US"/>
        </w:rPr>
      </w:pPr>
      <w:r w:rsidRPr="00C62E6B">
        <w:rPr>
          <w:sz w:val="24"/>
          <w:szCs w:val="24"/>
          <w:lang w:eastAsia="en-US"/>
        </w:rPr>
        <w:lastRenderedPageBreak/>
        <w:t>Департаментом энергетики и тарифов Ивановской области не была учтена величина потерь электрической энергии при ее передаче по электрическим сетям АО «МРСК-ТК» и ОАО "Юрьевецкие электрические сети", права на объекты электросетевого хозяйства которой перешли к территориальной сетевой организации ООО «ИВЭЛС», учтенная при установлении тарифов на услуги по передаче электрической энергии на год перехода прав (в случае если установление тарифов на услуги по передаче электрической энергии на год перехода прав не осуществлялось, используется величина потерь электрической энергии, учтенная при установлении тарифов на услуги по передаче электрической энергии на год, предшествующий году перехода прав.</w:t>
      </w:r>
    </w:p>
    <w:p w:rsidR="00C62E6B" w:rsidRPr="00C62E6B" w:rsidRDefault="00C62E6B" w:rsidP="00C62E6B">
      <w:pPr>
        <w:widowControl/>
        <w:ind w:firstLine="567"/>
        <w:jc w:val="both"/>
        <w:rPr>
          <w:sz w:val="24"/>
          <w:szCs w:val="24"/>
          <w:lang w:eastAsia="en-US"/>
        </w:rPr>
      </w:pPr>
      <w:r w:rsidRPr="00C62E6B">
        <w:rPr>
          <w:sz w:val="24"/>
          <w:szCs w:val="24"/>
          <w:lang w:eastAsia="en-US"/>
        </w:rPr>
        <w:t>Данные действия повлекли за собой не только недоучет потерь электрической энергии при расчете индивидуальных тарифов на услуги по передаче электрической энергии для взаиморасчетов между ПАО "Россети Центр и Приволжье" (филиал "Ивэнерго") - ООО "ИВЭЛС" на 2025 г. но и перекос в плановых объемах потерь электрической энергии в разбивке между сбытовыми организациями и как следствие плановой цены покупки потерь по полугодиям.</w:t>
      </w:r>
    </w:p>
    <w:p w:rsidR="00C62E6B" w:rsidRPr="00C62E6B" w:rsidRDefault="00C62E6B" w:rsidP="00C62E6B">
      <w:pPr>
        <w:widowControl/>
        <w:ind w:firstLine="567"/>
        <w:jc w:val="both"/>
        <w:rPr>
          <w:sz w:val="24"/>
          <w:szCs w:val="24"/>
          <w:lang w:eastAsia="en-US"/>
        </w:rPr>
      </w:pPr>
      <w:r w:rsidRPr="00C62E6B">
        <w:rPr>
          <w:sz w:val="24"/>
          <w:szCs w:val="24"/>
          <w:lang w:eastAsia="en-US"/>
        </w:rPr>
        <w:t>С целью приведения расчета потерь в соответствие действующему законодательству ООО «ИВЭЛС» прикладывает расчет величины и уровня потерь электроэнергии при ее передаче по электрическим сетям ООО «ИВЭЛС» на 2025 г.</w:t>
      </w:r>
    </w:p>
    <w:p w:rsidR="00C62E6B" w:rsidRPr="00C62E6B" w:rsidRDefault="00C62E6B" w:rsidP="00C62E6B">
      <w:pPr>
        <w:widowControl/>
        <w:jc w:val="both"/>
        <w:rPr>
          <w:sz w:val="24"/>
          <w:szCs w:val="24"/>
          <w:lang w:eastAsia="en-US"/>
        </w:rPr>
      </w:pPr>
      <w:r w:rsidRPr="00C62E6B">
        <w:rPr>
          <w:noProof/>
          <w:sz w:val="24"/>
          <w:szCs w:val="24"/>
        </w:rPr>
        <w:drawing>
          <wp:inline distT="0" distB="0" distL="0" distR="0" wp14:anchorId="2FAC49DD" wp14:editId="7F9A6405">
            <wp:extent cx="6133465" cy="3942080"/>
            <wp:effectExtent l="0" t="0" r="635" b="127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3465" cy="3942080"/>
                    </a:xfrm>
                    <a:prstGeom prst="rect">
                      <a:avLst/>
                    </a:prstGeom>
                    <a:noFill/>
                    <a:ln>
                      <a:noFill/>
                    </a:ln>
                  </pic:spPr>
                </pic:pic>
              </a:graphicData>
            </a:graphic>
          </wp:inline>
        </w:drawing>
      </w:r>
    </w:p>
    <w:p w:rsidR="00C62E6B" w:rsidRPr="00C62E6B" w:rsidRDefault="00C62E6B" w:rsidP="00C62E6B">
      <w:pPr>
        <w:widowControl/>
        <w:jc w:val="both"/>
        <w:rPr>
          <w:sz w:val="24"/>
          <w:szCs w:val="24"/>
          <w:lang w:eastAsia="en-US"/>
        </w:rPr>
      </w:pPr>
    </w:p>
    <w:p w:rsidR="00C62E6B" w:rsidRPr="00C62E6B" w:rsidRDefault="00C62E6B" w:rsidP="00C62E6B">
      <w:pPr>
        <w:widowControl/>
        <w:ind w:firstLine="709"/>
        <w:jc w:val="both"/>
        <w:rPr>
          <w:sz w:val="24"/>
          <w:szCs w:val="24"/>
          <w:lang w:eastAsia="en-US"/>
        </w:rPr>
      </w:pPr>
      <w:r w:rsidRPr="00C62E6B">
        <w:rPr>
          <w:sz w:val="24"/>
          <w:szCs w:val="24"/>
          <w:lang w:eastAsia="en-US"/>
        </w:rPr>
        <w:t>Таким образом ООО «ИВЭЛС» считает, что корректный уровень потерь электрической энергии при ее передаче по электрическим сетям ООО «ИВЭЛС» составляет 10,75%, величина потерь электрической энергии от согласованного с ПАО «Россети Центр и Приволжье» (филиал «Ивэнерго») полезного отпуска составляет 42 003,99 тыс. кВтч.</w:t>
      </w:r>
    </w:p>
    <w:p w:rsidR="00C62E6B" w:rsidRPr="00C62E6B" w:rsidRDefault="00C62E6B" w:rsidP="00C62E6B">
      <w:pPr>
        <w:widowControl/>
        <w:ind w:firstLine="709"/>
        <w:jc w:val="both"/>
        <w:rPr>
          <w:sz w:val="24"/>
          <w:szCs w:val="24"/>
          <w:lang w:eastAsia="en-US"/>
        </w:rPr>
      </w:pPr>
      <w:r w:rsidRPr="00C62E6B">
        <w:rPr>
          <w:sz w:val="24"/>
          <w:szCs w:val="24"/>
          <w:lang w:eastAsia="en-US"/>
        </w:rPr>
        <w:t>По данному вопросу Департамент отмечает следующее.</w:t>
      </w:r>
    </w:p>
    <w:p w:rsidR="00C62E6B" w:rsidRPr="00C62E6B" w:rsidRDefault="00C62E6B" w:rsidP="00C62E6B">
      <w:pPr>
        <w:widowControl/>
        <w:ind w:firstLine="709"/>
        <w:jc w:val="both"/>
        <w:rPr>
          <w:sz w:val="24"/>
          <w:szCs w:val="24"/>
          <w:lang w:eastAsia="en-US"/>
        </w:rPr>
      </w:pPr>
      <w:r w:rsidRPr="00C62E6B">
        <w:rPr>
          <w:sz w:val="24"/>
          <w:szCs w:val="24"/>
          <w:lang w:eastAsia="en-US"/>
        </w:rPr>
        <w:t>В соответствии с абзацем двадцать первым пункта 12 Основ ценообразования, учитывая что суммарная величина отпуска электрической энергии в электрические сети ООО «ИВЭЛС» изменилась на 20 и более процентов от величины, учтенной при установлении цен (тарифов) на услуги по передаче электрической энергии на первый год долгосрочного периода – 2021 год, Экспертная группа пересматривает уровень потерь для ООО «ИВЭЛС» на 2025 год.</w:t>
      </w:r>
    </w:p>
    <w:p w:rsidR="00C62E6B" w:rsidRPr="00C62E6B" w:rsidRDefault="00C62E6B" w:rsidP="00C62E6B">
      <w:pPr>
        <w:widowControl/>
        <w:ind w:firstLine="709"/>
        <w:jc w:val="both"/>
        <w:rPr>
          <w:sz w:val="24"/>
          <w:szCs w:val="24"/>
          <w:lang w:eastAsia="en-US" w:bidi="ru-RU"/>
        </w:rPr>
      </w:pPr>
      <w:r w:rsidRPr="00C62E6B">
        <w:rPr>
          <w:sz w:val="24"/>
          <w:szCs w:val="24"/>
          <w:lang w:eastAsia="en-US" w:bidi="ru-RU"/>
        </w:rPr>
        <w:t>Исходные данные, используемые в расчете уровня потерь электрической энергии при ее передаче по электрическим сетям, представлены в таблице:</w:t>
      </w:r>
    </w:p>
    <w:p w:rsidR="00C62E6B" w:rsidRPr="00C62E6B" w:rsidRDefault="00C62E6B" w:rsidP="00C62E6B">
      <w:pPr>
        <w:widowControl/>
        <w:jc w:val="both"/>
        <w:rPr>
          <w:sz w:val="24"/>
          <w:szCs w:val="24"/>
          <w:lang w:eastAsia="en-US"/>
        </w:rPr>
      </w:pPr>
      <w:r w:rsidRPr="00C62E6B">
        <w:rPr>
          <w:noProof/>
          <w:sz w:val="24"/>
          <w:szCs w:val="24"/>
        </w:rPr>
        <w:lastRenderedPageBreak/>
        <w:drawing>
          <wp:inline distT="0" distB="0" distL="0" distR="0" wp14:anchorId="60FC119F" wp14:editId="413CD9B4">
            <wp:extent cx="5934710" cy="4184015"/>
            <wp:effectExtent l="0" t="0" r="8890" b="6985"/>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4710" cy="4184015"/>
                    </a:xfrm>
                    <a:prstGeom prst="rect">
                      <a:avLst/>
                    </a:prstGeom>
                    <a:noFill/>
                    <a:ln>
                      <a:noFill/>
                    </a:ln>
                  </pic:spPr>
                </pic:pic>
              </a:graphicData>
            </a:graphic>
          </wp:inline>
        </w:drawing>
      </w:r>
    </w:p>
    <w:p w:rsidR="00C62E6B" w:rsidRPr="00C62E6B" w:rsidRDefault="00C62E6B" w:rsidP="00C62E6B">
      <w:pPr>
        <w:widowControl/>
        <w:ind w:firstLine="709"/>
        <w:jc w:val="both"/>
        <w:rPr>
          <w:sz w:val="24"/>
          <w:szCs w:val="24"/>
          <w:lang w:eastAsia="en-US"/>
        </w:rPr>
      </w:pPr>
    </w:p>
    <w:p w:rsidR="00C62E6B" w:rsidRPr="00C62E6B" w:rsidRDefault="00C62E6B" w:rsidP="00C62E6B">
      <w:pPr>
        <w:widowControl/>
        <w:ind w:firstLine="709"/>
        <w:jc w:val="both"/>
        <w:rPr>
          <w:sz w:val="24"/>
          <w:szCs w:val="24"/>
          <w:lang w:eastAsia="en-US"/>
        </w:rPr>
      </w:pPr>
      <w:r w:rsidRPr="00C62E6B">
        <w:rPr>
          <w:sz w:val="24"/>
          <w:szCs w:val="24"/>
          <w:lang w:eastAsia="en-US"/>
        </w:rPr>
        <w:t xml:space="preserve">В соответствии с пунктом 40(1) Основ ценообразования для ООО «ИВЭЛС» используется уровень потерь электрической энергии при ее передаче по электрическим сетям, определенный органами исполнительной власти субъектов Российской Федерации в области государственного регулирования тарифов и установленный на долгосрочный период регулирования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за последний истекший год. При этом уровень потерь определяется в процентах от величины суммарного отпуска электрической энергии в сеть территориальной сетевой организации. </w:t>
      </w:r>
    </w:p>
    <w:p w:rsidR="00C62E6B" w:rsidRPr="00C62E6B" w:rsidRDefault="00C62E6B" w:rsidP="00C62E6B">
      <w:pPr>
        <w:widowControl/>
        <w:ind w:firstLine="709"/>
        <w:jc w:val="both"/>
        <w:rPr>
          <w:sz w:val="24"/>
          <w:szCs w:val="24"/>
          <w:lang w:eastAsia="en-US"/>
        </w:rPr>
      </w:pPr>
      <w:r w:rsidRPr="00C62E6B">
        <w:rPr>
          <w:sz w:val="24"/>
          <w:szCs w:val="24"/>
          <w:lang w:eastAsia="en-US"/>
        </w:rPr>
        <w:t xml:space="preserve">Учитывая, что ООО «ИВЭЛС» осуществило консолидацию объектов электросетевого хозяйства ранее существовавших сетевых организаций, а именно: </w:t>
      </w:r>
    </w:p>
    <w:p w:rsidR="00C62E6B" w:rsidRPr="00C62E6B" w:rsidRDefault="00C62E6B" w:rsidP="00C62E6B">
      <w:pPr>
        <w:widowControl/>
        <w:ind w:firstLine="709"/>
        <w:jc w:val="both"/>
        <w:rPr>
          <w:sz w:val="24"/>
          <w:szCs w:val="24"/>
          <w:lang w:eastAsia="en-US"/>
        </w:rPr>
      </w:pPr>
      <w:r w:rsidRPr="00C62E6B">
        <w:rPr>
          <w:sz w:val="24"/>
          <w:szCs w:val="24"/>
          <w:lang w:eastAsia="en-US"/>
        </w:rPr>
        <w:t>- с 01.01.2023 года – ООО «ИВЭСК»;</w:t>
      </w:r>
    </w:p>
    <w:p w:rsidR="00C62E6B" w:rsidRPr="00C62E6B" w:rsidRDefault="00C62E6B" w:rsidP="00C62E6B">
      <w:pPr>
        <w:widowControl/>
        <w:ind w:firstLine="709"/>
        <w:jc w:val="both"/>
        <w:rPr>
          <w:sz w:val="24"/>
          <w:szCs w:val="24"/>
          <w:lang w:eastAsia="en-US"/>
        </w:rPr>
      </w:pPr>
      <w:r w:rsidRPr="00C62E6B">
        <w:rPr>
          <w:sz w:val="24"/>
          <w:szCs w:val="24"/>
          <w:lang w:eastAsia="en-US"/>
        </w:rPr>
        <w:t xml:space="preserve">- с 01.01.2024 года – ООО «Химзавод», </w:t>
      </w:r>
    </w:p>
    <w:p w:rsidR="00C62E6B" w:rsidRPr="00C62E6B" w:rsidRDefault="00C62E6B" w:rsidP="00C62E6B">
      <w:pPr>
        <w:widowControl/>
        <w:ind w:firstLine="709"/>
        <w:jc w:val="both"/>
        <w:rPr>
          <w:sz w:val="24"/>
          <w:szCs w:val="24"/>
          <w:lang w:eastAsia="en-US"/>
        </w:rPr>
      </w:pPr>
      <w:r w:rsidRPr="00C62E6B">
        <w:rPr>
          <w:sz w:val="24"/>
          <w:szCs w:val="24"/>
          <w:lang w:eastAsia="en-US"/>
        </w:rPr>
        <w:t xml:space="preserve">- в 2024 году с 01.01.2025 года – АО «МРСК-ТК» и ОАО «ЮЭС» </w:t>
      </w:r>
    </w:p>
    <w:p w:rsidR="00C62E6B" w:rsidRPr="00C62E6B" w:rsidRDefault="00C62E6B" w:rsidP="00C62E6B">
      <w:pPr>
        <w:widowControl/>
        <w:ind w:firstLine="709"/>
        <w:jc w:val="both"/>
        <w:rPr>
          <w:sz w:val="24"/>
          <w:szCs w:val="24"/>
          <w:lang w:eastAsia="en-US"/>
        </w:rPr>
      </w:pPr>
      <w:r w:rsidRPr="00C62E6B">
        <w:rPr>
          <w:sz w:val="24"/>
          <w:szCs w:val="24"/>
          <w:lang w:eastAsia="en-US"/>
        </w:rPr>
        <w:t>Экспертная группа при расчете уровня потерь для ООО «ИВЭЛС» учитывает фактические данные всех вышеперечисленных территориальных сетевых организаций за 2023 год.</w:t>
      </w:r>
    </w:p>
    <w:p w:rsidR="00C62E6B" w:rsidRPr="00C62E6B" w:rsidRDefault="00C62E6B" w:rsidP="00C62E6B">
      <w:pPr>
        <w:widowControl/>
        <w:ind w:firstLine="709"/>
        <w:jc w:val="both"/>
        <w:rPr>
          <w:sz w:val="24"/>
          <w:szCs w:val="24"/>
          <w:lang w:eastAsia="en-US"/>
        </w:rPr>
      </w:pPr>
      <w:r w:rsidRPr="00C62E6B">
        <w:rPr>
          <w:sz w:val="24"/>
          <w:szCs w:val="24"/>
          <w:lang w:eastAsia="en-US"/>
        </w:rPr>
        <w:t>В качестве базового периода для определения уровня потерь электрической энергии при ее передаче по электрическим сетям ООО «ИВЭЛС» Экспертной группой принят последний истекший год - 2023 год, а именно, данные формы № 46-ЭЭ (передача) «Сведения об отпуске (передаче) электроэнергии распределительными сетевыми организациями отдельным категориям потребителей» за 2023 год.</w:t>
      </w:r>
    </w:p>
    <w:p w:rsidR="00C62E6B" w:rsidRPr="00C62E6B" w:rsidRDefault="00C62E6B" w:rsidP="00C62E6B">
      <w:pPr>
        <w:widowControl/>
        <w:ind w:firstLine="709"/>
        <w:jc w:val="both"/>
        <w:rPr>
          <w:sz w:val="24"/>
          <w:szCs w:val="24"/>
          <w:lang w:eastAsia="en-US"/>
        </w:rPr>
      </w:pPr>
      <w:r w:rsidRPr="00C62E6B">
        <w:rPr>
          <w:sz w:val="24"/>
          <w:szCs w:val="24"/>
          <w:lang w:eastAsia="en-US"/>
        </w:rPr>
        <w:t xml:space="preserve">Экспертная группа при определении уровня потерь выбирает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приказом Минэнерго России от 26.09.2017 № 887, и уровня фактических потерь электрической энергии при ее передаче по электрическим сетям ООО </w:t>
      </w:r>
      <w:r w:rsidRPr="00C62E6B">
        <w:rPr>
          <w:sz w:val="24"/>
          <w:szCs w:val="24"/>
          <w:lang w:eastAsia="en-US"/>
        </w:rPr>
        <w:lastRenderedPageBreak/>
        <w:t xml:space="preserve">«ИВЭЛС» на соответствующем уровне напряжения за 2023 год по формуле п. 40(1) Основ ценообразования. </w:t>
      </w:r>
    </w:p>
    <w:p w:rsidR="00C62E6B" w:rsidRPr="00C62E6B" w:rsidRDefault="00C62E6B" w:rsidP="00C62E6B">
      <w:pPr>
        <w:widowControl/>
        <w:ind w:firstLine="709"/>
        <w:jc w:val="both"/>
        <w:rPr>
          <w:sz w:val="24"/>
          <w:szCs w:val="24"/>
          <w:lang w:eastAsia="en-US"/>
        </w:rPr>
      </w:pPr>
      <w:r w:rsidRPr="00C62E6B">
        <w:rPr>
          <w:sz w:val="24"/>
          <w:szCs w:val="24"/>
          <w:lang w:eastAsia="en-US"/>
        </w:rPr>
        <w:t>По результатам проведенной экспертизы минимальные значения из норматива потерь электрической энергии и уровня фактических потерь электрической энергии за 2023 год на соответствующих уровнях напряжения составляют:</w:t>
      </w:r>
    </w:p>
    <w:p w:rsidR="00C62E6B" w:rsidRPr="00C62E6B" w:rsidRDefault="00C62E6B" w:rsidP="00C62E6B">
      <w:pPr>
        <w:widowControl/>
        <w:ind w:firstLine="709"/>
        <w:jc w:val="both"/>
        <w:rPr>
          <w:sz w:val="24"/>
          <w:szCs w:val="24"/>
          <w:lang w:eastAsia="en-US"/>
        </w:rPr>
      </w:pPr>
      <w:r w:rsidRPr="00C62E6B">
        <w:rPr>
          <w:sz w:val="24"/>
          <w:szCs w:val="24"/>
          <w:lang w:eastAsia="en-US"/>
        </w:rPr>
        <w:t>ВН – 1,81 %, СН 1 – 4,86 %, СН 2 – 6,17 %, НН – 10,40 %</w:t>
      </w:r>
    </w:p>
    <w:p w:rsidR="00C62E6B" w:rsidRPr="00C62E6B" w:rsidRDefault="00C62E6B" w:rsidP="00C62E6B">
      <w:pPr>
        <w:widowControl/>
        <w:ind w:firstLine="709"/>
        <w:jc w:val="both"/>
        <w:rPr>
          <w:sz w:val="24"/>
          <w:szCs w:val="24"/>
          <w:lang w:eastAsia="en-US"/>
        </w:rPr>
      </w:pPr>
      <w:r w:rsidRPr="00C62E6B">
        <w:rPr>
          <w:sz w:val="24"/>
          <w:szCs w:val="24"/>
          <w:lang w:eastAsia="en-US"/>
        </w:rPr>
        <w:t>На основании выбранных минимальных значений из норматива потерь электрической энергии и уровня фактических потерь электрической энергии за 2023 год на соответствующих уровнях напряжения Экспертной группой определен уровень потерь электрической энергии при ее передаче по электрическим сетям ООО «ИВЭЛС» на 2025 год – 8,76 %.</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Ассоциация «НП Совет рынка» в отношении ООО «ИВЭЛС» голосует по данному вопросу «против», по причине не предоставления расчетов и экспертного заключения.</w:t>
      </w:r>
    </w:p>
    <w:p w:rsidR="00C62E6B" w:rsidRPr="00C62E6B" w:rsidRDefault="00C62E6B" w:rsidP="00C62E6B">
      <w:pPr>
        <w:widowControl/>
        <w:ind w:firstLine="567"/>
        <w:jc w:val="both"/>
        <w:rPr>
          <w:rFonts w:eastAsia="Calibri"/>
          <w:bCs/>
          <w:sz w:val="24"/>
          <w:szCs w:val="24"/>
          <w:lang w:eastAsia="en-US"/>
        </w:rPr>
      </w:pPr>
      <w:r w:rsidRPr="00C62E6B">
        <w:rPr>
          <w:rFonts w:eastAsia="Calibri"/>
          <w:bCs/>
          <w:sz w:val="24"/>
          <w:szCs w:val="24"/>
          <w:lang w:eastAsia="en-US"/>
        </w:rPr>
        <w:t>Департамент отмечает, что в адрес Ассоциации «НП Совет рынка» подробные расчетные материалы по данному вопросу были направлены.</w:t>
      </w:r>
    </w:p>
    <w:p w:rsidR="00C62E6B" w:rsidRPr="00C62E6B" w:rsidRDefault="00C62E6B" w:rsidP="00C62E6B">
      <w:pPr>
        <w:tabs>
          <w:tab w:val="left" w:pos="0"/>
          <w:tab w:val="left" w:pos="1134"/>
          <w:tab w:val="left" w:pos="1276"/>
        </w:tabs>
        <w:ind w:firstLine="567"/>
        <w:contextualSpacing/>
        <w:jc w:val="both"/>
        <w:rPr>
          <w:sz w:val="24"/>
          <w:szCs w:val="24"/>
        </w:rPr>
      </w:pPr>
      <w:r w:rsidRPr="00C62E6B">
        <w:rPr>
          <w:b/>
          <w:sz w:val="24"/>
          <w:szCs w:val="24"/>
        </w:rPr>
        <w:t>РЕШИЛИ:</w:t>
      </w:r>
    </w:p>
    <w:p w:rsidR="00C62E6B" w:rsidRPr="00C62E6B" w:rsidRDefault="00C62E6B" w:rsidP="00C62E6B">
      <w:pPr>
        <w:tabs>
          <w:tab w:val="left" w:pos="1276"/>
        </w:tabs>
        <w:autoSpaceDE w:val="0"/>
        <w:autoSpaceDN w:val="0"/>
        <w:adjustRightInd w:val="0"/>
        <w:ind w:firstLine="567"/>
        <w:jc w:val="both"/>
        <w:rPr>
          <w:rFonts w:eastAsia="Calibri"/>
          <w:sz w:val="24"/>
          <w:szCs w:val="24"/>
          <w:lang w:eastAsia="en-US"/>
        </w:rPr>
      </w:pPr>
      <w:r w:rsidRPr="00C62E6B">
        <w:rPr>
          <w:rFonts w:eastAsia="Calibri"/>
          <w:sz w:val="24"/>
          <w:szCs w:val="24"/>
          <w:lang w:eastAsia="en-US"/>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Методическими указаниями </w:t>
      </w:r>
      <w:r w:rsidRPr="00C62E6B">
        <w:rPr>
          <w:rFonts w:eastAsia="Calibri"/>
          <w:spacing w:val="2"/>
          <w:sz w:val="24"/>
          <w:szCs w:val="24"/>
          <w:shd w:val="clear" w:color="auto" w:fill="FFFFFF"/>
          <w:lang w:eastAsia="en-US"/>
        </w:rPr>
        <w:t>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r w:rsidRPr="00C62E6B">
        <w:rPr>
          <w:rFonts w:eastAsia="Calibri"/>
          <w:sz w:val="24"/>
          <w:szCs w:val="24"/>
          <w:lang w:eastAsia="en-US"/>
        </w:rPr>
        <w:t>, утвержденными приказом Минэнерго России от 29.11.2016 № 1256, приказом Минэнерго России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C62E6B" w:rsidRPr="00C62E6B" w:rsidRDefault="00C62E6B" w:rsidP="00C62E6B">
      <w:pPr>
        <w:tabs>
          <w:tab w:val="left" w:pos="1276"/>
        </w:tabs>
        <w:autoSpaceDE w:val="0"/>
        <w:autoSpaceDN w:val="0"/>
        <w:adjustRightInd w:val="0"/>
        <w:ind w:firstLine="567"/>
        <w:jc w:val="both"/>
        <w:rPr>
          <w:rFonts w:eastAsia="Calibri"/>
          <w:sz w:val="24"/>
          <w:szCs w:val="24"/>
          <w:lang w:eastAsia="en-US"/>
        </w:rPr>
      </w:pPr>
      <w:r w:rsidRPr="00C62E6B">
        <w:rPr>
          <w:rFonts w:eastAsia="Calibri"/>
          <w:sz w:val="24"/>
          <w:szCs w:val="24"/>
          <w:lang w:eastAsia="en-US"/>
        </w:rPr>
        <w:t>1. Внести изменения в постановление Департамента энергетики и тарифов Ивановской области от 17.12.2020 № 72-э/1 «Об установлении необходимой валовой выручки и долгосрочных параметров регулирования для ООО «ИВЭЛС» на 2021 - 2025 годы, в отношении которого тарифы на услуги по передаче электрической энергии устанавливаются на основе долгосрочных параметров регулирования», изложив приложения 1 и 2 к постановлению Департамента энергетики и тарифов Ивановской области от 17.12.2020 № 72-э/1 в новой редакции согласно таблицам 1 и 2.</w:t>
      </w:r>
    </w:p>
    <w:p w:rsidR="00C62E6B" w:rsidRPr="00C62E6B" w:rsidRDefault="00C62E6B" w:rsidP="00C62E6B">
      <w:pPr>
        <w:tabs>
          <w:tab w:val="left" w:pos="1276"/>
        </w:tabs>
        <w:autoSpaceDE w:val="0"/>
        <w:autoSpaceDN w:val="0"/>
        <w:adjustRightInd w:val="0"/>
        <w:ind w:firstLine="567"/>
        <w:jc w:val="right"/>
        <w:rPr>
          <w:rFonts w:eastAsia="Calibri"/>
          <w:sz w:val="24"/>
          <w:szCs w:val="24"/>
          <w:lang w:eastAsia="en-US"/>
        </w:rPr>
      </w:pPr>
      <w:r w:rsidRPr="00C62E6B">
        <w:rPr>
          <w:rFonts w:eastAsia="Calibri"/>
          <w:sz w:val="24"/>
          <w:szCs w:val="24"/>
          <w:lang w:eastAsia="en-US"/>
        </w:rPr>
        <w:t>Таблица 1</w:t>
      </w:r>
    </w:p>
    <w:p w:rsidR="00C62E6B" w:rsidRPr="00C62E6B" w:rsidRDefault="00C62E6B" w:rsidP="00C62E6B">
      <w:pPr>
        <w:tabs>
          <w:tab w:val="left" w:pos="1276"/>
        </w:tabs>
        <w:autoSpaceDE w:val="0"/>
        <w:autoSpaceDN w:val="0"/>
        <w:adjustRightInd w:val="0"/>
        <w:ind w:right="-3"/>
        <w:jc w:val="center"/>
        <w:rPr>
          <w:sz w:val="24"/>
          <w:szCs w:val="24"/>
        </w:rPr>
      </w:pPr>
      <w:r w:rsidRPr="00C62E6B">
        <w:rPr>
          <w:sz w:val="24"/>
          <w:szCs w:val="24"/>
        </w:rPr>
        <w:t>Необходимая валовая выручка</w:t>
      </w:r>
    </w:p>
    <w:p w:rsidR="00C62E6B" w:rsidRPr="00C62E6B" w:rsidRDefault="00C62E6B" w:rsidP="00C62E6B">
      <w:pPr>
        <w:tabs>
          <w:tab w:val="left" w:pos="1276"/>
        </w:tabs>
        <w:autoSpaceDE w:val="0"/>
        <w:autoSpaceDN w:val="0"/>
        <w:adjustRightInd w:val="0"/>
        <w:ind w:right="-3"/>
        <w:jc w:val="center"/>
        <w:rPr>
          <w:sz w:val="24"/>
          <w:szCs w:val="24"/>
        </w:rPr>
      </w:pPr>
      <w:r w:rsidRPr="00C62E6B">
        <w:rPr>
          <w:sz w:val="24"/>
          <w:szCs w:val="24"/>
        </w:rPr>
        <w:t>ООО «ИВЭЛС» на долгосрочный период регулирования</w:t>
      </w:r>
    </w:p>
    <w:p w:rsidR="00C62E6B" w:rsidRPr="00C62E6B" w:rsidRDefault="00C62E6B" w:rsidP="00C62E6B">
      <w:pPr>
        <w:tabs>
          <w:tab w:val="left" w:pos="1276"/>
        </w:tabs>
        <w:autoSpaceDE w:val="0"/>
        <w:autoSpaceDN w:val="0"/>
        <w:adjustRightInd w:val="0"/>
        <w:ind w:right="-3"/>
        <w:jc w:val="center"/>
        <w:rPr>
          <w:sz w:val="24"/>
          <w:szCs w:val="24"/>
        </w:rPr>
      </w:pPr>
      <w:r w:rsidRPr="00C62E6B">
        <w:rPr>
          <w:sz w:val="24"/>
          <w:szCs w:val="24"/>
        </w:rPr>
        <w:t>(без учета оплаты потерь)</w:t>
      </w:r>
    </w:p>
    <w:p w:rsidR="00C62E6B" w:rsidRPr="00C62E6B" w:rsidRDefault="00C62E6B" w:rsidP="00C62E6B">
      <w:pPr>
        <w:tabs>
          <w:tab w:val="left" w:pos="1276"/>
        </w:tabs>
        <w:autoSpaceDE w:val="0"/>
        <w:autoSpaceDN w:val="0"/>
        <w:adjustRightInd w:val="0"/>
        <w:ind w:right="-3"/>
        <w:jc w:val="both"/>
        <w:rPr>
          <w:rFonts w:eastAsia="Calibri"/>
          <w:sz w:val="24"/>
          <w:szCs w:val="24"/>
          <w:lang w:eastAsia="en-US"/>
        </w:rPr>
      </w:pPr>
    </w:p>
    <w:tbl>
      <w:tblPr>
        <w:tblW w:w="9298" w:type="dxa"/>
        <w:tblInd w:w="93" w:type="dxa"/>
        <w:tblLook w:val="04A0" w:firstRow="1" w:lastRow="0" w:firstColumn="1" w:lastColumn="0" w:noHBand="0" w:noVBand="1"/>
      </w:tblPr>
      <w:tblGrid>
        <w:gridCol w:w="520"/>
        <w:gridCol w:w="4060"/>
        <w:gridCol w:w="1100"/>
        <w:gridCol w:w="3618"/>
      </w:tblGrid>
      <w:tr w:rsidR="00C62E6B" w:rsidRPr="00C62E6B" w:rsidTr="00C62E6B">
        <w:trPr>
          <w:trHeight w:val="615"/>
        </w:trPr>
        <w:tc>
          <w:tcPr>
            <w:tcW w:w="520" w:type="dxa"/>
            <w:vMerge w:val="restart"/>
            <w:tcBorders>
              <w:top w:val="single" w:sz="4" w:space="0" w:color="000000"/>
              <w:left w:val="single" w:sz="4" w:space="0" w:color="000000"/>
              <w:bottom w:val="single" w:sz="4" w:space="0" w:color="000000"/>
              <w:right w:val="single" w:sz="4" w:space="0" w:color="000000"/>
            </w:tcBorders>
            <w:vAlign w:val="center"/>
            <w:hideMark/>
          </w:tcPr>
          <w:p w:rsidR="00C62E6B" w:rsidRPr="00C62E6B" w:rsidRDefault="00C62E6B" w:rsidP="00C62E6B">
            <w:pPr>
              <w:widowControl/>
              <w:jc w:val="center"/>
              <w:rPr>
                <w:sz w:val="22"/>
                <w:szCs w:val="22"/>
              </w:rPr>
            </w:pPr>
            <w:r w:rsidRPr="00C62E6B">
              <w:rPr>
                <w:sz w:val="22"/>
                <w:szCs w:val="22"/>
              </w:rPr>
              <w:t>№ п/п</w:t>
            </w:r>
          </w:p>
        </w:tc>
        <w:tc>
          <w:tcPr>
            <w:tcW w:w="4060" w:type="dxa"/>
            <w:vMerge w:val="restart"/>
            <w:tcBorders>
              <w:top w:val="single" w:sz="4" w:space="0" w:color="000000"/>
              <w:left w:val="single" w:sz="4" w:space="0" w:color="000000"/>
              <w:bottom w:val="single" w:sz="4" w:space="0" w:color="000000"/>
              <w:right w:val="single" w:sz="4" w:space="0" w:color="000000"/>
            </w:tcBorders>
            <w:vAlign w:val="center"/>
            <w:hideMark/>
          </w:tcPr>
          <w:p w:rsidR="00C62E6B" w:rsidRPr="00C62E6B" w:rsidRDefault="00C62E6B" w:rsidP="00C62E6B">
            <w:pPr>
              <w:widowControl/>
              <w:jc w:val="center"/>
              <w:rPr>
                <w:sz w:val="22"/>
                <w:szCs w:val="22"/>
              </w:rPr>
            </w:pPr>
            <w:r w:rsidRPr="00C62E6B">
              <w:rPr>
                <w:sz w:val="22"/>
                <w:szCs w:val="22"/>
              </w:rPr>
              <w:t>Наименование сетевой организации в субъекте Российской Федерации</w:t>
            </w:r>
          </w:p>
        </w:tc>
        <w:tc>
          <w:tcPr>
            <w:tcW w:w="1100" w:type="dxa"/>
            <w:vMerge w:val="restart"/>
            <w:tcBorders>
              <w:top w:val="single" w:sz="4" w:space="0" w:color="000000"/>
              <w:left w:val="single" w:sz="4" w:space="0" w:color="000000"/>
              <w:bottom w:val="single" w:sz="4" w:space="0" w:color="000000"/>
              <w:right w:val="single" w:sz="4" w:space="0" w:color="000000"/>
            </w:tcBorders>
            <w:vAlign w:val="center"/>
            <w:hideMark/>
          </w:tcPr>
          <w:p w:rsidR="00C62E6B" w:rsidRPr="00C62E6B" w:rsidRDefault="00C62E6B" w:rsidP="00C62E6B">
            <w:pPr>
              <w:widowControl/>
              <w:jc w:val="center"/>
              <w:rPr>
                <w:sz w:val="22"/>
                <w:szCs w:val="22"/>
              </w:rPr>
            </w:pPr>
            <w:r w:rsidRPr="00C62E6B">
              <w:rPr>
                <w:sz w:val="22"/>
                <w:szCs w:val="22"/>
              </w:rPr>
              <w:t>Год</w:t>
            </w:r>
          </w:p>
        </w:tc>
        <w:tc>
          <w:tcPr>
            <w:tcW w:w="3618" w:type="dxa"/>
            <w:tcBorders>
              <w:top w:val="single" w:sz="4" w:space="0" w:color="000000"/>
              <w:left w:val="nil"/>
              <w:bottom w:val="single" w:sz="4" w:space="0" w:color="000000"/>
              <w:right w:val="single" w:sz="4" w:space="0" w:color="000000"/>
            </w:tcBorders>
            <w:vAlign w:val="center"/>
            <w:hideMark/>
          </w:tcPr>
          <w:p w:rsidR="00C62E6B" w:rsidRPr="00C62E6B" w:rsidRDefault="00C62E6B" w:rsidP="00C62E6B">
            <w:pPr>
              <w:widowControl/>
              <w:jc w:val="center"/>
              <w:rPr>
                <w:sz w:val="22"/>
                <w:szCs w:val="22"/>
              </w:rPr>
            </w:pPr>
            <w:r w:rsidRPr="00C62E6B">
              <w:rPr>
                <w:sz w:val="22"/>
                <w:szCs w:val="22"/>
              </w:rPr>
              <w:t>Необходимая валовая выручка сетевых организаций без учета оплаты потерь</w:t>
            </w:r>
          </w:p>
        </w:tc>
      </w:tr>
      <w:tr w:rsidR="00C62E6B" w:rsidRPr="00C62E6B" w:rsidTr="00C62E6B">
        <w:trPr>
          <w:trHeight w:val="31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2E6B" w:rsidRPr="00C62E6B" w:rsidRDefault="00C62E6B" w:rsidP="00C62E6B">
            <w:pPr>
              <w:widowControl/>
              <w:spacing w:line="256" w:lineRule="auto"/>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2E6B" w:rsidRPr="00C62E6B" w:rsidRDefault="00C62E6B" w:rsidP="00C62E6B">
            <w:pPr>
              <w:widowControl/>
              <w:spacing w:line="256" w:lineRule="auto"/>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2E6B" w:rsidRPr="00C62E6B" w:rsidRDefault="00C62E6B" w:rsidP="00C62E6B">
            <w:pPr>
              <w:widowControl/>
              <w:spacing w:line="256" w:lineRule="auto"/>
              <w:rPr>
                <w:sz w:val="22"/>
                <w:szCs w:val="22"/>
              </w:rPr>
            </w:pPr>
          </w:p>
        </w:tc>
        <w:tc>
          <w:tcPr>
            <w:tcW w:w="3618" w:type="dxa"/>
            <w:tcBorders>
              <w:top w:val="nil"/>
              <w:left w:val="nil"/>
              <w:bottom w:val="single" w:sz="4" w:space="0" w:color="000000"/>
              <w:right w:val="single" w:sz="4" w:space="0" w:color="000000"/>
            </w:tcBorders>
            <w:noWrap/>
            <w:vAlign w:val="center"/>
            <w:hideMark/>
          </w:tcPr>
          <w:p w:rsidR="00C62E6B" w:rsidRPr="00C62E6B" w:rsidRDefault="00C62E6B" w:rsidP="00C62E6B">
            <w:pPr>
              <w:widowControl/>
              <w:jc w:val="center"/>
              <w:rPr>
                <w:sz w:val="22"/>
                <w:szCs w:val="22"/>
              </w:rPr>
            </w:pPr>
            <w:r w:rsidRPr="00C62E6B">
              <w:rPr>
                <w:sz w:val="22"/>
                <w:szCs w:val="22"/>
              </w:rPr>
              <w:t>тыс. руб.</w:t>
            </w:r>
          </w:p>
        </w:tc>
      </w:tr>
      <w:tr w:rsidR="00C62E6B" w:rsidRPr="00C62E6B" w:rsidTr="00C62E6B">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62E6B" w:rsidRPr="00C62E6B" w:rsidRDefault="00C62E6B" w:rsidP="00C62E6B">
            <w:pPr>
              <w:widowControl/>
              <w:jc w:val="center"/>
              <w:rPr>
                <w:sz w:val="22"/>
                <w:szCs w:val="22"/>
              </w:rPr>
            </w:pPr>
            <w:r w:rsidRPr="00C62E6B">
              <w:rPr>
                <w:sz w:val="22"/>
                <w:szCs w:val="22"/>
              </w:rPr>
              <w:t>1.</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2E6B" w:rsidRPr="00C62E6B" w:rsidRDefault="00C62E6B" w:rsidP="00C62E6B">
            <w:pPr>
              <w:widowControl/>
              <w:jc w:val="center"/>
              <w:rPr>
                <w:sz w:val="22"/>
                <w:szCs w:val="22"/>
              </w:rPr>
            </w:pPr>
            <w:r w:rsidRPr="00C62E6B">
              <w:rPr>
                <w:sz w:val="22"/>
                <w:szCs w:val="22"/>
              </w:rPr>
              <w:t>ООО «ИВЭЛС»</w:t>
            </w:r>
          </w:p>
        </w:tc>
        <w:tc>
          <w:tcPr>
            <w:tcW w:w="1100" w:type="dxa"/>
            <w:tcBorders>
              <w:top w:val="nil"/>
              <w:left w:val="nil"/>
              <w:bottom w:val="single" w:sz="4" w:space="0" w:color="000000"/>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2021</w:t>
            </w:r>
          </w:p>
        </w:tc>
        <w:tc>
          <w:tcPr>
            <w:tcW w:w="3618" w:type="dxa"/>
            <w:tcBorders>
              <w:top w:val="nil"/>
              <w:left w:val="nil"/>
              <w:bottom w:val="single" w:sz="4" w:space="0" w:color="000000"/>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55 953,29</w:t>
            </w:r>
          </w:p>
        </w:tc>
      </w:tr>
      <w:tr w:rsidR="00C62E6B" w:rsidRPr="00C62E6B" w:rsidTr="00C62E6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1100" w:type="dxa"/>
            <w:tcBorders>
              <w:top w:val="nil"/>
              <w:left w:val="nil"/>
              <w:bottom w:val="single" w:sz="4" w:space="0" w:color="000000"/>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2022</w:t>
            </w:r>
          </w:p>
        </w:tc>
        <w:tc>
          <w:tcPr>
            <w:tcW w:w="3618" w:type="dxa"/>
            <w:tcBorders>
              <w:top w:val="nil"/>
              <w:left w:val="nil"/>
              <w:bottom w:val="single" w:sz="4" w:space="0" w:color="000000"/>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56 591,16</w:t>
            </w:r>
          </w:p>
        </w:tc>
      </w:tr>
      <w:tr w:rsidR="00C62E6B" w:rsidRPr="00C62E6B" w:rsidTr="00C62E6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1100" w:type="dxa"/>
            <w:tcBorders>
              <w:top w:val="nil"/>
              <w:left w:val="nil"/>
              <w:bottom w:val="single" w:sz="4" w:space="0" w:color="000000"/>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2023</w:t>
            </w:r>
          </w:p>
        </w:tc>
        <w:tc>
          <w:tcPr>
            <w:tcW w:w="3618" w:type="dxa"/>
            <w:tcBorders>
              <w:top w:val="nil"/>
              <w:left w:val="nil"/>
              <w:bottom w:val="nil"/>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91 207,66</w:t>
            </w:r>
          </w:p>
        </w:tc>
      </w:tr>
      <w:tr w:rsidR="00C62E6B" w:rsidRPr="00C62E6B" w:rsidTr="00C62E6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1100" w:type="dxa"/>
            <w:tcBorders>
              <w:top w:val="nil"/>
              <w:left w:val="nil"/>
              <w:bottom w:val="single" w:sz="4" w:space="0" w:color="000000"/>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2024</w:t>
            </w:r>
          </w:p>
        </w:tc>
        <w:tc>
          <w:tcPr>
            <w:tcW w:w="3618" w:type="dxa"/>
            <w:tcBorders>
              <w:top w:val="single" w:sz="4" w:space="0" w:color="auto"/>
              <w:left w:val="nil"/>
              <w:bottom w:val="single" w:sz="4" w:space="0" w:color="auto"/>
              <w:right w:val="single" w:sz="4" w:space="0" w:color="auto"/>
            </w:tcBorders>
            <w:noWrap/>
            <w:vAlign w:val="bottom"/>
            <w:hideMark/>
          </w:tcPr>
          <w:p w:rsidR="00C62E6B" w:rsidRPr="00C62E6B" w:rsidRDefault="00C62E6B" w:rsidP="00C62E6B">
            <w:pPr>
              <w:widowControl/>
              <w:jc w:val="center"/>
              <w:rPr>
                <w:sz w:val="22"/>
                <w:szCs w:val="22"/>
              </w:rPr>
            </w:pPr>
            <w:r w:rsidRPr="00C62E6B">
              <w:rPr>
                <w:sz w:val="22"/>
                <w:szCs w:val="22"/>
              </w:rPr>
              <w:t>108 507,26</w:t>
            </w:r>
          </w:p>
        </w:tc>
      </w:tr>
      <w:tr w:rsidR="00C62E6B" w:rsidRPr="00C62E6B" w:rsidTr="00C62E6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rPr>
                <w:sz w:val="22"/>
                <w:szCs w:val="22"/>
              </w:rPr>
            </w:pPr>
          </w:p>
        </w:tc>
        <w:tc>
          <w:tcPr>
            <w:tcW w:w="1100" w:type="dxa"/>
            <w:tcBorders>
              <w:top w:val="nil"/>
              <w:left w:val="nil"/>
              <w:bottom w:val="single" w:sz="4" w:space="0" w:color="000000"/>
              <w:right w:val="single" w:sz="4" w:space="0" w:color="000000"/>
            </w:tcBorders>
            <w:shd w:val="clear" w:color="auto" w:fill="FFFFFF"/>
            <w:noWrap/>
            <w:hideMark/>
          </w:tcPr>
          <w:p w:rsidR="00C62E6B" w:rsidRPr="00C62E6B" w:rsidRDefault="00C62E6B" w:rsidP="00C62E6B">
            <w:pPr>
              <w:widowControl/>
              <w:jc w:val="center"/>
              <w:rPr>
                <w:sz w:val="22"/>
                <w:szCs w:val="22"/>
              </w:rPr>
            </w:pPr>
            <w:r w:rsidRPr="00C62E6B">
              <w:rPr>
                <w:sz w:val="22"/>
                <w:szCs w:val="22"/>
              </w:rPr>
              <w:t>2025</w:t>
            </w:r>
          </w:p>
        </w:tc>
        <w:tc>
          <w:tcPr>
            <w:tcW w:w="3618" w:type="dxa"/>
            <w:tcBorders>
              <w:top w:val="nil"/>
              <w:left w:val="nil"/>
              <w:bottom w:val="single" w:sz="4" w:space="0" w:color="auto"/>
              <w:right w:val="single" w:sz="4" w:space="0" w:color="auto"/>
            </w:tcBorders>
            <w:noWrap/>
            <w:vAlign w:val="bottom"/>
            <w:hideMark/>
          </w:tcPr>
          <w:p w:rsidR="00C62E6B" w:rsidRPr="00C62E6B" w:rsidRDefault="00C62E6B" w:rsidP="00C62E6B">
            <w:pPr>
              <w:widowControl/>
              <w:jc w:val="center"/>
              <w:rPr>
                <w:sz w:val="22"/>
                <w:szCs w:val="22"/>
              </w:rPr>
            </w:pPr>
            <w:r w:rsidRPr="00C62E6B">
              <w:rPr>
                <w:sz w:val="22"/>
                <w:szCs w:val="22"/>
              </w:rPr>
              <w:t xml:space="preserve">187 441,55 </w:t>
            </w:r>
          </w:p>
        </w:tc>
      </w:tr>
    </w:tbl>
    <w:p w:rsidR="00C62E6B" w:rsidRPr="00C62E6B" w:rsidRDefault="00C62E6B" w:rsidP="00C62E6B">
      <w:pPr>
        <w:widowControl/>
        <w:rPr>
          <w:rFonts w:ascii="Calibri" w:eastAsia="Calibri" w:hAnsi="Calibri"/>
          <w:sz w:val="22"/>
          <w:szCs w:val="22"/>
          <w:lang w:eastAsia="en-US"/>
        </w:rPr>
        <w:sectPr w:rsidR="00C62E6B" w:rsidRPr="00C62E6B">
          <w:pgSz w:w="11906" w:h="16838"/>
          <w:pgMar w:top="851" w:right="567" w:bottom="851" w:left="1418" w:header="709" w:footer="709" w:gutter="0"/>
          <w:cols w:space="720"/>
        </w:sectPr>
      </w:pPr>
      <w:r w:rsidRPr="00C62E6B">
        <w:rPr>
          <w:rFonts w:ascii="Calibri" w:eastAsia="Calibri" w:hAnsi="Calibri"/>
          <w:sz w:val="22"/>
          <w:szCs w:val="22"/>
          <w:lang w:eastAsia="en-US"/>
        </w:rPr>
        <w:br w:type="page"/>
      </w:r>
    </w:p>
    <w:p w:rsidR="00C62E6B" w:rsidRPr="00C62E6B" w:rsidRDefault="00C62E6B" w:rsidP="00C62E6B">
      <w:pPr>
        <w:widowControl/>
        <w:ind w:firstLine="567"/>
        <w:jc w:val="right"/>
        <w:rPr>
          <w:rFonts w:eastAsia="Calibri"/>
          <w:sz w:val="22"/>
          <w:szCs w:val="22"/>
          <w:lang w:eastAsia="en-US"/>
        </w:rPr>
      </w:pPr>
      <w:r w:rsidRPr="00C62E6B">
        <w:rPr>
          <w:rFonts w:eastAsia="Calibri"/>
          <w:sz w:val="22"/>
          <w:szCs w:val="22"/>
          <w:lang w:eastAsia="en-US"/>
        </w:rPr>
        <w:lastRenderedPageBreak/>
        <w:t>Таблица 2</w:t>
      </w:r>
    </w:p>
    <w:p w:rsidR="00C62E6B" w:rsidRPr="00C62E6B" w:rsidRDefault="00C62E6B" w:rsidP="00C62E6B">
      <w:pPr>
        <w:widowControl/>
        <w:tabs>
          <w:tab w:val="left" w:pos="4143"/>
        </w:tabs>
        <w:spacing w:after="200" w:line="276" w:lineRule="auto"/>
        <w:jc w:val="center"/>
        <w:rPr>
          <w:rFonts w:eastAsia="Calibri"/>
          <w:sz w:val="24"/>
          <w:szCs w:val="24"/>
          <w:lang w:eastAsia="en-US"/>
        </w:rPr>
      </w:pPr>
    </w:p>
    <w:p w:rsidR="00C62E6B" w:rsidRPr="00C62E6B" w:rsidRDefault="00C62E6B" w:rsidP="00C62E6B">
      <w:pPr>
        <w:widowControl/>
        <w:tabs>
          <w:tab w:val="left" w:pos="4143"/>
        </w:tabs>
        <w:spacing w:after="200" w:line="276" w:lineRule="auto"/>
        <w:jc w:val="center"/>
        <w:rPr>
          <w:rFonts w:eastAsia="Calibri"/>
          <w:sz w:val="24"/>
          <w:szCs w:val="24"/>
          <w:lang w:eastAsia="en-US"/>
        </w:rPr>
      </w:pPr>
      <w:r w:rsidRPr="00C62E6B">
        <w:rPr>
          <w:rFonts w:eastAsia="Calibri"/>
          <w:sz w:val="24"/>
          <w:szCs w:val="24"/>
          <w:lang w:eastAsia="en-US"/>
        </w:rPr>
        <w:t>Долгосрочные параметры регулирования для ООО «ИВЭЛС»,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tbl>
      <w:tblPr>
        <w:tblW w:w="15220" w:type="dxa"/>
        <w:tblInd w:w="93" w:type="dxa"/>
        <w:tblLook w:val="04A0" w:firstRow="1" w:lastRow="0" w:firstColumn="1" w:lastColumn="0" w:noHBand="0" w:noVBand="1"/>
      </w:tblPr>
      <w:tblGrid>
        <w:gridCol w:w="924"/>
        <w:gridCol w:w="1840"/>
        <w:gridCol w:w="1026"/>
        <w:gridCol w:w="1649"/>
        <w:gridCol w:w="1649"/>
        <w:gridCol w:w="1649"/>
        <w:gridCol w:w="1491"/>
        <w:gridCol w:w="1928"/>
        <w:gridCol w:w="1507"/>
        <w:gridCol w:w="1557"/>
      </w:tblGrid>
      <w:tr w:rsidR="00C62E6B" w:rsidRPr="00C62E6B" w:rsidTr="00C62E6B">
        <w:trPr>
          <w:trHeight w:val="2235"/>
        </w:trPr>
        <w:tc>
          <w:tcPr>
            <w:tcW w:w="924" w:type="dxa"/>
            <w:vMerge w:val="restart"/>
            <w:tcBorders>
              <w:top w:val="single" w:sz="4" w:space="0" w:color="auto"/>
              <w:left w:val="single" w:sz="4" w:space="0" w:color="auto"/>
              <w:bottom w:val="single" w:sz="4" w:space="0" w:color="000000"/>
              <w:right w:val="nil"/>
            </w:tcBorders>
            <w:vAlign w:val="center"/>
            <w:hideMark/>
          </w:tcPr>
          <w:p w:rsidR="00C62E6B" w:rsidRPr="00C62E6B" w:rsidRDefault="00C62E6B" w:rsidP="00C62E6B">
            <w:pPr>
              <w:widowControl/>
              <w:jc w:val="center"/>
            </w:pPr>
            <w:r w:rsidRPr="00C62E6B">
              <w:t xml:space="preserve">№ </w:t>
            </w:r>
            <w:r w:rsidRPr="00C62E6B">
              <w:br/>
              <w:t>п/п</w:t>
            </w:r>
          </w:p>
        </w:tc>
        <w:tc>
          <w:tcPr>
            <w:tcW w:w="1840" w:type="dxa"/>
            <w:vMerge w:val="restart"/>
            <w:tcBorders>
              <w:top w:val="single" w:sz="4" w:space="0" w:color="auto"/>
              <w:left w:val="single" w:sz="4" w:space="0" w:color="auto"/>
              <w:bottom w:val="single" w:sz="4" w:space="0" w:color="000000"/>
              <w:right w:val="nil"/>
            </w:tcBorders>
            <w:vAlign w:val="center"/>
            <w:hideMark/>
          </w:tcPr>
          <w:p w:rsidR="00C62E6B" w:rsidRPr="00C62E6B" w:rsidRDefault="00C62E6B" w:rsidP="00C62E6B">
            <w:pPr>
              <w:widowControl/>
              <w:jc w:val="center"/>
            </w:pPr>
            <w:r w:rsidRPr="00C62E6B">
              <w:t>Наименование сетевой организации в субъекте Российской Федерации</w:t>
            </w:r>
          </w:p>
        </w:tc>
        <w:tc>
          <w:tcPr>
            <w:tcW w:w="1026" w:type="dxa"/>
            <w:vMerge w:val="restart"/>
            <w:tcBorders>
              <w:top w:val="single" w:sz="4" w:space="0" w:color="auto"/>
              <w:left w:val="single" w:sz="4" w:space="0" w:color="auto"/>
              <w:bottom w:val="single" w:sz="4" w:space="0" w:color="000000"/>
              <w:right w:val="nil"/>
            </w:tcBorders>
            <w:vAlign w:val="center"/>
            <w:hideMark/>
          </w:tcPr>
          <w:p w:rsidR="00C62E6B" w:rsidRPr="00C62E6B" w:rsidRDefault="00C62E6B" w:rsidP="00C62E6B">
            <w:pPr>
              <w:widowControl/>
              <w:jc w:val="center"/>
            </w:pPr>
            <w:r w:rsidRPr="00C62E6B">
              <w:t>Год</w:t>
            </w:r>
          </w:p>
        </w:tc>
        <w:tc>
          <w:tcPr>
            <w:tcW w:w="1649" w:type="dxa"/>
            <w:tcBorders>
              <w:top w:val="single" w:sz="4" w:space="0" w:color="auto"/>
              <w:left w:val="single" w:sz="4" w:space="0" w:color="auto"/>
              <w:bottom w:val="nil"/>
              <w:right w:val="nil"/>
            </w:tcBorders>
            <w:vAlign w:val="center"/>
            <w:hideMark/>
          </w:tcPr>
          <w:p w:rsidR="00C62E6B" w:rsidRPr="00C62E6B" w:rsidRDefault="00C62E6B" w:rsidP="00C62E6B">
            <w:pPr>
              <w:widowControl/>
              <w:jc w:val="center"/>
            </w:pPr>
            <w:r w:rsidRPr="00C62E6B">
              <w:t>Базовый уровень подконтрольных расходов</w:t>
            </w:r>
          </w:p>
        </w:tc>
        <w:tc>
          <w:tcPr>
            <w:tcW w:w="1649" w:type="dxa"/>
            <w:tcBorders>
              <w:top w:val="single" w:sz="4" w:space="0" w:color="auto"/>
              <w:left w:val="single" w:sz="4" w:space="0" w:color="auto"/>
              <w:bottom w:val="nil"/>
              <w:right w:val="nil"/>
            </w:tcBorders>
            <w:vAlign w:val="center"/>
            <w:hideMark/>
          </w:tcPr>
          <w:p w:rsidR="00C62E6B" w:rsidRPr="00C62E6B" w:rsidRDefault="00C62E6B" w:rsidP="00C62E6B">
            <w:pPr>
              <w:widowControl/>
              <w:jc w:val="center"/>
            </w:pPr>
            <w:r w:rsidRPr="00C62E6B">
              <w:t>Индекс эффективности подконтрольных расходов</w:t>
            </w:r>
          </w:p>
        </w:tc>
        <w:tc>
          <w:tcPr>
            <w:tcW w:w="1649" w:type="dxa"/>
            <w:tcBorders>
              <w:top w:val="single" w:sz="4" w:space="0" w:color="auto"/>
              <w:left w:val="single" w:sz="4" w:space="0" w:color="auto"/>
              <w:bottom w:val="nil"/>
              <w:right w:val="nil"/>
            </w:tcBorders>
            <w:vAlign w:val="center"/>
            <w:hideMark/>
          </w:tcPr>
          <w:p w:rsidR="00C62E6B" w:rsidRPr="00C62E6B" w:rsidRDefault="00C62E6B" w:rsidP="00C62E6B">
            <w:pPr>
              <w:widowControl/>
              <w:jc w:val="center"/>
            </w:pPr>
            <w:r w:rsidRPr="00C62E6B">
              <w:t>Коэффициент эластичности подконтрольных расходов по количеству активов</w:t>
            </w:r>
          </w:p>
        </w:tc>
        <w:tc>
          <w:tcPr>
            <w:tcW w:w="1491" w:type="dxa"/>
            <w:tcBorders>
              <w:top w:val="single" w:sz="4" w:space="0" w:color="auto"/>
              <w:left w:val="single" w:sz="4" w:space="0" w:color="auto"/>
              <w:bottom w:val="nil"/>
              <w:right w:val="nil"/>
            </w:tcBorders>
            <w:vAlign w:val="center"/>
            <w:hideMark/>
          </w:tcPr>
          <w:p w:rsidR="00C62E6B" w:rsidRPr="00C62E6B" w:rsidRDefault="00C62E6B" w:rsidP="00C62E6B">
            <w:pPr>
              <w:widowControl/>
              <w:jc w:val="center"/>
            </w:pPr>
            <w:r w:rsidRPr="00C62E6B">
              <w:t>Уровень потерь электрической энергии при ее передаче по электрическим сетям</w:t>
            </w:r>
          </w:p>
        </w:tc>
        <w:tc>
          <w:tcPr>
            <w:tcW w:w="1928" w:type="dxa"/>
            <w:tcBorders>
              <w:top w:val="single" w:sz="4" w:space="0" w:color="auto"/>
              <w:left w:val="single" w:sz="4" w:space="0" w:color="auto"/>
              <w:bottom w:val="nil"/>
              <w:right w:val="nil"/>
            </w:tcBorders>
            <w:vAlign w:val="center"/>
            <w:hideMark/>
          </w:tcPr>
          <w:p w:rsidR="00C62E6B" w:rsidRPr="00C62E6B" w:rsidRDefault="00C62E6B" w:rsidP="00C62E6B">
            <w:pPr>
              <w:widowControl/>
              <w:jc w:val="center"/>
            </w:pPr>
            <w:r w:rsidRPr="00C62E6B">
              <w:t>Показатель средней продолжительности прекращения передачи электрической энергии на точку поставки</w:t>
            </w:r>
          </w:p>
        </w:tc>
        <w:tc>
          <w:tcPr>
            <w:tcW w:w="1507" w:type="dxa"/>
            <w:tcBorders>
              <w:top w:val="single" w:sz="4" w:space="0" w:color="auto"/>
              <w:left w:val="single" w:sz="4" w:space="0" w:color="auto"/>
              <w:bottom w:val="nil"/>
              <w:right w:val="single" w:sz="4" w:space="0" w:color="auto"/>
            </w:tcBorders>
            <w:vAlign w:val="center"/>
            <w:hideMark/>
          </w:tcPr>
          <w:p w:rsidR="00C62E6B" w:rsidRPr="00C62E6B" w:rsidRDefault="00C62E6B" w:rsidP="00C62E6B">
            <w:pPr>
              <w:widowControl/>
              <w:jc w:val="center"/>
            </w:pPr>
            <w:r w:rsidRPr="00C62E6B">
              <w:t>Показатель средней частоты прекращения передачи электрической энергии на точку поставки</w:t>
            </w:r>
          </w:p>
        </w:tc>
        <w:tc>
          <w:tcPr>
            <w:tcW w:w="1557" w:type="dxa"/>
            <w:tcBorders>
              <w:top w:val="single" w:sz="4" w:space="0" w:color="auto"/>
              <w:left w:val="nil"/>
              <w:bottom w:val="nil"/>
              <w:right w:val="single" w:sz="4" w:space="0" w:color="auto"/>
            </w:tcBorders>
            <w:vAlign w:val="center"/>
            <w:hideMark/>
          </w:tcPr>
          <w:p w:rsidR="00C62E6B" w:rsidRPr="00C62E6B" w:rsidRDefault="00C62E6B" w:rsidP="00C62E6B">
            <w:pPr>
              <w:widowControl/>
              <w:jc w:val="center"/>
            </w:pPr>
            <w:r w:rsidRPr="00C62E6B">
              <w:t>Показатель уровня качества оказываемых услуг</w:t>
            </w:r>
          </w:p>
        </w:tc>
      </w:tr>
      <w:tr w:rsidR="00C62E6B" w:rsidRPr="00C62E6B" w:rsidTr="00C62E6B">
        <w:trPr>
          <w:trHeight w:val="300"/>
        </w:trPr>
        <w:tc>
          <w:tcPr>
            <w:tcW w:w="0" w:type="auto"/>
            <w:vMerge/>
            <w:tcBorders>
              <w:top w:val="single" w:sz="4" w:space="0" w:color="auto"/>
              <w:left w:val="single" w:sz="4" w:space="0" w:color="auto"/>
              <w:bottom w:val="single" w:sz="4" w:space="0" w:color="000000"/>
              <w:right w:val="nil"/>
            </w:tcBorders>
            <w:vAlign w:val="center"/>
            <w:hideMark/>
          </w:tcPr>
          <w:p w:rsidR="00C62E6B" w:rsidRPr="00C62E6B" w:rsidRDefault="00C62E6B" w:rsidP="00C62E6B">
            <w:pPr>
              <w:widowControl/>
              <w:spacing w:line="256" w:lineRule="auto"/>
            </w:pPr>
          </w:p>
        </w:tc>
        <w:tc>
          <w:tcPr>
            <w:tcW w:w="0" w:type="auto"/>
            <w:vMerge/>
            <w:tcBorders>
              <w:top w:val="single" w:sz="4" w:space="0" w:color="auto"/>
              <w:left w:val="single" w:sz="4" w:space="0" w:color="auto"/>
              <w:bottom w:val="single" w:sz="4" w:space="0" w:color="000000"/>
              <w:right w:val="nil"/>
            </w:tcBorders>
            <w:vAlign w:val="center"/>
            <w:hideMark/>
          </w:tcPr>
          <w:p w:rsidR="00C62E6B" w:rsidRPr="00C62E6B" w:rsidRDefault="00C62E6B" w:rsidP="00C62E6B">
            <w:pPr>
              <w:widowControl/>
              <w:spacing w:line="256" w:lineRule="auto"/>
            </w:pPr>
          </w:p>
        </w:tc>
        <w:tc>
          <w:tcPr>
            <w:tcW w:w="0" w:type="auto"/>
            <w:vMerge/>
            <w:tcBorders>
              <w:top w:val="single" w:sz="4" w:space="0" w:color="auto"/>
              <w:left w:val="single" w:sz="4" w:space="0" w:color="auto"/>
              <w:bottom w:val="single" w:sz="4" w:space="0" w:color="000000"/>
              <w:right w:val="nil"/>
            </w:tcBorders>
            <w:vAlign w:val="center"/>
            <w:hideMark/>
          </w:tcPr>
          <w:p w:rsidR="00C62E6B" w:rsidRPr="00C62E6B" w:rsidRDefault="00C62E6B" w:rsidP="00C62E6B">
            <w:pPr>
              <w:widowControl/>
              <w:spacing w:line="256" w:lineRule="auto"/>
            </w:pPr>
          </w:p>
        </w:tc>
        <w:tc>
          <w:tcPr>
            <w:tcW w:w="1649" w:type="dxa"/>
            <w:tcBorders>
              <w:top w:val="single" w:sz="4" w:space="0" w:color="auto"/>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млн. руб.</w:t>
            </w:r>
          </w:p>
        </w:tc>
        <w:tc>
          <w:tcPr>
            <w:tcW w:w="1649" w:type="dxa"/>
            <w:tcBorders>
              <w:top w:val="single" w:sz="4" w:space="0" w:color="auto"/>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w:t>
            </w:r>
          </w:p>
        </w:tc>
        <w:tc>
          <w:tcPr>
            <w:tcW w:w="1649" w:type="dxa"/>
            <w:tcBorders>
              <w:top w:val="single" w:sz="4" w:space="0" w:color="auto"/>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w:t>
            </w:r>
          </w:p>
        </w:tc>
        <w:tc>
          <w:tcPr>
            <w:tcW w:w="1491" w:type="dxa"/>
            <w:tcBorders>
              <w:top w:val="single" w:sz="4" w:space="0" w:color="auto"/>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w:t>
            </w:r>
          </w:p>
        </w:tc>
        <w:tc>
          <w:tcPr>
            <w:tcW w:w="1928"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rsidP="00C62E6B">
            <w:pPr>
              <w:widowControl/>
              <w:jc w:val="center"/>
            </w:pPr>
            <w:r w:rsidRPr="00C62E6B">
              <w:t>час</w:t>
            </w:r>
          </w:p>
        </w:tc>
        <w:tc>
          <w:tcPr>
            <w:tcW w:w="1507" w:type="dxa"/>
            <w:tcBorders>
              <w:top w:val="single" w:sz="4" w:space="0" w:color="auto"/>
              <w:left w:val="nil"/>
              <w:bottom w:val="single" w:sz="4" w:space="0" w:color="auto"/>
              <w:right w:val="single" w:sz="4" w:space="0" w:color="auto"/>
            </w:tcBorders>
            <w:vAlign w:val="center"/>
            <w:hideMark/>
          </w:tcPr>
          <w:p w:rsidR="00C62E6B" w:rsidRPr="00C62E6B" w:rsidRDefault="00C62E6B" w:rsidP="00C62E6B">
            <w:pPr>
              <w:widowControl/>
              <w:jc w:val="center"/>
            </w:pPr>
            <w:r w:rsidRPr="00C62E6B">
              <w:t>шт</w:t>
            </w:r>
          </w:p>
        </w:tc>
        <w:tc>
          <w:tcPr>
            <w:tcW w:w="1557" w:type="dxa"/>
            <w:tcBorders>
              <w:top w:val="single" w:sz="4" w:space="0" w:color="auto"/>
              <w:left w:val="nil"/>
              <w:bottom w:val="single" w:sz="4" w:space="0" w:color="auto"/>
              <w:right w:val="single" w:sz="4" w:space="0" w:color="auto"/>
            </w:tcBorders>
            <w:vAlign w:val="center"/>
            <w:hideMark/>
          </w:tcPr>
          <w:p w:rsidR="00C62E6B" w:rsidRPr="00C62E6B" w:rsidRDefault="00C62E6B" w:rsidP="00C62E6B">
            <w:pPr>
              <w:widowControl/>
              <w:jc w:val="center"/>
            </w:pPr>
            <w:r w:rsidRPr="00C62E6B">
              <w:t> </w:t>
            </w:r>
          </w:p>
        </w:tc>
      </w:tr>
      <w:tr w:rsidR="00C62E6B" w:rsidRPr="00C62E6B" w:rsidTr="00C62E6B">
        <w:trPr>
          <w:trHeight w:val="300"/>
        </w:trPr>
        <w:tc>
          <w:tcPr>
            <w:tcW w:w="924" w:type="dxa"/>
            <w:tcBorders>
              <w:top w:val="nil"/>
              <w:left w:val="single" w:sz="4" w:space="0" w:color="auto"/>
              <w:bottom w:val="single" w:sz="4" w:space="0" w:color="auto"/>
              <w:right w:val="single" w:sz="4" w:space="0" w:color="auto"/>
            </w:tcBorders>
            <w:vAlign w:val="center"/>
            <w:hideMark/>
          </w:tcPr>
          <w:p w:rsidR="00C62E6B" w:rsidRPr="00C62E6B" w:rsidRDefault="00C62E6B" w:rsidP="00C62E6B">
            <w:pPr>
              <w:widowControl/>
              <w:jc w:val="center"/>
            </w:pPr>
            <w:r w:rsidRPr="00C62E6B">
              <w:t>1</w:t>
            </w:r>
          </w:p>
        </w:tc>
        <w:tc>
          <w:tcPr>
            <w:tcW w:w="1840" w:type="dxa"/>
            <w:tcBorders>
              <w:top w:val="nil"/>
              <w:left w:val="nil"/>
              <w:bottom w:val="single" w:sz="4" w:space="0" w:color="auto"/>
              <w:right w:val="single" w:sz="4" w:space="0" w:color="auto"/>
            </w:tcBorders>
            <w:vAlign w:val="center"/>
            <w:hideMark/>
          </w:tcPr>
          <w:p w:rsidR="00C62E6B" w:rsidRPr="00C62E6B" w:rsidRDefault="00C62E6B" w:rsidP="00C62E6B">
            <w:pPr>
              <w:widowControl/>
              <w:jc w:val="center"/>
            </w:pPr>
            <w:r w:rsidRPr="00C62E6B">
              <w:t>2</w:t>
            </w:r>
          </w:p>
        </w:tc>
        <w:tc>
          <w:tcPr>
            <w:tcW w:w="1026" w:type="dxa"/>
            <w:tcBorders>
              <w:top w:val="nil"/>
              <w:left w:val="nil"/>
              <w:bottom w:val="single" w:sz="4" w:space="0" w:color="auto"/>
              <w:right w:val="nil"/>
            </w:tcBorders>
            <w:noWrap/>
            <w:vAlign w:val="center"/>
            <w:hideMark/>
          </w:tcPr>
          <w:p w:rsidR="00C62E6B" w:rsidRPr="00C62E6B" w:rsidRDefault="00C62E6B" w:rsidP="00C62E6B">
            <w:pPr>
              <w:widowControl/>
              <w:jc w:val="center"/>
            </w:pPr>
            <w:r w:rsidRPr="00C62E6B">
              <w:t>3</w:t>
            </w:r>
          </w:p>
        </w:tc>
        <w:tc>
          <w:tcPr>
            <w:tcW w:w="1649" w:type="dxa"/>
            <w:tcBorders>
              <w:top w:val="nil"/>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4</w:t>
            </w:r>
          </w:p>
        </w:tc>
        <w:tc>
          <w:tcPr>
            <w:tcW w:w="1649" w:type="dxa"/>
            <w:tcBorders>
              <w:top w:val="nil"/>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5</w:t>
            </w:r>
          </w:p>
        </w:tc>
        <w:tc>
          <w:tcPr>
            <w:tcW w:w="1649" w:type="dxa"/>
            <w:tcBorders>
              <w:top w:val="nil"/>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6</w:t>
            </w:r>
          </w:p>
        </w:tc>
        <w:tc>
          <w:tcPr>
            <w:tcW w:w="1491" w:type="dxa"/>
            <w:tcBorders>
              <w:top w:val="nil"/>
              <w:left w:val="single" w:sz="4" w:space="0" w:color="auto"/>
              <w:bottom w:val="single" w:sz="4" w:space="0" w:color="auto"/>
              <w:right w:val="nil"/>
            </w:tcBorders>
            <w:noWrap/>
            <w:vAlign w:val="center"/>
            <w:hideMark/>
          </w:tcPr>
          <w:p w:rsidR="00C62E6B" w:rsidRPr="00C62E6B" w:rsidRDefault="00C62E6B" w:rsidP="00C62E6B">
            <w:pPr>
              <w:widowControl/>
              <w:jc w:val="center"/>
            </w:pPr>
            <w:r w:rsidRPr="00C62E6B">
              <w:t>7</w:t>
            </w:r>
          </w:p>
        </w:tc>
        <w:tc>
          <w:tcPr>
            <w:tcW w:w="1928" w:type="dxa"/>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8</w:t>
            </w:r>
          </w:p>
        </w:tc>
        <w:tc>
          <w:tcPr>
            <w:tcW w:w="1507"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9</w:t>
            </w:r>
          </w:p>
        </w:tc>
        <w:tc>
          <w:tcPr>
            <w:tcW w:w="1557"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10</w:t>
            </w:r>
          </w:p>
        </w:tc>
      </w:tr>
      <w:tr w:rsidR="00C62E6B" w:rsidRPr="00C62E6B" w:rsidTr="00C62E6B">
        <w:trPr>
          <w:trHeight w:val="375"/>
        </w:trPr>
        <w:tc>
          <w:tcPr>
            <w:tcW w:w="924" w:type="dxa"/>
            <w:vMerge w:val="restart"/>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1.</w:t>
            </w:r>
          </w:p>
        </w:tc>
        <w:tc>
          <w:tcPr>
            <w:tcW w:w="1840" w:type="dxa"/>
            <w:vMerge w:val="restart"/>
            <w:tcBorders>
              <w:top w:val="nil"/>
              <w:left w:val="single" w:sz="4" w:space="0" w:color="auto"/>
              <w:bottom w:val="single" w:sz="4" w:space="0" w:color="000000"/>
              <w:right w:val="nil"/>
            </w:tcBorders>
            <w:shd w:val="clear" w:color="auto" w:fill="FFFFFF"/>
            <w:vAlign w:val="center"/>
            <w:hideMark/>
          </w:tcPr>
          <w:p w:rsidR="00C62E6B" w:rsidRPr="00C62E6B" w:rsidRDefault="00C62E6B" w:rsidP="00C62E6B">
            <w:pPr>
              <w:widowControl/>
              <w:jc w:val="center"/>
            </w:pPr>
            <w:r w:rsidRPr="00C62E6B">
              <w:t>ООО «ИВЭЛС»</w:t>
            </w:r>
          </w:p>
        </w:tc>
        <w:tc>
          <w:tcPr>
            <w:tcW w:w="1026" w:type="dxa"/>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2021</w:t>
            </w:r>
          </w:p>
        </w:tc>
        <w:tc>
          <w:tcPr>
            <w:tcW w:w="1649" w:type="dxa"/>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62E6B" w:rsidRPr="00C62E6B" w:rsidRDefault="00C62E6B" w:rsidP="00C62E6B">
            <w:pPr>
              <w:widowControl/>
              <w:jc w:val="center"/>
            </w:pPr>
            <w:r w:rsidRPr="00C62E6B">
              <w:rPr>
                <w:rFonts w:eastAsia="Calibri"/>
                <w:lang w:eastAsia="en-US"/>
              </w:rPr>
              <w:t>36,32894</w:t>
            </w:r>
          </w:p>
        </w:tc>
        <w:tc>
          <w:tcPr>
            <w:tcW w:w="1649" w:type="dxa"/>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3,0</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75</w:t>
            </w:r>
          </w:p>
        </w:tc>
        <w:tc>
          <w:tcPr>
            <w:tcW w:w="1491" w:type="dxa"/>
            <w:tcBorders>
              <w:top w:val="nil"/>
              <w:left w:val="nil"/>
              <w:bottom w:val="single" w:sz="4" w:space="0" w:color="auto"/>
              <w:right w:val="nil"/>
            </w:tcBorders>
            <w:noWrap/>
            <w:vAlign w:val="center"/>
            <w:hideMark/>
          </w:tcPr>
          <w:p w:rsidR="00C62E6B" w:rsidRPr="00C62E6B" w:rsidRDefault="00C62E6B" w:rsidP="00C62E6B">
            <w:pPr>
              <w:widowControl/>
              <w:jc w:val="center"/>
            </w:pPr>
            <w:r w:rsidRPr="00C62E6B">
              <w:t>4,17</w:t>
            </w:r>
          </w:p>
        </w:tc>
        <w:tc>
          <w:tcPr>
            <w:tcW w:w="1928" w:type="dxa"/>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62E6B" w:rsidRPr="00C62E6B" w:rsidRDefault="00C62E6B" w:rsidP="00C62E6B">
            <w:pPr>
              <w:widowControl/>
              <w:jc w:val="center"/>
            </w:pPr>
            <w:r w:rsidRPr="00C62E6B">
              <w:t>0,07894</w:t>
            </w:r>
          </w:p>
        </w:tc>
        <w:tc>
          <w:tcPr>
            <w:tcW w:w="1507" w:type="dxa"/>
            <w:tcBorders>
              <w:top w:val="single" w:sz="4" w:space="0" w:color="auto"/>
              <w:left w:val="nil"/>
              <w:bottom w:val="single" w:sz="4" w:space="0" w:color="auto"/>
              <w:right w:val="single" w:sz="4" w:space="0" w:color="auto"/>
            </w:tcBorders>
            <w:noWrap/>
            <w:vAlign w:val="bottom"/>
            <w:hideMark/>
          </w:tcPr>
          <w:p w:rsidR="00C62E6B" w:rsidRPr="00C62E6B" w:rsidRDefault="00C62E6B" w:rsidP="00C62E6B">
            <w:pPr>
              <w:widowControl/>
              <w:jc w:val="center"/>
            </w:pPr>
            <w:r w:rsidRPr="00C62E6B">
              <w:t>0,11907</w:t>
            </w:r>
          </w:p>
        </w:tc>
        <w:tc>
          <w:tcPr>
            <w:tcW w:w="1557" w:type="dxa"/>
            <w:tcBorders>
              <w:top w:val="nil"/>
              <w:left w:val="nil"/>
              <w:bottom w:val="single" w:sz="4" w:space="0" w:color="auto"/>
              <w:right w:val="single" w:sz="4" w:space="0" w:color="auto"/>
            </w:tcBorders>
            <w:noWrap/>
          </w:tcPr>
          <w:p w:rsidR="00C62E6B" w:rsidRPr="00C62E6B" w:rsidRDefault="00C62E6B" w:rsidP="00C62E6B">
            <w:pPr>
              <w:widowControl/>
              <w:jc w:val="center"/>
            </w:pPr>
          </w:p>
          <w:p w:rsidR="00C62E6B" w:rsidRPr="00C62E6B" w:rsidRDefault="00C62E6B" w:rsidP="00C62E6B">
            <w:pPr>
              <w:widowControl/>
              <w:jc w:val="center"/>
            </w:pPr>
            <w:r w:rsidRPr="00C62E6B">
              <w:t>1,0000</w:t>
            </w:r>
          </w:p>
        </w:tc>
      </w:tr>
      <w:tr w:rsidR="00C62E6B" w:rsidRPr="00C62E6B" w:rsidTr="00C62E6B">
        <w:trPr>
          <w:trHeight w:val="375"/>
        </w:trPr>
        <w:tc>
          <w:tcPr>
            <w:tcW w:w="0" w:type="auto"/>
            <w:vMerge/>
            <w:tcBorders>
              <w:top w:val="nil"/>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pPr>
          </w:p>
        </w:tc>
        <w:tc>
          <w:tcPr>
            <w:tcW w:w="0" w:type="auto"/>
            <w:vMerge/>
            <w:tcBorders>
              <w:top w:val="nil"/>
              <w:left w:val="single" w:sz="4" w:space="0" w:color="auto"/>
              <w:bottom w:val="single" w:sz="4" w:space="0" w:color="000000"/>
              <w:right w:val="nil"/>
            </w:tcBorders>
            <w:vAlign w:val="center"/>
            <w:hideMark/>
          </w:tcPr>
          <w:p w:rsidR="00C62E6B" w:rsidRPr="00C62E6B" w:rsidRDefault="00C62E6B" w:rsidP="00C62E6B">
            <w:pPr>
              <w:widowControl/>
              <w:spacing w:line="256" w:lineRule="auto"/>
            </w:pPr>
          </w:p>
        </w:tc>
        <w:tc>
          <w:tcPr>
            <w:tcW w:w="1026" w:type="dxa"/>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2022</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X</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3,0</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75</w:t>
            </w:r>
          </w:p>
        </w:tc>
        <w:tc>
          <w:tcPr>
            <w:tcW w:w="1491" w:type="dxa"/>
            <w:tcBorders>
              <w:top w:val="nil"/>
              <w:left w:val="nil"/>
              <w:bottom w:val="single" w:sz="4" w:space="0" w:color="auto"/>
              <w:right w:val="nil"/>
            </w:tcBorders>
            <w:noWrap/>
            <w:vAlign w:val="center"/>
            <w:hideMark/>
          </w:tcPr>
          <w:p w:rsidR="00C62E6B" w:rsidRPr="00C62E6B" w:rsidRDefault="00C62E6B" w:rsidP="00C62E6B">
            <w:pPr>
              <w:widowControl/>
              <w:jc w:val="center"/>
            </w:pPr>
            <w:r w:rsidRPr="00C62E6B">
              <w:t>X</w:t>
            </w:r>
          </w:p>
        </w:tc>
        <w:tc>
          <w:tcPr>
            <w:tcW w:w="1928" w:type="dxa"/>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62E6B" w:rsidRPr="00C62E6B" w:rsidRDefault="00C62E6B" w:rsidP="00C62E6B">
            <w:pPr>
              <w:widowControl/>
              <w:jc w:val="center"/>
            </w:pPr>
            <w:r w:rsidRPr="00C62E6B">
              <w:t>0,07775</w:t>
            </w:r>
          </w:p>
        </w:tc>
        <w:tc>
          <w:tcPr>
            <w:tcW w:w="1507" w:type="dxa"/>
            <w:tcBorders>
              <w:top w:val="nil"/>
              <w:left w:val="nil"/>
              <w:bottom w:val="single" w:sz="4" w:space="0" w:color="auto"/>
              <w:right w:val="single" w:sz="4" w:space="0" w:color="auto"/>
            </w:tcBorders>
            <w:noWrap/>
            <w:vAlign w:val="bottom"/>
            <w:hideMark/>
          </w:tcPr>
          <w:p w:rsidR="00C62E6B" w:rsidRPr="00C62E6B" w:rsidRDefault="00C62E6B" w:rsidP="00C62E6B">
            <w:pPr>
              <w:widowControl/>
              <w:jc w:val="center"/>
            </w:pPr>
            <w:r w:rsidRPr="00C62E6B">
              <w:t>0,11728</w:t>
            </w:r>
          </w:p>
        </w:tc>
        <w:tc>
          <w:tcPr>
            <w:tcW w:w="1557" w:type="dxa"/>
            <w:tcBorders>
              <w:top w:val="nil"/>
              <w:left w:val="nil"/>
              <w:bottom w:val="single" w:sz="4" w:space="0" w:color="auto"/>
              <w:right w:val="single" w:sz="4" w:space="0" w:color="auto"/>
            </w:tcBorders>
            <w:noWrap/>
          </w:tcPr>
          <w:p w:rsidR="00C62E6B" w:rsidRPr="00C62E6B" w:rsidRDefault="00C62E6B" w:rsidP="00C62E6B">
            <w:pPr>
              <w:widowControl/>
              <w:jc w:val="center"/>
            </w:pPr>
          </w:p>
          <w:p w:rsidR="00C62E6B" w:rsidRPr="00C62E6B" w:rsidRDefault="00C62E6B" w:rsidP="00C62E6B">
            <w:pPr>
              <w:widowControl/>
              <w:jc w:val="center"/>
            </w:pPr>
            <w:r w:rsidRPr="00C62E6B">
              <w:t>1,0000</w:t>
            </w:r>
          </w:p>
        </w:tc>
      </w:tr>
      <w:tr w:rsidR="00C62E6B" w:rsidRPr="00C62E6B" w:rsidTr="00C62E6B">
        <w:trPr>
          <w:trHeight w:val="375"/>
        </w:trPr>
        <w:tc>
          <w:tcPr>
            <w:tcW w:w="0" w:type="auto"/>
            <w:vMerge/>
            <w:tcBorders>
              <w:top w:val="nil"/>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pPr>
          </w:p>
        </w:tc>
        <w:tc>
          <w:tcPr>
            <w:tcW w:w="0" w:type="auto"/>
            <w:vMerge/>
            <w:tcBorders>
              <w:top w:val="nil"/>
              <w:left w:val="single" w:sz="4" w:space="0" w:color="auto"/>
              <w:bottom w:val="single" w:sz="4" w:space="0" w:color="000000"/>
              <w:right w:val="nil"/>
            </w:tcBorders>
            <w:vAlign w:val="center"/>
            <w:hideMark/>
          </w:tcPr>
          <w:p w:rsidR="00C62E6B" w:rsidRPr="00C62E6B" w:rsidRDefault="00C62E6B" w:rsidP="00C62E6B">
            <w:pPr>
              <w:widowControl/>
              <w:spacing w:line="256" w:lineRule="auto"/>
            </w:pPr>
          </w:p>
        </w:tc>
        <w:tc>
          <w:tcPr>
            <w:tcW w:w="1026" w:type="dxa"/>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2023</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X</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3,0</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75</w:t>
            </w:r>
          </w:p>
        </w:tc>
        <w:tc>
          <w:tcPr>
            <w:tcW w:w="1491" w:type="dxa"/>
            <w:tcBorders>
              <w:top w:val="nil"/>
              <w:left w:val="nil"/>
              <w:bottom w:val="single" w:sz="4" w:space="0" w:color="auto"/>
              <w:right w:val="nil"/>
            </w:tcBorders>
            <w:noWrap/>
            <w:vAlign w:val="center"/>
            <w:hideMark/>
          </w:tcPr>
          <w:p w:rsidR="00C62E6B" w:rsidRPr="00C62E6B" w:rsidRDefault="00C62E6B" w:rsidP="00C62E6B">
            <w:pPr>
              <w:widowControl/>
              <w:jc w:val="center"/>
            </w:pPr>
            <w:r w:rsidRPr="00C62E6B">
              <w:t>X</w:t>
            </w:r>
          </w:p>
        </w:tc>
        <w:tc>
          <w:tcPr>
            <w:tcW w:w="1928" w:type="dxa"/>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62E6B" w:rsidRPr="00C62E6B" w:rsidRDefault="00C62E6B" w:rsidP="00C62E6B">
            <w:pPr>
              <w:widowControl/>
              <w:jc w:val="center"/>
            </w:pPr>
            <w:r w:rsidRPr="00C62E6B">
              <w:t>0,07658</w:t>
            </w:r>
          </w:p>
        </w:tc>
        <w:tc>
          <w:tcPr>
            <w:tcW w:w="1507" w:type="dxa"/>
            <w:tcBorders>
              <w:top w:val="nil"/>
              <w:left w:val="nil"/>
              <w:bottom w:val="single" w:sz="4" w:space="0" w:color="auto"/>
              <w:right w:val="single" w:sz="4" w:space="0" w:color="auto"/>
            </w:tcBorders>
            <w:noWrap/>
            <w:vAlign w:val="bottom"/>
            <w:hideMark/>
          </w:tcPr>
          <w:p w:rsidR="00C62E6B" w:rsidRPr="00C62E6B" w:rsidRDefault="00C62E6B" w:rsidP="00C62E6B">
            <w:pPr>
              <w:widowControl/>
              <w:jc w:val="center"/>
            </w:pPr>
            <w:r w:rsidRPr="00C62E6B">
              <w:t>0,11552</w:t>
            </w:r>
          </w:p>
        </w:tc>
        <w:tc>
          <w:tcPr>
            <w:tcW w:w="1557" w:type="dxa"/>
            <w:tcBorders>
              <w:top w:val="nil"/>
              <w:left w:val="nil"/>
              <w:bottom w:val="single" w:sz="4" w:space="0" w:color="auto"/>
              <w:right w:val="single" w:sz="4" w:space="0" w:color="auto"/>
            </w:tcBorders>
            <w:noWrap/>
          </w:tcPr>
          <w:p w:rsidR="00C62E6B" w:rsidRPr="00C62E6B" w:rsidRDefault="00C62E6B" w:rsidP="00C62E6B">
            <w:pPr>
              <w:widowControl/>
              <w:jc w:val="center"/>
            </w:pPr>
          </w:p>
          <w:p w:rsidR="00C62E6B" w:rsidRPr="00C62E6B" w:rsidRDefault="00C62E6B" w:rsidP="00C62E6B">
            <w:pPr>
              <w:widowControl/>
              <w:jc w:val="center"/>
            </w:pPr>
            <w:r w:rsidRPr="00C62E6B">
              <w:t>1,0000</w:t>
            </w:r>
          </w:p>
        </w:tc>
      </w:tr>
      <w:tr w:rsidR="00C62E6B" w:rsidRPr="00C62E6B" w:rsidTr="00C62E6B">
        <w:trPr>
          <w:trHeight w:val="375"/>
        </w:trPr>
        <w:tc>
          <w:tcPr>
            <w:tcW w:w="0" w:type="auto"/>
            <w:vMerge/>
            <w:tcBorders>
              <w:top w:val="nil"/>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pPr>
          </w:p>
        </w:tc>
        <w:tc>
          <w:tcPr>
            <w:tcW w:w="0" w:type="auto"/>
            <w:vMerge/>
            <w:tcBorders>
              <w:top w:val="nil"/>
              <w:left w:val="single" w:sz="4" w:space="0" w:color="auto"/>
              <w:bottom w:val="single" w:sz="4" w:space="0" w:color="000000"/>
              <w:right w:val="nil"/>
            </w:tcBorders>
            <w:vAlign w:val="center"/>
            <w:hideMark/>
          </w:tcPr>
          <w:p w:rsidR="00C62E6B" w:rsidRPr="00C62E6B" w:rsidRDefault="00C62E6B" w:rsidP="00C62E6B">
            <w:pPr>
              <w:widowControl/>
              <w:spacing w:line="256" w:lineRule="auto"/>
            </w:pPr>
          </w:p>
        </w:tc>
        <w:tc>
          <w:tcPr>
            <w:tcW w:w="1026" w:type="dxa"/>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2024</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X</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3,0</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75</w:t>
            </w:r>
          </w:p>
        </w:tc>
        <w:tc>
          <w:tcPr>
            <w:tcW w:w="1491" w:type="dxa"/>
            <w:tcBorders>
              <w:top w:val="nil"/>
              <w:left w:val="nil"/>
              <w:bottom w:val="single" w:sz="4" w:space="0" w:color="auto"/>
              <w:right w:val="nil"/>
            </w:tcBorders>
            <w:noWrap/>
            <w:vAlign w:val="center"/>
            <w:hideMark/>
          </w:tcPr>
          <w:p w:rsidR="00C62E6B" w:rsidRPr="00C62E6B" w:rsidRDefault="00C62E6B" w:rsidP="00C62E6B">
            <w:pPr>
              <w:widowControl/>
              <w:jc w:val="center"/>
            </w:pPr>
            <w:r w:rsidRPr="00C62E6B">
              <w:t>Х</w:t>
            </w:r>
          </w:p>
        </w:tc>
        <w:tc>
          <w:tcPr>
            <w:tcW w:w="1928" w:type="dxa"/>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62E6B" w:rsidRPr="00C62E6B" w:rsidRDefault="00C62E6B" w:rsidP="00C62E6B">
            <w:pPr>
              <w:widowControl/>
              <w:jc w:val="center"/>
            </w:pPr>
            <w:r w:rsidRPr="00C62E6B">
              <w:t>0,07543</w:t>
            </w:r>
          </w:p>
        </w:tc>
        <w:tc>
          <w:tcPr>
            <w:tcW w:w="1507" w:type="dxa"/>
            <w:tcBorders>
              <w:top w:val="nil"/>
              <w:left w:val="nil"/>
              <w:bottom w:val="single" w:sz="4" w:space="0" w:color="auto"/>
              <w:right w:val="single" w:sz="4" w:space="0" w:color="auto"/>
            </w:tcBorders>
            <w:noWrap/>
            <w:vAlign w:val="bottom"/>
            <w:hideMark/>
          </w:tcPr>
          <w:p w:rsidR="00C62E6B" w:rsidRPr="00C62E6B" w:rsidRDefault="00C62E6B" w:rsidP="00C62E6B">
            <w:pPr>
              <w:widowControl/>
              <w:jc w:val="center"/>
            </w:pPr>
            <w:r w:rsidRPr="00C62E6B">
              <w:t>0,11379</w:t>
            </w:r>
          </w:p>
        </w:tc>
        <w:tc>
          <w:tcPr>
            <w:tcW w:w="1557" w:type="dxa"/>
            <w:tcBorders>
              <w:top w:val="nil"/>
              <w:left w:val="nil"/>
              <w:bottom w:val="single" w:sz="4" w:space="0" w:color="auto"/>
              <w:right w:val="single" w:sz="4" w:space="0" w:color="auto"/>
            </w:tcBorders>
            <w:noWrap/>
          </w:tcPr>
          <w:p w:rsidR="00C62E6B" w:rsidRPr="00C62E6B" w:rsidRDefault="00C62E6B" w:rsidP="00C62E6B">
            <w:pPr>
              <w:widowControl/>
              <w:jc w:val="center"/>
            </w:pPr>
          </w:p>
          <w:p w:rsidR="00C62E6B" w:rsidRPr="00C62E6B" w:rsidRDefault="00C62E6B" w:rsidP="00C62E6B">
            <w:pPr>
              <w:widowControl/>
              <w:jc w:val="center"/>
            </w:pPr>
            <w:r w:rsidRPr="00C62E6B">
              <w:t>1,0000</w:t>
            </w:r>
          </w:p>
        </w:tc>
      </w:tr>
      <w:tr w:rsidR="00C62E6B" w:rsidRPr="00C62E6B" w:rsidTr="00C62E6B">
        <w:trPr>
          <w:trHeight w:val="375"/>
        </w:trPr>
        <w:tc>
          <w:tcPr>
            <w:tcW w:w="0" w:type="auto"/>
            <w:vMerge/>
            <w:tcBorders>
              <w:top w:val="nil"/>
              <w:left w:val="single" w:sz="4" w:space="0" w:color="auto"/>
              <w:bottom w:val="single" w:sz="4" w:space="0" w:color="auto"/>
              <w:right w:val="single" w:sz="4" w:space="0" w:color="auto"/>
            </w:tcBorders>
            <w:vAlign w:val="center"/>
            <w:hideMark/>
          </w:tcPr>
          <w:p w:rsidR="00C62E6B" w:rsidRPr="00C62E6B" w:rsidRDefault="00C62E6B" w:rsidP="00C62E6B">
            <w:pPr>
              <w:widowControl/>
              <w:spacing w:line="256" w:lineRule="auto"/>
            </w:pPr>
          </w:p>
        </w:tc>
        <w:tc>
          <w:tcPr>
            <w:tcW w:w="0" w:type="auto"/>
            <w:vMerge/>
            <w:tcBorders>
              <w:top w:val="nil"/>
              <w:left w:val="single" w:sz="4" w:space="0" w:color="auto"/>
              <w:bottom w:val="single" w:sz="4" w:space="0" w:color="000000"/>
              <w:right w:val="nil"/>
            </w:tcBorders>
            <w:vAlign w:val="center"/>
            <w:hideMark/>
          </w:tcPr>
          <w:p w:rsidR="00C62E6B" w:rsidRPr="00C62E6B" w:rsidRDefault="00C62E6B" w:rsidP="00C62E6B">
            <w:pPr>
              <w:widowControl/>
              <w:spacing w:line="256" w:lineRule="auto"/>
            </w:pPr>
          </w:p>
        </w:tc>
        <w:tc>
          <w:tcPr>
            <w:tcW w:w="1026" w:type="dxa"/>
            <w:tcBorders>
              <w:top w:val="nil"/>
              <w:left w:val="single" w:sz="4" w:space="0" w:color="auto"/>
              <w:bottom w:val="single" w:sz="4" w:space="0" w:color="auto"/>
              <w:right w:val="single" w:sz="4" w:space="0" w:color="auto"/>
            </w:tcBorders>
            <w:noWrap/>
            <w:vAlign w:val="center"/>
            <w:hideMark/>
          </w:tcPr>
          <w:p w:rsidR="00C62E6B" w:rsidRPr="00C62E6B" w:rsidRDefault="00C62E6B" w:rsidP="00C62E6B">
            <w:pPr>
              <w:widowControl/>
              <w:jc w:val="center"/>
            </w:pPr>
            <w:r w:rsidRPr="00C62E6B">
              <w:t>2025</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X</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3,0</w:t>
            </w:r>
          </w:p>
        </w:tc>
        <w:tc>
          <w:tcPr>
            <w:tcW w:w="1649" w:type="dxa"/>
            <w:tcBorders>
              <w:top w:val="nil"/>
              <w:left w:val="nil"/>
              <w:bottom w:val="single" w:sz="4" w:space="0" w:color="auto"/>
              <w:right w:val="single" w:sz="4" w:space="0" w:color="auto"/>
            </w:tcBorders>
            <w:noWrap/>
            <w:vAlign w:val="center"/>
            <w:hideMark/>
          </w:tcPr>
          <w:p w:rsidR="00C62E6B" w:rsidRPr="00C62E6B" w:rsidRDefault="00C62E6B" w:rsidP="00C62E6B">
            <w:pPr>
              <w:widowControl/>
              <w:jc w:val="center"/>
            </w:pPr>
            <w:r w:rsidRPr="00C62E6B">
              <w:t>75</w:t>
            </w:r>
          </w:p>
        </w:tc>
        <w:tc>
          <w:tcPr>
            <w:tcW w:w="1491" w:type="dxa"/>
            <w:tcBorders>
              <w:top w:val="nil"/>
              <w:left w:val="nil"/>
              <w:bottom w:val="single" w:sz="4" w:space="0" w:color="auto"/>
              <w:right w:val="nil"/>
            </w:tcBorders>
            <w:noWrap/>
            <w:vAlign w:val="center"/>
            <w:hideMark/>
          </w:tcPr>
          <w:p w:rsidR="00C62E6B" w:rsidRPr="00C62E6B" w:rsidRDefault="00C62E6B" w:rsidP="00C62E6B">
            <w:pPr>
              <w:widowControl/>
              <w:jc w:val="center"/>
            </w:pPr>
            <w:r w:rsidRPr="00C62E6B">
              <w:t>8,76</w:t>
            </w:r>
          </w:p>
        </w:tc>
        <w:tc>
          <w:tcPr>
            <w:tcW w:w="1928" w:type="dxa"/>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C62E6B" w:rsidRPr="00C62E6B" w:rsidRDefault="00C62E6B" w:rsidP="00C62E6B">
            <w:pPr>
              <w:widowControl/>
              <w:jc w:val="center"/>
            </w:pPr>
            <w:r w:rsidRPr="00C62E6B">
              <w:t>0,07430</w:t>
            </w:r>
          </w:p>
        </w:tc>
        <w:tc>
          <w:tcPr>
            <w:tcW w:w="1507" w:type="dxa"/>
            <w:tcBorders>
              <w:top w:val="nil"/>
              <w:left w:val="nil"/>
              <w:bottom w:val="single" w:sz="4" w:space="0" w:color="auto"/>
              <w:right w:val="single" w:sz="4" w:space="0" w:color="auto"/>
            </w:tcBorders>
            <w:noWrap/>
            <w:vAlign w:val="bottom"/>
            <w:hideMark/>
          </w:tcPr>
          <w:p w:rsidR="00C62E6B" w:rsidRPr="00C62E6B" w:rsidRDefault="00C62E6B" w:rsidP="00C62E6B">
            <w:pPr>
              <w:widowControl/>
              <w:jc w:val="center"/>
            </w:pPr>
            <w:r w:rsidRPr="00C62E6B">
              <w:t>0,11208</w:t>
            </w:r>
          </w:p>
        </w:tc>
        <w:tc>
          <w:tcPr>
            <w:tcW w:w="1557" w:type="dxa"/>
            <w:tcBorders>
              <w:top w:val="nil"/>
              <w:left w:val="nil"/>
              <w:bottom w:val="single" w:sz="4" w:space="0" w:color="auto"/>
              <w:right w:val="single" w:sz="4" w:space="0" w:color="auto"/>
            </w:tcBorders>
            <w:noWrap/>
          </w:tcPr>
          <w:p w:rsidR="00C62E6B" w:rsidRPr="00C62E6B" w:rsidRDefault="00C62E6B" w:rsidP="00C62E6B">
            <w:pPr>
              <w:widowControl/>
              <w:jc w:val="center"/>
            </w:pPr>
          </w:p>
          <w:p w:rsidR="00C62E6B" w:rsidRPr="00C62E6B" w:rsidRDefault="00C62E6B" w:rsidP="00C62E6B">
            <w:pPr>
              <w:widowControl/>
              <w:jc w:val="center"/>
            </w:pPr>
            <w:r w:rsidRPr="00C62E6B">
              <w:t>1,0000</w:t>
            </w:r>
          </w:p>
        </w:tc>
      </w:tr>
    </w:tbl>
    <w:p w:rsidR="00C62E6B" w:rsidRPr="00C62E6B" w:rsidRDefault="00C62E6B" w:rsidP="00C62E6B">
      <w:pPr>
        <w:tabs>
          <w:tab w:val="left" w:pos="1276"/>
        </w:tabs>
        <w:autoSpaceDE w:val="0"/>
        <w:autoSpaceDN w:val="0"/>
        <w:adjustRightInd w:val="0"/>
        <w:ind w:right="-3" w:firstLine="5670"/>
        <w:jc w:val="both"/>
        <w:rPr>
          <w:rFonts w:eastAsia="Calibri"/>
          <w:sz w:val="24"/>
          <w:szCs w:val="24"/>
          <w:lang w:eastAsia="en-US"/>
        </w:rPr>
      </w:pPr>
    </w:p>
    <w:p w:rsidR="00C62E6B" w:rsidRPr="00C62E6B" w:rsidRDefault="00C62E6B" w:rsidP="00C62E6B">
      <w:pPr>
        <w:tabs>
          <w:tab w:val="left" w:pos="1276"/>
        </w:tabs>
        <w:autoSpaceDE w:val="0"/>
        <w:autoSpaceDN w:val="0"/>
        <w:adjustRightInd w:val="0"/>
        <w:ind w:right="-3" w:firstLine="5670"/>
        <w:jc w:val="both"/>
        <w:rPr>
          <w:rFonts w:eastAsia="Calibri"/>
          <w:sz w:val="24"/>
          <w:szCs w:val="24"/>
          <w:lang w:eastAsia="en-US"/>
        </w:rPr>
      </w:pPr>
    </w:p>
    <w:p w:rsidR="00C62E6B" w:rsidRPr="00C62E6B" w:rsidRDefault="00C62E6B" w:rsidP="00C62E6B">
      <w:pPr>
        <w:widowControl/>
        <w:ind w:firstLine="567"/>
        <w:jc w:val="both"/>
        <w:rPr>
          <w:rFonts w:eastAsia="Calibri"/>
          <w:sz w:val="24"/>
          <w:szCs w:val="24"/>
          <w:lang w:eastAsia="en-US"/>
        </w:rPr>
      </w:pPr>
    </w:p>
    <w:p w:rsidR="00C62E6B" w:rsidRPr="00C62E6B" w:rsidRDefault="00C62E6B" w:rsidP="00C62E6B">
      <w:pPr>
        <w:widowControl/>
        <w:ind w:firstLine="567"/>
        <w:jc w:val="both"/>
        <w:rPr>
          <w:rFonts w:eastAsia="Calibri"/>
          <w:sz w:val="24"/>
          <w:szCs w:val="24"/>
          <w:lang w:eastAsia="en-US"/>
        </w:rPr>
      </w:pPr>
    </w:p>
    <w:p w:rsidR="00C62E6B" w:rsidRPr="00C62E6B" w:rsidRDefault="00C62E6B" w:rsidP="00C62E6B">
      <w:pPr>
        <w:widowControl/>
        <w:ind w:firstLine="567"/>
        <w:jc w:val="both"/>
        <w:rPr>
          <w:rFonts w:eastAsia="Calibri"/>
          <w:sz w:val="24"/>
          <w:szCs w:val="24"/>
          <w:lang w:eastAsia="en-US"/>
        </w:rPr>
      </w:pPr>
    </w:p>
    <w:p w:rsidR="00C62E6B" w:rsidRPr="00C62E6B" w:rsidRDefault="00C62E6B" w:rsidP="00C62E6B">
      <w:pPr>
        <w:widowControl/>
        <w:ind w:firstLine="567"/>
        <w:jc w:val="both"/>
        <w:rPr>
          <w:rFonts w:eastAsia="Calibri"/>
          <w:sz w:val="24"/>
          <w:szCs w:val="24"/>
          <w:lang w:eastAsia="en-US"/>
        </w:rPr>
      </w:pPr>
    </w:p>
    <w:p w:rsidR="00C62E6B" w:rsidRPr="00C62E6B" w:rsidRDefault="00C62E6B" w:rsidP="00C62E6B">
      <w:pPr>
        <w:widowControl/>
        <w:rPr>
          <w:rFonts w:eastAsia="Calibri"/>
          <w:sz w:val="24"/>
          <w:szCs w:val="24"/>
          <w:lang w:eastAsia="en-US"/>
        </w:rPr>
        <w:sectPr w:rsidR="00C62E6B" w:rsidRPr="00C62E6B">
          <w:pgSz w:w="16838" w:h="11906" w:orient="landscape"/>
          <w:pgMar w:top="1701" w:right="1134" w:bottom="850" w:left="1134" w:header="708" w:footer="708" w:gutter="0"/>
          <w:cols w:space="720"/>
        </w:sectPr>
      </w:pPr>
      <w:r w:rsidRPr="00C62E6B">
        <w:rPr>
          <w:rFonts w:eastAsia="Calibri"/>
          <w:sz w:val="24"/>
          <w:szCs w:val="24"/>
          <w:lang w:eastAsia="en-US"/>
        </w:rPr>
        <w:br w:type="page"/>
      </w:r>
    </w:p>
    <w:p w:rsidR="00C62E6B" w:rsidRPr="00C62E6B" w:rsidRDefault="00C62E6B" w:rsidP="00C62E6B">
      <w:pPr>
        <w:tabs>
          <w:tab w:val="left" w:pos="4020"/>
        </w:tabs>
        <w:spacing w:line="264" w:lineRule="auto"/>
        <w:ind w:firstLine="709"/>
        <w:jc w:val="both"/>
        <w:rPr>
          <w:sz w:val="24"/>
          <w:szCs w:val="24"/>
        </w:rPr>
      </w:pPr>
      <w:r w:rsidRPr="00C62E6B">
        <w:rPr>
          <w:sz w:val="24"/>
          <w:szCs w:val="24"/>
        </w:rPr>
        <w:lastRenderedPageBreak/>
        <w:t>2. Настоящее постановление вступает в силу после дня его официального опубликования.</w:t>
      </w:r>
    </w:p>
    <w:p w:rsidR="00C62E6B" w:rsidRPr="00C62E6B" w:rsidRDefault="00C62E6B" w:rsidP="00C62E6B">
      <w:pPr>
        <w:tabs>
          <w:tab w:val="left" w:pos="4020"/>
        </w:tabs>
        <w:spacing w:line="264" w:lineRule="auto"/>
        <w:ind w:firstLine="540"/>
        <w:rPr>
          <w:sz w:val="24"/>
          <w:szCs w:val="24"/>
        </w:rPr>
      </w:pPr>
    </w:p>
    <w:p w:rsidR="00C62E6B" w:rsidRPr="00C62E6B" w:rsidRDefault="00C62E6B" w:rsidP="00C62E6B">
      <w:pPr>
        <w:tabs>
          <w:tab w:val="left" w:pos="4020"/>
        </w:tabs>
        <w:spacing w:line="264" w:lineRule="auto"/>
        <w:ind w:firstLine="540"/>
        <w:rPr>
          <w:sz w:val="24"/>
          <w:szCs w:val="24"/>
        </w:rPr>
      </w:pPr>
      <w:r w:rsidRPr="00C62E6B">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jc w:val="center"/>
              <w:rPr>
                <w:sz w:val="24"/>
                <w:szCs w:val="24"/>
                <w:lang w:eastAsia="en-US"/>
              </w:rPr>
            </w:pPr>
            <w:r w:rsidRPr="00C62E6B">
              <w:rPr>
                <w:sz w:val="24"/>
                <w:szCs w:val="24"/>
                <w:lang w:eastAsia="en-US"/>
              </w:rPr>
              <w:t>№ п/п</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jc w:val="center"/>
              <w:rPr>
                <w:sz w:val="24"/>
                <w:szCs w:val="24"/>
                <w:lang w:eastAsia="en-US"/>
              </w:rPr>
            </w:pPr>
            <w:r w:rsidRPr="00C62E6B">
              <w:rPr>
                <w:sz w:val="24"/>
                <w:szCs w:val="24"/>
                <w:lang w:eastAsia="en-US"/>
              </w:rPr>
              <w:t>Члены правления</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jc w:val="center"/>
              <w:rPr>
                <w:sz w:val="24"/>
                <w:szCs w:val="24"/>
                <w:lang w:eastAsia="en-US"/>
              </w:rPr>
            </w:pPr>
            <w:r w:rsidRPr="00C62E6B">
              <w:rPr>
                <w:sz w:val="24"/>
                <w:szCs w:val="24"/>
                <w:lang w:eastAsia="en-US"/>
              </w:rPr>
              <w:t>Результаты голосования</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1.</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Морева Е.Н.</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2.</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Бугаева С.Е.</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3.</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Турбачкина Е.В.</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4.</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Коннова Е.А.</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5.</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Полозов И.Г</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6.</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Гущина Н.Б.</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7.</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Агапова О.П.</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за</w:t>
            </w:r>
          </w:p>
        </w:tc>
      </w:tr>
      <w:tr w:rsidR="00C62E6B" w:rsidRPr="00C62E6B" w:rsidTr="00C62E6B">
        <w:tc>
          <w:tcPr>
            <w:tcW w:w="959"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540"/>
              <w:jc w:val="center"/>
              <w:rPr>
                <w:sz w:val="24"/>
                <w:szCs w:val="24"/>
                <w:lang w:eastAsia="en-US"/>
              </w:rPr>
            </w:pPr>
            <w:r w:rsidRPr="00C62E6B">
              <w:rPr>
                <w:sz w:val="24"/>
                <w:szCs w:val="24"/>
                <w:lang w:eastAsia="en-US"/>
              </w:rPr>
              <w:t>8.</w:t>
            </w:r>
          </w:p>
        </w:tc>
        <w:tc>
          <w:tcPr>
            <w:tcW w:w="2533"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15"/>
              <w:jc w:val="center"/>
              <w:rPr>
                <w:sz w:val="24"/>
                <w:szCs w:val="24"/>
                <w:lang w:eastAsia="en-US"/>
              </w:rPr>
            </w:pPr>
            <w:r w:rsidRPr="00C62E6B">
              <w:rPr>
                <w:sz w:val="24"/>
                <w:szCs w:val="24"/>
                <w:lang w:eastAsia="en-US"/>
              </w:rPr>
              <w:t>Кулешов А.И.</w:t>
            </w:r>
          </w:p>
        </w:tc>
        <w:tc>
          <w:tcPr>
            <w:tcW w:w="2977" w:type="dxa"/>
            <w:tcBorders>
              <w:top w:val="single" w:sz="4" w:space="0" w:color="auto"/>
              <w:left w:val="single" w:sz="4" w:space="0" w:color="auto"/>
              <w:bottom w:val="single" w:sz="4" w:space="0" w:color="auto"/>
              <w:right w:val="single" w:sz="4" w:space="0" w:color="auto"/>
            </w:tcBorders>
            <w:hideMark/>
          </w:tcPr>
          <w:p w:rsidR="00C62E6B" w:rsidRPr="00C62E6B" w:rsidRDefault="00C62E6B" w:rsidP="00C62E6B">
            <w:pPr>
              <w:tabs>
                <w:tab w:val="left" w:pos="4020"/>
              </w:tabs>
              <w:spacing w:line="264" w:lineRule="auto"/>
              <w:ind w:firstLine="33"/>
              <w:jc w:val="center"/>
              <w:rPr>
                <w:sz w:val="24"/>
                <w:szCs w:val="24"/>
                <w:lang w:eastAsia="en-US"/>
              </w:rPr>
            </w:pPr>
            <w:r w:rsidRPr="00C62E6B">
              <w:rPr>
                <w:sz w:val="24"/>
                <w:szCs w:val="24"/>
                <w:lang w:eastAsia="en-US"/>
              </w:rPr>
              <w:t>против</w:t>
            </w:r>
          </w:p>
        </w:tc>
      </w:tr>
    </w:tbl>
    <w:p w:rsidR="00C62E6B" w:rsidRDefault="00C62E6B" w:rsidP="00C62E6B">
      <w:pPr>
        <w:tabs>
          <w:tab w:val="left" w:pos="4020"/>
        </w:tabs>
        <w:spacing w:line="264" w:lineRule="auto"/>
        <w:ind w:firstLine="540"/>
        <w:rPr>
          <w:sz w:val="24"/>
          <w:szCs w:val="24"/>
        </w:rPr>
      </w:pPr>
      <w:r w:rsidRPr="00C62E6B">
        <w:rPr>
          <w:sz w:val="24"/>
          <w:szCs w:val="24"/>
        </w:rPr>
        <w:t>Итого: за – 7, против – 1, воздержался – 0, отсутствуют – 0.</w:t>
      </w:r>
    </w:p>
    <w:p w:rsidR="00630E3B" w:rsidRDefault="00630E3B" w:rsidP="00C62E6B">
      <w:pPr>
        <w:tabs>
          <w:tab w:val="left" w:pos="4020"/>
        </w:tabs>
        <w:spacing w:line="264" w:lineRule="auto"/>
        <w:ind w:firstLine="540"/>
        <w:rPr>
          <w:sz w:val="24"/>
          <w:szCs w:val="24"/>
        </w:rPr>
      </w:pPr>
    </w:p>
    <w:p w:rsidR="00630E3B" w:rsidRPr="00630E3B" w:rsidRDefault="00630E3B" w:rsidP="00630E3B">
      <w:pPr>
        <w:numPr>
          <w:ilvl w:val="0"/>
          <w:numId w:val="38"/>
        </w:numPr>
        <w:tabs>
          <w:tab w:val="left" w:pos="0"/>
          <w:tab w:val="left" w:pos="709"/>
          <w:tab w:val="left" w:pos="851"/>
        </w:tabs>
        <w:ind w:left="0" w:firstLine="709"/>
        <w:contextualSpacing/>
        <w:jc w:val="both"/>
        <w:rPr>
          <w:b/>
          <w:bCs/>
          <w:sz w:val="24"/>
          <w:szCs w:val="24"/>
        </w:rPr>
      </w:pPr>
      <w:bookmarkStart w:id="6" w:name="_Hlk151708884"/>
      <w:r w:rsidRPr="00630E3B">
        <w:rPr>
          <w:b/>
          <w:bCs/>
          <w:sz w:val="24"/>
          <w:szCs w:val="24"/>
        </w:rPr>
        <w:t>СЛУШАЛИ: О внесении изменений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w:t>
      </w:r>
      <w:r w:rsidRPr="00630E3B">
        <w:t xml:space="preserve"> </w:t>
      </w:r>
      <w:r w:rsidRPr="00630E3B">
        <w:rPr>
          <w:b/>
          <w:bCs/>
          <w:sz w:val="24"/>
          <w:szCs w:val="24"/>
        </w:rPr>
        <w:t>(Морева, Бугаева, Коннова, Сергеев, Луховской).</w:t>
      </w:r>
    </w:p>
    <w:bookmarkEnd w:id="6"/>
    <w:p w:rsidR="00630E3B" w:rsidRPr="00630E3B" w:rsidRDefault="00630E3B" w:rsidP="00630E3B">
      <w:pPr>
        <w:tabs>
          <w:tab w:val="left" w:pos="993"/>
          <w:tab w:val="left" w:pos="1418"/>
          <w:tab w:val="left" w:pos="4020"/>
        </w:tabs>
        <w:ind w:firstLine="567"/>
        <w:jc w:val="both"/>
        <w:rPr>
          <w:bCs/>
          <w:sz w:val="24"/>
          <w:szCs w:val="24"/>
        </w:rPr>
      </w:pPr>
      <w:r w:rsidRPr="00630E3B">
        <w:rPr>
          <w:bCs/>
          <w:sz w:val="24"/>
          <w:szCs w:val="24"/>
        </w:rPr>
        <w:t xml:space="preserve">Рассмотрено дело в части корректировки </w:t>
      </w:r>
      <w:r w:rsidRPr="00630E3B">
        <w:rPr>
          <w:sz w:val="24"/>
          <w:szCs w:val="24"/>
        </w:rPr>
        <w:t xml:space="preserve">НВВ на содержание электрических сетей на 2025 год, </w:t>
      </w:r>
      <w:r w:rsidRPr="00630E3B">
        <w:rPr>
          <w:bCs/>
          <w:sz w:val="24"/>
          <w:szCs w:val="24"/>
        </w:rPr>
        <w:t>принимаемой в расчет единых (котловых) и индивидуальных тарифов на услуги по передаче электрической энергии (без учета оплаты потерь), для АО «Объединенные электрические сети» (долгосрочный период регулирования 2022-2026 гг.).</w:t>
      </w:r>
    </w:p>
    <w:p w:rsidR="00630E3B" w:rsidRPr="00630E3B" w:rsidRDefault="00630E3B" w:rsidP="00630E3B">
      <w:pPr>
        <w:tabs>
          <w:tab w:val="left" w:pos="993"/>
          <w:tab w:val="left" w:pos="1418"/>
          <w:tab w:val="left" w:pos="4020"/>
        </w:tabs>
        <w:ind w:firstLine="567"/>
        <w:jc w:val="both"/>
        <w:rPr>
          <w:sz w:val="24"/>
          <w:szCs w:val="24"/>
        </w:rPr>
      </w:pPr>
      <w:r w:rsidRPr="00630E3B">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630E3B" w:rsidRPr="00630E3B" w:rsidRDefault="00630E3B" w:rsidP="00630E3B">
      <w:pPr>
        <w:ind w:firstLine="567"/>
        <w:jc w:val="both"/>
        <w:rPr>
          <w:sz w:val="24"/>
          <w:szCs w:val="24"/>
        </w:rPr>
      </w:pPr>
      <w:r w:rsidRPr="00630E3B">
        <w:rPr>
          <w:bCs/>
          <w:sz w:val="24"/>
          <w:szCs w:val="24"/>
        </w:rPr>
        <w:t>Департамент отмечает, что расчет произведен специалистами Департамента в</w:t>
      </w:r>
      <w:r w:rsidRPr="00630E3B">
        <w:rPr>
          <w:sz w:val="24"/>
          <w:szCs w:val="24"/>
        </w:rPr>
        <w:t xml:space="preserve"> соответствии с:</w:t>
      </w:r>
    </w:p>
    <w:p w:rsidR="00630E3B" w:rsidRPr="00630E3B" w:rsidRDefault="00630E3B" w:rsidP="00630E3B">
      <w:pPr>
        <w:tabs>
          <w:tab w:val="left" w:pos="993"/>
          <w:tab w:val="left" w:pos="1418"/>
          <w:tab w:val="left" w:pos="4020"/>
        </w:tabs>
        <w:ind w:firstLine="567"/>
        <w:jc w:val="both"/>
        <w:rPr>
          <w:bCs/>
          <w:sz w:val="24"/>
          <w:szCs w:val="24"/>
        </w:rPr>
      </w:pPr>
      <w:r w:rsidRPr="00630E3B">
        <w:rPr>
          <w:bCs/>
          <w:sz w:val="24"/>
          <w:szCs w:val="24"/>
        </w:rPr>
        <w:t>- макроэкономическими показателями одобренного Правительством Российской Федерации прогноза социально-экономического развития Российской Федерации на 2025 год и плановый период 2026 и 2027 годов,</w:t>
      </w:r>
    </w:p>
    <w:p w:rsidR="00630E3B" w:rsidRPr="00630E3B" w:rsidRDefault="00630E3B" w:rsidP="00630E3B">
      <w:pPr>
        <w:tabs>
          <w:tab w:val="left" w:pos="993"/>
          <w:tab w:val="left" w:pos="1418"/>
          <w:tab w:val="left" w:pos="4020"/>
        </w:tabs>
        <w:ind w:firstLine="567"/>
        <w:jc w:val="both"/>
        <w:rPr>
          <w:sz w:val="24"/>
          <w:szCs w:val="24"/>
        </w:rPr>
      </w:pPr>
      <w:r w:rsidRPr="00630E3B">
        <w:rPr>
          <w:bCs/>
          <w:sz w:val="24"/>
          <w:szCs w:val="24"/>
        </w:rPr>
        <w:t>- положениями постановления Правительства Российской Федерации от 29.12.2011 № 1178 «О</w:t>
      </w:r>
      <w:r w:rsidRPr="00630E3B">
        <w:rPr>
          <w:sz w:val="24"/>
          <w:szCs w:val="24"/>
        </w:rPr>
        <w:t xml:space="preserve"> ценообразовании в области регулируемых цен (тарифов) в электроэнергетике» (далее – Основы ценообразования),</w:t>
      </w:r>
    </w:p>
    <w:p w:rsidR="00630E3B" w:rsidRPr="00630E3B" w:rsidRDefault="00630E3B" w:rsidP="00630E3B">
      <w:pPr>
        <w:widowControl/>
        <w:autoSpaceDE w:val="0"/>
        <w:autoSpaceDN w:val="0"/>
        <w:adjustRightInd w:val="0"/>
        <w:ind w:firstLine="567"/>
        <w:jc w:val="both"/>
        <w:rPr>
          <w:sz w:val="24"/>
          <w:szCs w:val="24"/>
        </w:rPr>
      </w:pPr>
      <w:r w:rsidRPr="00630E3B">
        <w:rPr>
          <w:sz w:val="24"/>
          <w:szCs w:val="24"/>
        </w:rPr>
        <w:t>- приказом ФСТ России от 17.02.2012 № 98-э «Об утверждении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w:t>
      </w:r>
    </w:p>
    <w:p w:rsidR="00630E3B" w:rsidRPr="00630E3B" w:rsidRDefault="00630E3B" w:rsidP="00630E3B">
      <w:pPr>
        <w:ind w:firstLine="567"/>
        <w:jc w:val="both"/>
        <w:rPr>
          <w:sz w:val="24"/>
          <w:szCs w:val="24"/>
        </w:rPr>
      </w:pPr>
      <w:r w:rsidRPr="00630E3B">
        <w:rPr>
          <w:sz w:val="24"/>
          <w:szCs w:val="24"/>
        </w:rPr>
        <w:t xml:space="preserve">Основные показатели деятельности </w:t>
      </w:r>
      <w:r w:rsidRPr="00630E3B">
        <w:rPr>
          <w:bCs/>
          <w:sz w:val="24"/>
          <w:szCs w:val="24"/>
        </w:rPr>
        <w:t>АО «Объединенные электрические сети»</w:t>
      </w:r>
      <w:r w:rsidRPr="00630E3B">
        <w:rPr>
          <w:sz w:val="24"/>
          <w:szCs w:val="24"/>
        </w:rPr>
        <w:t>, принимаемые в расчет единых (котловых) и индивидуальных тарифов на услуги по передаче электрической энергии на 2025 год, а также принимаемые при установлении НВВ, приведены в приложениях к протоколу.</w:t>
      </w:r>
    </w:p>
    <w:p w:rsidR="00630E3B" w:rsidRPr="00630E3B" w:rsidRDefault="00630E3B" w:rsidP="00630E3B">
      <w:pPr>
        <w:ind w:firstLine="567"/>
        <w:jc w:val="both"/>
        <w:rPr>
          <w:sz w:val="24"/>
          <w:szCs w:val="24"/>
        </w:rPr>
      </w:pPr>
      <w:r w:rsidRPr="00630E3B">
        <w:rPr>
          <w:sz w:val="24"/>
          <w:szCs w:val="24"/>
        </w:rPr>
        <w:t>По результатам экспертизы подготовлены расчетные материалы и соответствующее экспертное заключение.</w:t>
      </w:r>
    </w:p>
    <w:p w:rsidR="00630E3B" w:rsidRPr="00630E3B" w:rsidRDefault="00630E3B" w:rsidP="00630E3B">
      <w:pPr>
        <w:ind w:firstLine="567"/>
        <w:jc w:val="both"/>
        <w:rPr>
          <w:bCs/>
          <w:sz w:val="24"/>
          <w:szCs w:val="24"/>
        </w:rPr>
      </w:pPr>
      <w:r w:rsidRPr="00630E3B">
        <w:rPr>
          <w:bCs/>
          <w:sz w:val="24"/>
          <w:szCs w:val="24"/>
        </w:rPr>
        <w:t xml:space="preserve">Необходимо внести соответствующие изменения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w:t>
      </w:r>
      <w:r w:rsidRPr="00630E3B">
        <w:rPr>
          <w:bCs/>
          <w:sz w:val="24"/>
          <w:szCs w:val="24"/>
        </w:rPr>
        <w:lastRenderedPageBreak/>
        <w:t>параметров регулирования».</w:t>
      </w:r>
    </w:p>
    <w:p w:rsidR="00630E3B" w:rsidRPr="00630E3B" w:rsidRDefault="00630E3B" w:rsidP="00630E3B">
      <w:pPr>
        <w:ind w:firstLine="567"/>
        <w:jc w:val="both"/>
        <w:rPr>
          <w:bCs/>
          <w:sz w:val="24"/>
          <w:szCs w:val="24"/>
        </w:rPr>
      </w:pPr>
      <w:r w:rsidRPr="00630E3B">
        <w:rPr>
          <w:bCs/>
          <w:sz w:val="24"/>
          <w:szCs w:val="24"/>
        </w:rPr>
        <w:t>АО «Объединенные электрические сети» письмом от 10.12.2024 № 101-030 (прилагается к настоящему протоколу) направило особое мнение, в котором отразило свое несогласие с предлагаемой к утверждению НВВ, участвующей в расчете тарифов на услуги по передаче электрической энергии (мощности) на 2024 год, по следующим статьям:</w:t>
      </w:r>
    </w:p>
    <w:p w:rsidR="00630E3B" w:rsidRPr="00630E3B" w:rsidRDefault="00630E3B" w:rsidP="00630E3B">
      <w:pPr>
        <w:ind w:firstLine="567"/>
        <w:jc w:val="both"/>
        <w:rPr>
          <w:bCs/>
          <w:sz w:val="24"/>
          <w:szCs w:val="24"/>
        </w:rPr>
      </w:pPr>
      <w:r w:rsidRPr="00630E3B">
        <w:rPr>
          <w:bCs/>
          <w:sz w:val="24"/>
          <w:szCs w:val="24"/>
        </w:rPr>
        <w:t>1. Сумма разногласий по подстатье «Аренда объектов электросетевого хозяйства» статьи «Корректировка неподконтрольных расходов исходя из фактических значений»: 1141,10 – 571,09=570,01 тыс. руб.</w:t>
      </w:r>
    </w:p>
    <w:p w:rsidR="00630E3B" w:rsidRPr="00630E3B" w:rsidRDefault="00630E3B" w:rsidP="00630E3B">
      <w:pPr>
        <w:ind w:firstLine="567"/>
        <w:jc w:val="both"/>
        <w:rPr>
          <w:bCs/>
          <w:sz w:val="24"/>
          <w:szCs w:val="24"/>
        </w:rPr>
      </w:pPr>
      <w:r w:rsidRPr="00630E3B">
        <w:rPr>
          <w:bCs/>
          <w:sz w:val="24"/>
          <w:szCs w:val="24"/>
        </w:rPr>
        <w:t>2. АО «Объединенные электрические сети» считает неправомерным применение Департаментом норматива потерь по АО «Объединенные электрические сети» в размере 7,80% (51 082,826 тыс. кВтч), т.к. в соответствии с п.2 постановления Правительства РФ «О внесении изменений в постановление Правительства Российской Федерации от 29 декабря 2011 г. № 1178» от 19.11.2024 № 1581 для ФАС России, Минэнерго России и Минэкономразвития России не истек 6-тимесячный срок для приведения в соответствие с указанным постановлением своих нормативно правовых актов.</w:t>
      </w:r>
    </w:p>
    <w:p w:rsidR="00630E3B" w:rsidRPr="00630E3B" w:rsidRDefault="00630E3B" w:rsidP="00630E3B">
      <w:pPr>
        <w:ind w:firstLine="567"/>
        <w:jc w:val="both"/>
        <w:rPr>
          <w:bCs/>
          <w:sz w:val="24"/>
          <w:szCs w:val="24"/>
        </w:rPr>
      </w:pPr>
      <w:r w:rsidRPr="00630E3B">
        <w:rPr>
          <w:bCs/>
          <w:sz w:val="24"/>
          <w:szCs w:val="24"/>
        </w:rPr>
        <w:t>АО «Объединенные электрические сети» считает, что применение изменений, вводимых вышеуказанным постановлением, должно распространяться с 2026 г.</w:t>
      </w:r>
    </w:p>
    <w:p w:rsidR="00630E3B" w:rsidRPr="00630E3B" w:rsidRDefault="00630E3B" w:rsidP="00630E3B">
      <w:pPr>
        <w:ind w:firstLine="567"/>
        <w:jc w:val="both"/>
        <w:rPr>
          <w:bCs/>
          <w:sz w:val="24"/>
          <w:szCs w:val="24"/>
        </w:rPr>
      </w:pPr>
      <w:r w:rsidRPr="00630E3B">
        <w:rPr>
          <w:bCs/>
          <w:sz w:val="24"/>
          <w:szCs w:val="24"/>
        </w:rPr>
        <w:t>Таким образом, АО «Объединенные электрические сети» настаивает на необходимости на 2025 г. использовать ранее утвержденный Департаментом для АО «ОЭС» на долгосрочный период регулирования (2022-2026гг.) норматив потерь в размере 8,06%.</w:t>
      </w:r>
    </w:p>
    <w:p w:rsidR="00630E3B" w:rsidRPr="00630E3B" w:rsidRDefault="00630E3B" w:rsidP="00630E3B">
      <w:pPr>
        <w:ind w:firstLine="567"/>
        <w:jc w:val="both"/>
        <w:rPr>
          <w:bCs/>
          <w:sz w:val="24"/>
          <w:szCs w:val="24"/>
        </w:rPr>
      </w:pPr>
      <w:r w:rsidRPr="00630E3B">
        <w:rPr>
          <w:bCs/>
          <w:sz w:val="24"/>
          <w:szCs w:val="24"/>
        </w:rPr>
        <w:t>3. АО «Объединенные электрические сети» с целью исключения недобора необходимой валовой выручки на 2025г. сообщало в Департамент письмом от 18.07.2024 №125/ОЭС/834 о динамике снижения полезного отпуска по ряду потребителей на 5 622,519 тыс. кВтч, а также о завершении реконструкции уличного освещения в г.о. Шуя и ожидаемом снижении полезного отпуска на 1 118,998 тыс. кВтч, что в итоге не было отражено в НВВ на 2025 г. для АО «Объединенные электрические сети». АО «Объединенные электрические сети» считает необходимым включение данных показателей в НВВ на 2025.</w:t>
      </w:r>
    </w:p>
    <w:p w:rsidR="00630E3B" w:rsidRPr="00630E3B" w:rsidRDefault="00630E3B" w:rsidP="00630E3B">
      <w:pPr>
        <w:ind w:firstLine="567"/>
        <w:jc w:val="both"/>
        <w:rPr>
          <w:bCs/>
          <w:sz w:val="24"/>
          <w:szCs w:val="24"/>
        </w:rPr>
      </w:pPr>
      <w:r w:rsidRPr="00630E3B">
        <w:rPr>
          <w:bCs/>
          <w:sz w:val="24"/>
          <w:szCs w:val="24"/>
        </w:rPr>
        <w:t>Департамент отмечает следующее.</w:t>
      </w:r>
    </w:p>
    <w:p w:rsidR="00630E3B" w:rsidRPr="00630E3B" w:rsidRDefault="00630E3B" w:rsidP="00630E3B">
      <w:pPr>
        <w:ind w:firstLine="567"/>
        <w:jc w:val="both"/>
        <w:rPr>
          <w:bCs/>
          <w:sz w:val="24"/>
          <w:szCs w:val="24"/>
        </w:rPr>
      </w:pPr>
      <w:r w:rsidRPr="00630E3B">
        <w:rPr>
          <w:bCs/>
          <w:sz w:val="24"/>
          <w:szCs w:val="24"/>
        </w:rPr>
        <w:t>1. По подстатье «Арендная плата объектов электросетевого хозяйства» статьи «Корректировка неподконтрольных расходов исходя из фактических значений» Департамент принимает расходы в сумме 571,09 тыс. руб., вместо заявленных АО «Объединенные электрические сети» расходов в сумме 1 141,10 тыс. руб. По данной статье учтены расходы по договору аренды имущества № 4 от 08.08.2023 г. у ООО «ЭлСеть» объектов электросетевого хозяйства, ранее переданных от АО «Объединенные электрические сети» в ООО «ЭлСеть» по договору купли-продажи движимого и недвижимого имущества от 29.06.2023 г. Указанные расходы определены в соответствии с п. 28 Основ ценообразования на основании амортизационных ведомостей АО «Объединенные электрические сети» за 2023 год и расчетов земельного налога и налога на имущество по арендованным объектам.</w:t>
      </w:r>
    </w:p>
    <w:p w:rsidR="00630E3B" w:rsidRPr="00630E3B" w:rsidRDefault="00630E3B" w:rsidP="00630E3B">
      <w:pPr>
        <w:ind w:firstLine="567"/>
        <w:jc w:val="both"/>
        <w:rPr>
          <w:bCs/>
          <w:sz w:val="24"/>
          <w:szCs w:val="24"/>
        </w:rPr>
      </w:pPr>
      <w:r w:rsidRPr="00630E3B">
        <w:rPr>
          <w:bCs/>
          <w:sz w:val="24"/>
          <w:szCs w:val="24"/>
        </w:rPr>
        <w:t>Согласно положению по бухгалтерскому учету переоценка объектов основных средств - это изменение первоначальной стоимости основных средств, в которой они приняты к бухгалтерскому учету. Первоначальной стоимостью основных средств, приобретенных за плату, признается сумма затрат организации на приобретение, сооружение и изготовление, за исключением налога на добавленную стоимость и иных возмещаемых налогов. То есть, по смыслу данной нормы переоценка - это оценка имущества, которая ведет к изменению стоимости основных сре</w:t>
      </w:r>
      <w:proofErr w:type="gramStart"/>
      <w:r w:rsidRPr="00630E3B">
        <w:rPr>
          <w:bCs/>
          <w:sz w:val="24"/>
          <w:szCs w:val="24"/>
        </w:rPr>
        <w:t>дств в б</w:t>
      </w:r>
      <w:proofErr w:type="gramEnd"/>
      <w:r w:rsidRPr="00630E3B">
        <w:rPr>
          <w:bCs/>
          <w:sz w:val="24"/>
          <w:szCs w:val="24"/>
        </w:rPr>
        <w:t>ухгалтерском учете организации собственника без проведения ремонтных работ либо иных мероприятий, направленных на улучшение фактического состояния основных средств.</w:t>
      </w:r>
    </w:p>
    <w:p w:rsidR="00630E3B" w:rsidRPr="00630E3B" w:rsidRDefault="00630E3B" w:rsidP="00630E3B">
      <w:pPr>
        <w:ind w:firstLine="567"/>
        <w:jc w:val="both"/>
        <w:rPr>
          <w:bCs/>
          <w:sz w:val="24"/>
          <w:szCs w:val="24"/>
        </w:rPr>
      </w:pPr>
      <w:r w:rsidRPr="00630E3B">
        <w:rPr>
          <w:bCs/>
          <w:sz w:val="24"/>
          <w:szCs w:val="24"/>
        </w:rPr>
        <w:t>Федеральным законом от 29.07.1998 № 135-ФЗ «Об оценочной деятельности в Российской Федерации» предусмотрено, что оценочная деятельность проводится в отношении объектов оценки, принадлежащих Российской Федерации, субъектам Российской Федерации или муниципальным образованиям, физическим лицам и юридическим лицам, для целей совершения сделок с объектами оценки, а также для иных целей.</w:t>
      </w:r>
    </w:p>
    <w:p w:rsidR="00630E3B" w:rsidRPr="00630E3B" w:rsidRDefault="00630E3B" w:rsidP="00630E3B">
      <w:pPr>
        <w:ind w:firstLine="567"/>
        <w:jc w:val="both"/>
        <w:rPr>
          <w:bCs/>
          <w:sz w:val="24"/>
          <w:szCs w:val="24"/>
        </w:rPr>
      </w:pPr>
      <w:r w:rsidRPr="00630E3B">
        <w:rPr>
          <w:bCs/>
          <w:sz w:val="24"/>
          <w:szCs w:val="24"/>
        </w:rPr>
        <w:t xml:space="preserve">Из совокупности указанных норм следует, что результатом проведенной оценки </w:t>
      </w:r>
      <w:r w:rsidRPr="00630E3B">
        <w:rPr>
          <w:bCs/>
          <w:sz w:val="24"/>
          <w:szCs w:val="24"/>
        </w:rPr>
        <w:lastRenderedPageBreak/>
        <w:t xml:space="preserve">становится изменение стоимости объектов (в сравнении с остаточной стоимостью организации продавца на момент продажи) в бухгалтерском учете организации покупателя без проведения ремонтных работ либо иных мероприятий (реконструкции), направленных на улучшение фактического состояния основных средств. </w:t>
      </w:r>
    </w:p>
    <w:p w:rsidR="00630E3B" w:rsidRPr="00630E3B" w:rsidRDefault="00630E3B" w:rsidP="00630E3B">
      <w:pPr>
        <w:ind w:firstLine="567"/>
        <w:jc w:val="both"/>
        <w:rPr>
          <w:bCs/>
          <w:sz w:val="24"/>
          <w:szCs w:val="24"/>
        </w:rPr>
      </w:pPr>
      <w:r w:rsidRPr="00630E3B">
        <w:rPr>
          <w:bCs/>
          <w:sz w:val="24"/>
          <w:szCs w:val="24"/>
        </w:rPr>
        <w:t xml:space="preserve">Таким образом, по смыслу указанных норм, оценка с целью продажи и переоценка имущества, по сути, являются аналогичными действиями – действиями, направленными на изменение  стоимости объекта в бухгалтерском учете без проведения ремонтных работ либо иных мероприятий (реконструкции), направленных на улучшение фактического состояния основных средств. Кроме того, у конкретного объекта основных средств имеется определенный законодательством максимальный срок полезного использования. </w:t>
      </w:r>
    </w:p>
    <w:p w:rsidR="00630E3B" w:rsidRPr="00630E3B" w:rsidRDefault="00630E3B" w:rsidP="00630E3B">
      <w:pPr>
        <w:ind w:firstLine="567"/>
        <w:jc w:val="both"/>
        <w:rPr>
          <w:bCs/>
          <w:sz w:val="24"/>
          <w:szCs w:val="24"/>
        </w:rPr>
      </w:pPr>
      <w:r w:rsidRPr="00630E3B">
        <w:rPr>
          <w:bCs/>
          <w:sz w:val="24"/>
          <w:szCs w:val="24"/>
        </w:rPr>
        <w:t>В соответствии с требованиями законодательства в сфере тарифного регулирования результаты переоценки не могут быть учтены в составе необходимой валовой выручки регулируемых организаций, если расходы на амортизацию не являются источником финансирования мероприятий утвержденной в установленном порядке инвестиционной программы организации.</w:t>
      </w:r>
    </w:p>
    <w:p w:rsidR="00630E3B" w:rsidRPr="00630E3B" w:rsidRDefault="00630E3B" w:rsidP="00630E3B">
      <w:pPr>
        <w:ind w:firstLine="567"/>
        <w:jc w:val="both"/>
        <w:rPr>
          <w:bCs/>
          <w:sz w:val="24"/>
          <w:szCs w:val="24"/>
        </w:rPr>
      </w:pPr>
      <w:r w:rsidRPr="00630E3B">
        <w:rPr>
          <w:bCs/>
          <w:sz w:val="24"/>
          <w:szCs w:val="24"/>
        </w:rPr>
        <w:t xml:space="preserve">В случае учета подобных сделок при тарифном регулировании потребитель услуг по передаче электрической энергии, по сути, вынужден будет оплачивать расходы на амортизационные отчисления собственников объектов электросетевого хозяйства и при этом сами объекты электросетевого хозяйства, которые, в том числе, уже были самортизированы у предыдущего собственника, могут оставаться в неизменном виде и состоянии. </w:t>
      </w:r>
    </w:p>
    <w:p w:rsidR="00630E3B" w:rsidRPr="00630E3B" w:rsidRDefault="00630E3B" w:rsidP="00630E3B">
      <w:pPr>
        <w:ind w:firstLine="567"/>
        <w:jc w:val="both"/>
        <w:rPr>
          <w:bCs/>
          <w:sz w:val="24"/>
          <w:szCs w:val="24"/>
        </w:rPr>
      </w:pPr>
      <w:r w:rsidRPr="00630E3B">
        <w:rPr>
          <w:bCs/>
          <w:sz w:val="24"/>
          <w:szCs w:val="24"/>
        </w:rPr>
        <w:t>Также необходимо отметить, что тарифный источник формируется из средств потребителей услуг по передаче электрической энергии, т.е., подобное неоднократное приобретение одних и тех же объектов электросетевого хозяйства без улучшения фактического состояния объектов основных средств, по сути, осуществлялось бы не за счет приобретателя активов, а за счет лиц, которым оказываются услуги естественно-монопольного характера, от приобретения которых потребители не могут отказаться в силу их инфраструктурного характера, непосредственно связанного с жизнеобеспечением.</w:t>
      </w:r>
    </w:p>
    <w:p w:rsidR="00630E3B" w:rsidRPr="00630E3B" w:rsidRDefault="00630E3B" w:rsidP="00630E3B">
      <w:pPr>
        <w:ind w:firstLine="567"/>
        <w:jc w:val="both"/>
        <w:rPr>
          <w:bCs/>
          <w:sz w:val="24"/>
          <w:szCs w:val="24"/>
        </w:rPr>
      </w:pPr>
      <w:r w:rsidRPr="00630E3B">
        <w:rPr>
          <w:bCs/>
          <w:sz w:val="24"/>
          <w:szCs w:val="24"/>
        </w:rPr>
        <w:t>Расходы на амортизацию по объектам электросетевого хозяйства, ранее проданных от АО «Объединенные электрические сети» в ООО «ЭлСеть», а после снова взятым во владение по договору аренды, Департамент считает экономически обоснованным учитывать с учетом остаточной стоимости данных объектов у АО «Объединенные электрические сети» и оставшегося срока их полезного использования. Информация о проводимых физических улучшениях данного имущества в материалы тарифного дела не предоставлена.</w:t>
      </w:r>
    </w:p>
    <w:p w:rsidR="00630E3B" w:rsidRPr="00630E3B" w:rsidRDefault="00630E3B" w:rsidP="00630E3B">
      <w:pPr>
        <w:ind w:firstLine="567"/>
        <w:jc w:val="both"/>
        <w:rPr>
          <w:bCs/>
          <w:sz w:val="24"/>
          <w:szCs w:val="24"/>
        </w:rPr>
      </w:pPr>
      <w:r w:rsidRPr="00630E3B">
        <w:rPr>
          <w:bCs/>
          <w:sz w:val="24"/>
          <w:szCs w:val="24"/>
        </w:rPr>
        <w:t>2. В соответствии с абзацем двадцать первым пункта 12 Основ ценообразования (в редакции постановления Правительства РФ от 19.11.2024 № 1581 «О внесении изменений в постановление Правительства Российской Федерации от 29 декабря 2011 г. № 1178», вступившего в силу с 19.11.2024), учитывая, что суммарная величина отпуска электрической энергии в электрические сети АО «Объединенные электрические сети» изменилась более, чем на 20 процентов от величины, учтенной при установлении цен (тарифов) на услуги по передаче электрической энергии на первый год долгосрочного периода – 2022 год, Департаментом пересмотрен уровень потерь для АО «Объединенные электрические сети» на 2025 год в соответствии с действующим приказом Министерства энергетики Российской Федерации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630E3B" w:rsidRPr="00630E3B" w:rsidRDefault="00630E3B" w:rsidP="00630E3B">
      <w:pPr>
        <w:ind w:firstLine="567"/>
        <w:jc w:val="both"/>
        <w:rPr>
          <w:bCs/>
          <w:sz w:val="24"/>
          <w:szCs w:val="24"/>
        </w:rPr>
      </w:pPr>
      <w:r w:rsidRPr="00630E3B">
        <w:rPr>
          <w:bCs/>
          <w:sz w:val="24"/>
          <w:szCs w:val="24"/>
        </w:rPr>
        <w:t xml:space="preserve">В соответствии с пунктом 40(1) Основ ценообразования для АО «Объединенные электрические сети» используется уровень потерь электрической энергии при ее передаче по электрическим сетям, определенный органами исполнительной власти субъектов Российской Федерации в области государственного регулирования тарифов и установленный на долгосрочный период регулирования как минимальное значение из норматива потерь электрической энергии при ее передаче по электрическим сетям,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соответствующей территориальной сетевой организации за последний истекший год. При этом уровень потерь определяется в процентах от величины суммарного отпуска электрической энергии в сеть </w:t>
      </w:r>
      <w:r w:rsidRPr="00630E3B">
        <w:rPr>
          <w:bCs/>
          <w:sz w:val="24"/>
          <w:szCs w:val="24"/>
        </w:rPr>
        <w:lastRenderedPageBreak/>
        <w:t xml:space="preserve">территориальной сетевой организации. </w:t>
      </w:r>
    </w:p>
    <w:p w:rsidR="00630E3B" w:rsidRPr="00630E3B" w:rsidRDefault="00630E3B" w:rsidP="00630E3B">
      <w:pPr>
        <w:ind w:firstLine="567"/>
        <w:jc w:val="both"/>
        <w:rPr>
          <w:bCs/>
          <w:sz w:val="24"/>
          <w:szCs w:val="24"/>
        </w:rPr>
      </w:pPr>
      <w:r w:rsidRPr="00630E3B">
        <w:rPr>
          <w:bCs/>
          <w:sz w:val="24"/>
          <w:szCs w:val="24"/>
        </w:rPr>
        <w:t>Учитывая, что АО «Объединенные электрические сети» осуществило консолидацию объектов электросетевого хозяйства ранее существовавших сетевых организаций, а именно: с 01.01.2023 года – ООО «БизнесПроект», с 01.01.2024 года – АО «Вичугская городская электросеть», в 2024 году с 01.01.2025 года – ООО «ЭлСеть» и АО «ПСК», Департамент при расчете уровня потерь для АО «Объединенные электрические сети» учитывает фактические данные всех вышеперечисленных сетевых организаций за 2023 год.</w:t>
      </w:r>
    </w:p>
    <w:p w:rsidR="00630E3B" w:rsidRPr="00630E3B" w:rsidRDefault="00630E3B" w:rsidP="00630E3B">
      <w:pPr>
        <w:ind w:firstLine="567"/>
        <w:jc w:val="both"/>
        <w:rPr>
          <w:bCs/>
          <w:sz w:val="24"/>
          <w:szCs w:val="24"/>
        </w:rPr>
      </w:pPr>
      <w:r w:rsidRPr="00630E3B">
        <w:rPr>
          <w:bCs/>
          <w:sz w:val="24"/>
          <w:szCs w:val="24"/>
        </w:rPr>
        <w:t>Таким образом, в качестве базового периода для определения уровня потерь электрической энергии при ее передаче по электрическим сетям АО «Объединенные электрические сети» Департаментом принят последний истекший год - 2023 год, а именно, данные формы № 46-ЭЭ (передача) «Сведения об отпуске (передаче) электроэнергии распределительными сетевыми организациями отдельным категориям потребителей» за 2023 год.</w:t>
      </w:r>
    </w:p>
    <w:p w:rsidR="00630E3B" w:rsidRPr="00630E3B" w:rsidRDefault="00630E3B" w:rsidP="00630E3B">
      <w:pPr>
        <w:ind w:firstLine="567"/>
        <w:jc w:val="both"/>
        <w:rPr>
          <w:bCs/>
          <w:sz w:val="24"/>
          <w:szCs w:val="24"/>
        </w:rPr>
      </w:pPr>
      <w:r w:rsidRPr="00630E3B">
        <w:rPr>
          <w:bCs/>
          <w:sz w:val="24"/>
          <w:szCs w:val="24"/>
        </w:rPr>
        <w:t xml:space="preserve">Департамент при определении уровня потерь выбирает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приказом Минэнерго России от 26.09.2017 № 887, и уровня фактических потерь электрической энергии при ее передаче по электрическим сетям АО «Объединенные электрические сети» на соответствующем уровне напряжения за 2023 год по формуле п. 40(1) Основ ценообразования. </w:t>
      </w:r>
    </w:p>
    <w:p w:rsidR="00630E3B" w:rsidRPr="00630E3B" w:rsidRDefault="00630E3B" w:rsidP="00630E3B">
      <w:pPr>
        <w:ind w:firstLine="567"/>
        <w:jc w:val="both"/>
        <w:rPr>
          <w:bCs/>
          <w:sz w:val="24"/>
          <w:szCs w:val="24"/>
        </w:rPr>
      </w:pPr>
      <w:r w:rsidRPr="00630E3B">
        <w:rPr>
          <w:bCs/>
          <w:sz w:val="24"/>
          <w:szCs w:val="24"/>
        </w:rPr>
        <w:t>По результатам проведенной экспертизы минимальные значения из норматива потерь электрической энергии и уровня фактических потерь электрической энергии за 2023 год на соответствующих уровнях напряжения составляют:</w:t>
      </w:r>
    </w:p>
    <w:p w:rsidR="00630E3B" w:rsidRPr="00630E3B" w:rsidRDefault="00630E3B" w:rsidP="00630E3B">
      <w:pPr>
        <w:ind w:firstLine="567"/>
        <w:jc w:val="both"/>
        <w:rPr>
          <w:bCs/>
          <w:sz w:val="24"/>
          <w:szCs w:val="24"/>
        </w:rPr>
      </w:pPr>
      <w:r w:rsidRPr="00630E3B">
        <w:rPr>
          <w:bCs/>
          <w:sz w:val="24"/>
          <w:szCs w:val="24"/>
        </w:rPr>
        <w:t>ВН – 0,52 %, СН 1 – 0,06 %, СН 2 – 3,74 %, НН – 6,48 %</w:t>
      </w:r>
    </w:p>
    <w:p w:rsidR="00630E3B" w:rsidRPr="00630E3B" w:rsidRDefault="00630E3B" w:rsidP="00630E3B">
      <w:pPr>
        <w:ind w:firstLine="567"/>
        <w:jc w:val="both"/>
        <w:rPr>
          <w:bCs/>
          <w:sz w:val="24"/>
          <w:szCs w:val="24"/>
        </w:rPr>
      </w:pPr>
      <w:r w:rsidRPr="00630E3B">
        <w:rPr>
          <w:bCs/>
          <w:sz w:val="24"/>
          <w:szCs w:val="24"/>
        </w:rPr>
        <w:t>На основании выбранных минимальных значений из норматива потерь электрической энергии и уровня фактических потерь электрической энергии за 2023 год на соответствующих уровнях напряжения Департаментом определен уровень потерь электрической энергии при ее передаче по электрическим сетям АО «Объединенные электрические сети» на 2025 год – 7,80 %.</w:t>
      </w:r>
    </w:p>
    <w:p w:rsidR="00630E3B" w:rsidRPr="00630E3B" w:rsidRDefault="00630E3B" w:rsidP="00630E3B">
      <w:pPr>
        <w:ind w:firstLine="567"/>
        <w:jc w:val="both"/>
        <w:rPr>
          <w:bCs/>
          <w:sz w:val="24"/>
          <w:szCs w:val="24"/>
        </w:rPr>
      </w:pPr>
      <w:r w:rsidRPr="00630E3B">
        <w:rPr>
          <w:bCs/>
          <w:sz w:val="24"/>
          <w:szCs w:val="24"/>
        </w:rPr>
        <w:t>3. При определении объема полезного отпуска конечным потребителям АО «Объединенные электрические сети» на 2025 год Департамент, в соответствии с приказом ФСТ России от 12.04.2012 № 53-э/1 «Об утверждении Порядка формирования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и Порядка определения отношения суммарного за год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год значению прогнозного объема мощности, определенного в отношении указанных категорий потребителей», руководствовался фактическими данными, имеющимися</w:t>
      </w:r>
      <w:r w:rsidRPr="00630E3B">
        <w:t xml:space="preserve"> </w:t>
      </w:r>
      <w:r w:rsidRPr="00630E3B">
        <w:rPr>
          <w:bCs/>
          <w:sz w:val="24"/>
          <w:szCs w:val="24"/>
        </w:rPr>
        <w:t>в отчетной статистической форме № 46-ЭЭ (передача) «Сведения об отпуске (передаче) электроэнергии распределительными сетевыми организациями отдельным категориям потребителей» за 2023 год АО «Объединенные электрические сети», а также, с учетом консолидации объектов электросетевого хозяйства ранее существовавших сетевых организаций, а именно: с 01.01.2023 года – ООО «БизнесПроект», с 01.01.2024 года – АО «Вичугская городская электросеть», в 2024 году с 01.01.2025 года – ООО «ЭлСеть» и АО «ПСК», Департамент учитывает фактические данные всех вышеперечисленных сетевых организаций за 2023 год.</w:t>
      </w:r>
    </w:p>
    <w:p w:rsidR="00630E3B" w:rsidRPr="00630E3B" w:rsidRDefault="00630E3B" w:rsidP="00630E3B">
      <w:pPr>
        <w:ind w:firstLine="567"/>
        <w:jc w:val="both"/>
        <w:rPr>
          <w:bCs/>
          <w:sz w:val="24"/>
          <w:szCs w:val="24"/>
        </w:rPr>
      </w:pPr>
      <w:r w:rsidRPr="00630E3B">
        <w:rPr>
          <w:bCs/>
          <w:sz w:val="24"/>
          <w:szCs w:val="24"/>
        </w:rPr>
        <w:t>Департамент также отмечает, что предложение АО «Объединенные электрические сети» об учете динамики снижения полезного отпуска по ряду потребителей в 2023 году по сравнению с 2022 годом является некорректным, поскольку не учитывает противоположную динамику роста полезного отпуска по другим потребителям.</w:t>
      </w:r>
    </w:p>
    <w:p w:rsidR="00630E3B" w:rsidRPr="00630E3B" w:rsidRDefault="00630E3B" w:rsidP="00630E3B">
      <w:pPr>
        <w:ind w:firstLine="567"/>
        <w:jc w:val="both"/>
        <w:rPr>
          <w:bCs/>
          <w:sz w:val="24"/>
          <w:szCs w:val="24"/>
        </w:rPr>
      </w:pPr>
      <w:r w:rsidRPr="00630E3B">
        <w:rPr>
          <w:bCs/>
          <w:sz w:val="24"/>
          <w:szCs w:val="24"/>
        </w:rPr>
        <w:t>Кроме того, Департамент отмечает, что фактический полезный отпуск АО «Объединенные электрические сети» за 2022 год составил 101,5 % от плановой величины, а за 2023 год – 101,3 % от плановой величины.</w:t>
      </w:r>
    </w:p>
    <w:p w:rsidR="00630E3B" w:rsidRPr="00630E3B" w:rsidRDefault="00630E3B" w:rsidP="00630E3B">
      <w:pPr>
        <w:ind w:firstLine="567"/>
        <w:jc w:val="both"/>
        <w:rPr>
          <w:bCs/>
          <w:sz w:val="24"/>
          <w:szCs w:val="24"/>
        </w:rPr>
      </w:pPr>
      <w:r w:rsidRPr="00630E3B">
        <w:rPr>
          <w:bCs/>
          <w:sz w:val="24"/>
          <w:szCs w:val="24"/>
        </w:rPr>
        <w:t xml:space="preserve">Также следует учесть, что методами тарифного регулирования предусмотрена </w:t>
      </w:r>
      <w:r w:rsidRPr="00630E3B">
        <w:rPr>
          <w:bCs/>
          <w:sz w:val="24"/>
          <w:szCs w:val="24"/>
        </w:rPr>
        <w:lastRenderedPageBreak/>
        <w:t>корректировка необходимой валовой выручки сетевой организации с учетом изменения полезного отпуска и цен на электрическую энергию.</w:t>
      </w:r>
    </w:p>
    <w:p w:rsidR="00630E3B" w:rsidRPr="00630E3B" w:rsidRDefault="00630E3B" w:rsidP="00630E3B">
      <w:pPr>
        <w:ind w:firstLine="567"/>
        <w:jc w:val="both"/>
        <w:rPr>
          <w:bCs/>
          <w:sz w:val="24"/>
          <w:szCs w:val="24"/>
        </w:rPr>
      </w:pPr>
      <w:r w:rsidRPr="00630E3B">
        <w:rPr>
          <w:bCs/>
          <w:sz w:val="24"/>
          <w:szCs w:val="24"/>
        </w:rPr>
        <w:t>Ассоциация «НП Совет рынка» в отношении АО «Объединенные электрические сети» голосует по данному вопросу «против», по причине не предоставления расчетов и экспертного заключения.</w:t>
      </w:r>
    </w:p>
    <w:p w:rsidR="00630E3B" w:rsidRPr="00630E3B" w:rsidRDefault="00630E3B" w:rsidP="00630E3B">
      <w:pPr>
        <w:ind w:firstLine="567"/>
        <w:jc w:val="both"/>
        <w:rPr>
          <w:bCs/>
          <w:sz w:val="24"/>
          <w:szCs w:val="24"/>
        </w:rPr>
      </w:pPr>
      <w:r w:rsidRPr="00630E3B">
        <w:rPr>
          <w:bCs/>
          <w:sz w:val="24"/>
          <w:szCs w:val="24"/>
        </w:rPr>
        <w:t>Департамент отмечает, что в адрес Ассоциации «НП Совет рынка» подробные расчетные материалы по данному вопросу были направлены.</w:t>
      </w:r>
    </w:p>
    <w:p w:rsidR="00630E3B" w:rsidRPr="00630E3B" w:rsidRDefault="00630E3B" w:rsidP="00630E3B">
      <w:pPr>
        <w:ind w:firstLine="567"/>
        <w:jc w:val="both"/>
        <w:rPr>
          <w:b/>
          <w:sz w:val="24"/>
          <w:szCs w:val="24"/>
        </w:rPr>
      </w:pPr>
    </w:p>
    <w:p w:rsidR="00630E3B" w:rsidRPr="00630E3B" w:rsidRDefault="00630E3B" w:rsidP="00630E3B">
      <w:pPr>
        <w:ind w:firstLine="567"/>
        <w:jc w:val="both"/>
        <w:rPr>
          <w:sz w:val="24"/>
          <w:szCs w:val="24"/>
        </w:rPr>
      </w:pPr>
      <w:r w:rsidRPr="00630E3B">
        <w:rPr>
          <w:b/>
          <w:sz w:val="24"/>
          <w:szCs w:val="24"/>
        </w:rPr>
        <w:t>РЕШИЛИ:</w:t>
      </w:r>
    </w:p>
    <w:p w:rsidR="00630E3B" w:rsidRPr="00630E3B" w:rsidRDefault="00630E3B" w:rsidP="00630E3B">
      <w:pPr>
        <w:tabs>
          <w:tab w:val="left" w:pos="1276"/>
        </w:tabs>
        <w:autoSpaceDE w:val="0"/>
        <w:autoSpaceDN w:val="0"/>
        <w:adjustRightInd w:val="0"/>
        <w:ind w:firstLine="567"/>
        <w:jc w:val="both"/>
        <w:rPr>
          <w:sz w:val="24"/>
          <w:szCs w:val="24"/>
        </w:rPr>
      </w:pPr>
      <w:r w:rsidRPr="00630E3B">
        <w:rPr>
          <w:sz w:val="24"/>
          <w:szCs w:val="24"/>
        </w:rPr>
        <w:t xml:space="preserve">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Методическими указаниями </w:t>
      </w:r>
      <w:r w:rsidRPr="00630E3B">
        <w:rPr>
          <w:spacing w:val="2"/>
          <w:sz w:val="24"/>
          <w:szCs w:val="24"/>
          <w:shd w:val="clear" w:color="auto" w:fill="FFFFFF"/>
        </w:rPr>
        <w:t>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r w:rsidRPr="00630E3B">
        <w:rPr>
          <w:sz w:val="24"/>
          <w:szCs w:val="24"/>
        </w:rPr>
        <w:t>, утвержденными приказом Минэнерго России от 29.11.2016 № 1256, приказом Минэнерго России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630E3B" w:rsidRPr="00630E3B" w:rsidRDefault="00630E3B" w:rsidP="00630E3B">
      <w:pPr>
        <w:tabs>
          <w:tab w:val="left" w:pos="1276"/>
        </w:tabs>
        <w:autoSpaceDE w:val="0"/>
        <w:autoSpaceDN w:val="0"/>
        <w:adjustRightInd w:val="0"/>
        <w:ind w:firstLine="567"/>
        <w:jc w:val="both"/>
        <w:rPr>
          <w:sz w:val="24"/>
          <w:szCs w:val="24"/>
        </w:rPr>
      </w:pPr>
      <w:r w:rsidRPr="00630E3B">
        <w:rPr>
          <w:sz w:val="24"/>
          <w:szCs w:val="24"/>
        </w:rPr>
        <w:t>1. Внести изменения в постановление Департамента энергетики и тарифов Ивановской области от 29.12.2021 № 60-э/2 «Об установлении необходимой валовой выручки и долгосрочных параметров регулирования для АО «Объединенные электрические сети» на 2022-2026 гг., в отношении которого тарифы на услуги по передаче электрической энергии устанавливаются на основе долгосрочных параметров регулирования», изложив приложения 1 и 2 к постановлению Департамента энергетики и тарифов Ивановской области от 29.12.2021 № 60-э/2 в новой редакции согласно Таблице 1 и Таблице 2:</w:t>
      </w:r>
    </w:p>
    <w:p w:rsidR="00630E3B" w:rsidRPr="00630E3B" w:rsidRDefault="00630E3B" w:rsidP="00630E3B">
      <w:pPr>
        <w:rPr>
          <w:sz w:val="23"/>
          <w:szCs w:val="23"/>
        </w:rPr>
      </w:pPr>
    </w:p>
    <w:p w:rsidR="00630E3B" w:rsidRPr="00630E3B" w:rsidRDefault="00630E3B" w:rsidP="00630E3B">
      <w:pPr>
        <w:tabs>
          <w:tab w:val="left" w:pos="4143"/>
        </w:tabs>
        <w:rPr>
          <w:color w:val="FF0000"/>
          <w:sz w:val="23"/>
          <w:szCs w:val="23"/>
        </w:rPr>
        <w:sectPr w:rsidR="00630E3B" w:rsidRPr="00630E3B" w:rsidSect="00FB6FF3">
          <w:pgSz w:w="11905" w:h="16840"/>
          <w:pgMar w:top="851" w:right="851" w:bottom="992" w:left="1418" w:header="0" w:footer="0" w:gutter="0"/>
          <w:cols w:space="720"/>
          <w:noEndnote/>
          <w:docGrid w:linePitch="299"/>
        </w:sectPr>
      </w:pPr>
      <w:r w:rsidRPr="00630E3B">
        <w:rPr>
          <w:color w:val="FF0000"/>
          <w:sz w:val="23"/>
          <w:szCs w:val="23"/>
        </w:rPr>
        <w:tab/>
      </w:r>
    </w:p>
    <w:p w:rsidR="00630E3B" w:rsidRPr="00630E3B" w:rsidRDefault="00630E3B" w:rsidP="00630E3B">
      <w:pPr>
        <w:tabs>
          <w:tab w:val="left" w:pos="4143"/>
        </w:tabs>
        <w:ind w:left="10206"/>
        <w:jc w:val="right"/>
        <w:rPr>
          <w:sz w:val="24"/>
          <w:szCs w:val="24"/>
        </w:rPr>
      </w:pPr>
      <w:r w:rsidRPr="00630E3B">
        <w:rPr>
          <w:sz w:val="24"/>
          <w:szCs w:val="24"/>
        </w:rPr>
        <w:lastRenderedPageBreak/>
        <w:t>Таблица 1</w:t>
      </w:r>
    </w:p>
    <w:p w:rsidR="00630E3B" w:rsidRPr="00630E3B" w:rsidRDefault="00630E3B" w:rsidP="00630E3B">
      <w:pPr>
        <w:tabs>
          <w:tab w:val="left" w:pos="4143"/>
        </w:tabs>
        <w:ind w:left="10206"/>
        <w:jc w:val="right"/>
        <w:rPr>
          <w:sz w:val="24"/>
          <w:szCs w:val="24"/>
        </w:rPr>
      </w:pPr>
    </w:p>
    <w:p w:rsidR="00630E3B" w:rsidRPr="00630E3B" w:rsidRDefault="00630E3B" w:rsidP="00630E3B">
      <w:pPr>
        <w:tabs>
          <w:tab w:val="left" w:pos="4143"/>
        </w:tabs>
        <w:jc w:val="center"/>
        <w:rPr>
          <w:sz w:val="24"/>
          <w:szCs w:val="24"/>
        </w:rPr>
      </w:pPr>
      <w:r w:rsidRPr="00630E3B">
        <w:rPr>
          <w:sz w:val="24"/>
          <w:szCs w:val="24"/>
        </w:rPr>
        <w:t>Долгосрочные параметры регулирования для АО «Объединенные электрические сети», в отношении которого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tbl>
      <w:tblPr>
        <w:tblW w:w="15220" w:type="dxa"/>
        <w:tblInd w:w="93" w:type="dxa"/>
        <w:tblLook w:val="04A0" w:firstRow="1" w:lastRow="0" w:firstColumn="1" w:lastColumn="0" w:noHBand="0" w:noVBand="1"/>
      </w:tblPr>
      <w:tblGrid>
        <w:gridCol w:w="924"/>
        <w:gridCol w:w="1840"/>
        <w:gridCol w:w="1026"/>
        <w:gridCol w:w="1649"/>
        <w:gridCol w:w="1649"/>
        <w:gridCol w:w="1649"/>
        <w:gridCol w:w="1491"/>
        <w:gridCol w:w="1928"/>
        <w:gridCol w:w="1507"/>
        <w:gridCol w:w="1557"/>
      </w:tblGrid>
      <w:tr w:rsidR="00630E3B" w:rsidRPr="00630E3B" w:rsidTr="00FB6FF3">
        <w:trPr>
          <w:trHeight w:val="2235"/>
        </w:trPr>
        <w:tc>
          <w:tcPr>
            <w:tcW w:w="924" w:type="dxa"/>
            <w:vMerge w:val="restart"/>
            <w:tcBorders>
              <w:top w:val="single" w:sz="4" w:space="0" w:color="auto"/>
              <w:left w:val="single" w:sz="4" w:space="0" w:color="auto"/>
              <w:bottom w:val="single" w:sz="4" w:space="0" w:color="000000"/>
              <w:right w:val="nil"/>
            </w:tcBorders>
            <w:shd w:val="clear" w:color="auto" w:fill="auto"/>
            <w:vAlign w:val="center"/>
            <w:hideMark/>
          </w:tcPr>
          <w:p w:rsidR="00630E3B" w:rsidRPr="00630E3B" w:rsidRDefault="00630E3B" w:rsidP="00630E3B">
            <w:pPr>
              <w:jc w:val="center"/>
            </w:pPr>
            <w:r w:rsidRPr="00630E3B">
              <w:t xml:space="preserve">№ </w:t>
            </w:r>
            <w:r w:rsidRPr="00630E3B">
              <w:br/>
              <w:t>п/п</w:t>
            </w:r>
          </w:p>
        </w:tc>
        <w:tc>
          <w:tcPr>
            <w:tcW w:w="1840" w:type="dxa"/>
            <w:vMerge w:val="restart"/>
            <w:tcBorders>
              <w:top w:val="single" w:sz="4" w:space="0" w:color="auto"/>
              <w:left w:val="single" w:sz="4" w:space="0" w:color="auto"/>
              <w:bottom w:val="single" w:sz="4" w:space="0" w:color="000000"/>
              <w:right w:val="nil"/>
            </w:tcBorders>
            <w:shd w:val="clear" w:color="auto" w:fill="auto"/>
            <w:vAlign w:val="center"/>
            <w:hideMark/>
          </w:tcPr>
          <w:p w:rsidR="00630E3B" w:rsidRPr="00630E3B" w:rsidRDefault="00630E3B" w:rsidP="00630E3B">
            <w:pPr>
              <w:jc w:val="center"/>
            </w:pPr>
            <w:r w:rsidRPr="00630E3B">
              <w:t>Наименование сетевой организации в субъекте Российской Федерации</w:t>
            </w:r>
          </w:p>
        </w:tc>
        <w:tc>
          <w:tcPr>
            <w:tcW w:w="1026" w:type="dxa"/>
            <w:vMerge w:val="restart"/>
            <w:tcBorders>
              <w:top w:val="single" w:sz="4" w:space="0" w:color="auto"/>
              <w:left w:val="single" w:sz="4" w:space="0" w:color="auto"/>
              <w:bottom w:val="single" w:sz="4" w:space="0" w:color="000000"/>
              <w:right w:val="nil"/>
            </w:tcBorders>
            <w:shd w:val="clear" w:color="auto" w:fill="auto"/>
            <w:vAlign w:val="center"/>
            <w:hideMark/>
          </w:tcPr>
          <w:p w:rsidR="00630E3B" w:rsidRPr="00630E3B" w:rsidRDefault="00630E3B" w:rsidP="00630E3B">
            <w:pPr>
              <w:jc w:val="center"/>
            </w:pPr>
            <w:r w:rsidRPr="00630E3B">
              <w:t>Год</w:t>
            </w:r>
          </w:p>
        </w:tc>
        <w:tc>
          <w:tcPr>
            <w:tcW w:w="1649" w:type="dxa"/>
            <w:tcBorders>
              <w:top w:val="single" w:sz="4" w:space="0" w:color="auto"/>
              <w:left w:val="single" w:sz="4" w:space="0" w:color="auto"/>
              <w:bottom w:val="nil"/>
              <w:right w:val="nil"/>
            </w:tcBorders>
            <w:shd w:val="clear" w:color="auto" w:fill="auto"/>
            <w:vAlign w:val="center"/>
            <w:hideMark/>
          </w:tcPr>
          <w:p w:rsidR="00630E3B" w:rsidRPr="00630E3B" w:rsidRDefault="00630E3B" w:rsidP="00630E3B">
            <w:pPr>
              <w:jc w:val="center"/>
            </w:pPr>
            <w:r w:rsidRPr="00630E3B">
              <w:t>Базовый уровень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630E3B" w:rsidRPr="00630E3B" w:rsidRDefault="00630E3B" w:rsidP="00630E3B">
            <w:pPr>
              <w:jc w:val="center"/>
            </w:pPr>
            <w:r w:rsidRPr="00630E3B">
              <w:t>Индекс эффективности подконтрольных расходов</w:t>
            </w:r>
          </w:p>
        </w:tc>
        <w:tc>
          <w:tcPr>
            <w:tcW w:w="1649" w:type="dxa"/>
            <w:tcBorders>
              <w:top w:val="single" w:sz="4" w:space="0" w:color="auto"/>
              <w:left w:val="single" w:sz="4" w:space="0" w:color="auto"/>
              <w:bottom w:val="nil"/>
              <w:right w:val="nil"/>
            </w:tcBorders>
            <w:shd w:val="clear" w:color="auto" w:fill="auto"/>
            <w:vAlign w:val="center"/>
            <w:hideMark/>
          </w:tcPr>
          <w:p w:rsidR="00630E3B" w:rsidRPr="00630E3B" w:rsidRDefault="00630E3B" w:rsidP="00630E3B">
            <w:pPr>
              <w:jc w:val="center"/>
            </w:pPr>
            <w:r w:rsidRPr="00630E3B">
              <w:t>Коэффициент эластичности подконтрольных расходов по количеству активов</w:t>
            </w:r>
          </w:p>
        </w:tc>
        <w:tc>
          <w:tcPr>
            <w:tcW w:w="1491" w:type="dxa"/>
            <w:tcBorders>
              <w:top w:val="single" w:sz="4" w:space="0" w:color="auto"/>
              <w:left w:val="single" w:sz="4" w:space="0" w:color="auto"/>
              <w:bottom w:val="nil"/>
              <w:right w:val="nil"/>
            </w:tcBorders>
            <w:shd w:val="clear" w:color="auto" w:fill="auto"/>
            <w:vAlign w:val="center"/>
            <w:hideMark/>
          </w:tcPr>
          <w:p w:rsidR="00630E3B" w:rsidRPr="00630E3B" w:rsidRDefault="00630E3B" w:rsidP="00630E3B">
            <w:pPr>
              <w:jc w:val="center"/>
            </w:pPr>
            <w:r w:rsidRPr="00630E3B">
              <w:t>Уровень потерь электрической энергии при ее передаче по электрическим сетям</w:t>
            </w:r>
          </w:p>
        </w:tc>
        <w:tc>
          <w:tcPr>
            <w:tcW w:w="1928" w:type="dxa"/>
            <w:tcBorders>
              <w:top w:val="single" w:sz="4" w:space="0" w:color="auto"/>
              <w:left w:val="single" w:sz="4" w:space="0" w:color="auto"/>
              <w:bottom w:val="nil"/>
              <w:right w:val="nil"/>
            </w:tcBorders>
            <w:shd w:val="clear" w:color="auto" w:fill="auto"/>
            <w:vAlign w:val="center"/>
            <w:hideMark/>
          </w:tcPr>
          <w:p w:rsidR="00630E3B" w:rsidRPr="00630E3B" w:rsidRDefault="00630E3B" w:rsidP="00630E3B">
            <w:pPr>
              <w:jc w:val="center"/>
            </w:pPr>
            <w:r w:rsidRPr="00630E3B">
              <w:t>Показатель средней продолжительности прекращения передачи электрической энергии на точку поставки</w:t>
            </w:r>
          </w:p>
        </w:tc>
        <w:tc>
          <w:tcPr>
            <w:tcW w:w="1507" w:type="dxa"/>
            <w:tcBorders>
              <w:top w:val="single" w:sz="4" w:space="0" w:color="auto"/>
              <w:left w:val="single" w:sz="4" w:space="0" w:color="auto"/>
              <w:bottom w:val="nil"/>
              <w:right w:val="single" w:sz="4" w:space="0" w:color="auto"/>
            </w:tcBorders>
            <w:shd w:val="clear" w:color="auto" w:fill="auto"/>
            <w:vAlign w:val="center"/>
            <w:hideMark/>
          </w:tcPr>
          <w:p w:rsidR="00630E3B" w:rsidRPr="00630E3B" w:rsidRDefault="00630E3B" w:rsidP="00630E3B">
            <w:pPr>
              <w:jc w:val="center"/>
            </w:pPr>
            <w:r w:rsidRPr="00630E3B">
              <w:t>Показатель средней частоты прекращения передачи электрической энергии на точку поставки</w:t>
            </w:r>
          </w:p>
        </w:tc>
        <w:tc>
          <w:tcPr>
            <w:tcW w:w="1557" w:type="dxa"/>
            <w:tcBorders>
              <w:top w:val="single" w:sz="4" w:space="0" w:color="auto"/>
              <w:left w:val="nil"/>
              <w:bottom w:val="nil"/>
              <w:right w:val="single" w:sz="4" w:space="0" w:color="auto"/>
            </w:tcBorders>
            <w:shd w:val="clear" w:color="auto" w:fill="auto"/>
            <w:vAlign w:val="center"/>
            <w:hideMark/>
          </w:tcPr>
          <w:p w:rsidR="00630E3B" w:rsidRPr="00630E3B" w:rsidRDefault="00630E3B" w:rsidP="00630E3B">
            <w:pPr>
              <w:jc w:val="center"/>
            </w:pPr>
            <w:r w:rsidRPr="00630E3B">
              <w:t>Показатель уровня качества оказываемых услуг</w:t>
            </w:r>
          </w:p>
        </w:tc>
      </w:tr>
      <w:tr w:rsidR="00630E3B" w:rsidRPr="00630E3B" w:rsidTr="00FB6FF3">
        <w:trPr>
          <w:trHeight w:val="300"/>
        </w:trPr>
        <w:tc>
          <w:tcPr>
            <w:tcW w:w="924" w:type="dxa"/>
            <w:vMerge/>
            <w:tcBorders>
              <w:top w:val="single" w:sz="4" w:space="0" w:color="auto"/>
              <w:left w:val="single" w:sz="4" w:space="0" w:color="auto"/>
              <w:bottom w:val="single" w:sz="4" w:space="0" w:color="000000"/>
              <w:right w:val="nil"/>
            </w:tcBorders>
            <w:vAlign w:val="center"/>
            <w:hideMark/>
          </w:tcPr>
          <w:p w:rsidR="00630E3B" w:rsidRPr="00630E3B" w:rsidRDefault="00630E3B" w:rsidP="00630E3B"/>
        </w:tc>
        <w:tc>
          <w:tcPr>
            <w:tcW w:w="1840" w:type="dxa"/>
            <w:vMerge/>
            <w:tcBorders>
              <w:top w:val="single" w:sz="4" w:space="0" w:color="auto"/>
              <w:left w:val="single" w:sz="4" w:space="0" w:color="auto"/>
              <w:bottom w:val="single" w:sz="4" w:space="0" w:color="000000"/>
              <w:right w:val="nil"/>
            </w:tcBorders>
            <w:vAlign w:val="center"/>
            <w:hideMark/>
          </w:tcPr>
          <w:p w:rsidR="00630E3B" w:rsidRPr="00630E3B" w:rsidRDefault="00630E3B" w:rsidP="00630E3B"/>
        </w:tc>
        <w:tc>
          <w:tcPr>
            <w:tcW w:w="1026" w:type="dxa"/>
            <w:vMerge/>
            <w:tcBorders>
              <w:top w:val="single" w:sz="4" w:space="0" w:color="auto"/>
              <w:left w:val="single" w:sz="4" w:space="0" w:color="auto"/>
              <w:bottom w:val="single" w:sz="4" w:space="0" w:color="000000"/>
              <w:right w:val="nil"/>
            </w:tcBorders>
            <w:vAlign w:val="center"/>
            <w:hideMark/>
          </w:tcPr>
          <w:p w:rsidR="00630E3B" w:rsidRPr="00630E3B" w:rsidRDefault="00630E3B" w:rsidP="00630E3B"/>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млн. руб.</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w:t>
            </w:r>
          </w:p>
        </w:tc>
        <w:tc>
          <w:tcPr>
            <w:tcW w:w="1649" w:type="dxa"/>
            <w:tcBorders>
              <w:top w:val="single" w:sz="4" w:space="0" w:color="auto"/>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w:t>
            </w:r>
          </w:p>
        </w:tc>
        <w:tc>
          <w:tcPr>
            <w:tcW w:w="1491" w:type="dxa"/>
            <w:tcBorders>
              <w:top w:val="single" w:sz="4" w:space="0" w:color="auto"/>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w:t>
            </w: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0E3B" w:rsidRPr="00630E3B" w:rsidRDefault="00630E3B" w:rsidP="00630E3B">
            <w:pPr>
              <w:jc w:val="center"/>
            </w:pPr>
            <w:r w:rsidRPr="00630E3B">
              <w:t>час</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630E3B" w:rsidRPr="00630E3B" w:rsidRDefault="00630E3B" w:rsidP="00630E3B">
            <w:pPr>
              <w:jc w:val="center"/>
            </w:pPr>
            <w:r w:rsidRPr="00630E3B">
              <w:t>шт</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630E3B" w:rsidRPr="00630E3B" w:rsidRDefault="00630E3B" w:rsidP="00630E3B">
            <w:pPr>
              <w:jc w:val="center"/>
            </w:pPr>
            <w:r w:rsidRPr="00630E3B">
              <w:t> </w:t>
            </w:r>
          </w:p>
        </w:tc>
      </w:tr>
      <w:tr w:rsidR="00630E3B" w:rsidRPr="00630E3B" w:rsidTr="00FB6FF3">
        <w:trPr>
          <w:trHeight w:val="300"/>
        </w:trPr>
        <w:tc>
          <w:tcPr>
            <w:tcW w:w="924" w:type="dxa"/>
            <w:tcBorders>
              <w:top w:val="nil"/>
              <w:left w:val="single" w:sz="4" w:space="0" w:color="auto"/>
              <w:bottom w:val="single" w:sz="4" w:space="0" w:color="auto"/>
              <w:right w:val="single" w:sz="4" w:space="0" w:color="auto"/>
            </w:tcBorders>
            <w:shd w:val="clear" w:color="auto" w:fill="auto"/>
            <w:vAlign w:val="center"/>
            <w:hideMark/>
          </w:tcPr>
          <w:p w:rsidR="00630E3B" w:rsidRPr="00630E3B" w:rsidRDefault="00630E3B" w:rsidP="00630E3B">
            <w:pPr>
              <w:jc w:val="center"/>
            </w:pPr>
            <w:r w:rsidRPr="00630E3B">
              <w:t>1</w:t>
            </w:r>
          </w:p>
        </w:tc>
        <w:tc>
          <w:tcPr>
            <w:tcW w:w="1840" w:type="dxa"/>
            <w:tcBorders>
              <w:top w:val="nil"/>
              <w:left w:val="nil"/>
              <w:bottom w:val="single" w:sz="4" w:space="0" w:color="auto"/>
              <w:right w:val="single" w:sz="4" w:space="0" w:color="auto"/>
            </w:tcBorders>
            <w:shd w:val="clear" w:color="auto" w:fill="auto"/>
            <w:vAlign w:val="center"/>
            <w:hideMark/>
          </w:tcPr>
          <w:p w:rsidR="00630E3B" w:rsidRPr="00630E3B" w:rsidRDefault="00630E3B" w:rsidP="00630E3B">
            <w:pPr>
              <w:jc w:val="center"/>
            </w:pPr>
            <w:r w:rsidRPr="00630E3B">
              <w:t>2</w:t>
            </w:r>
          </w:p>
        </w:tc>
        <w:tc>
          <w:tcPr>
            <w:tcW w:w="1026" w:type="dxa"/>
            <w:tcBorders>
              <w:top w:val="nil"/>
              <w:left w:val="nil"/>
              <w:bottom w:val="single" w:sz="4" w:space="0" w:color="auto"/>
              <w:right w:val="nil"/>
            </w:tcBorders>
            <w:shd w:val="clear" w:color="auto" w:fill="auto"/>
            <w:noWrap/>
            <w:vAlign w:val="center"/>
            <w:hideMark/>
          </w:tcPr>
          <w:p w:rsidR="00630E3B" w:rsidRPr="00630E3B" w:rsidRDefault="00630E3B" w:rsidP="00630E3B">
            <w:pPr>
              <w:jc w:val="center"/>
            </w:pPr>
            <w:r w:rsidRPr="00630E3B">
              <w:t>3</w:t>
            </w:r>
          </w:p>
        </w:tc>
        <w:tc>
          <w:tcPr>
            <w:tcW w:w="1649" w:type="dxa"/>
            <w:tcBorders>
              <w:top w:val="nil"/>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4</w:t>
            </w:r>
          </w:p>
        </w:tc>
        <w:tc>
          <w:tcPr>
            <w:tcW w:w="1649" w:type="dxa"/>
            <w:tcBorders>
              <w:top w:val="nil"/>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5</w:t>
            </w:r>
          </w:p>
        </w:tc>
        <w:tc>
          <w:tcPr>
            <w:tcW w:w="1649" w:type="dxa"/>
            <w:tcBorders>
              <w:top w:val="nil"/>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6</w:t>
            </w:r>
          </w:p>
        </w:tc>
        <w:tc>
          <w:tcPr>
            <w:tcW w:w="1491" w:type="dxa"/>
            <w:tcBorders>
              <w:top w:val="nil"/>
              <w:left w:val="single" w:sz="4" w:space="0" w:color="auto"/>
              <w:bottom w:val="single" w:sz="4" w:space="0" w:color="auto"/>
              <w:right w:val="nil"/>
            </w:tcBorders>
            <w:shd w:val="clear" w:color="auto" w:fill="auto"/>
            <w:noWrap/>
            <w:vAlign w:val="center"/>
            <w:hideMark/>
          </w:tcPr>
          <w:p w:rsidR="00630E3B" w:rsidRPr="00630E3B" w:rsidRDefault="00630E3B" w:rsidP="00630E3B">
            <w:pPr>
              <w:jc w:val="center"/>
            </w:pPr>
            <w:r w:rsidRPr="00630E3B">
              <w:t>7</w:t>
            </w:r>
          </w:p>
        </w:tc>
        <w:tc>
          <w:tcPr>
            <w:tcW w:w="1928" w:type="dxa"/>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8</w:t>
            </w:r>
          </w:p>
        </w:tc>
        <w:tc>
          <w:tcPr>
            <w:tcW w:w="1507"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9</w:t>
            </w:r>
          </w:p>
        </w:tc>
        <w:tc>
          <w:tcPr>
            <w:tcW w:w="1557"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10</w:t>
            </w:r>
          </w:p>
        </w:tc>
      </w:tr>
      <w:tr w:rsidR="00630E3B" w:rsidRPr="00630E3B" w:rsidTr="00FB6FF3">
        <w:trPr>
          <w:trHeight w:val="375"/>
        </w:trPr>
        <w:tc>
          <w:tcPr>
            <w:tcW w:w="9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1.</w:t>
            </w:r>
          </w:p>
        </w:tc>
        <w:tc>
          <w:tcPr>
            <w:tcW w:w="1840" w:type="dxa"/>
            <w:vMerge w:val="restart"/>
            <w:tcBorders>
              <w:top w:val="nil"/>
              <w:left w:val="single" w:sz="4" w:space="0" w:color="auto"/>
              <w:bottom w:val="single" w:sz="4" w:space="0" w:color="000000"/>
              <w:right w:val="nil"/>
            </w:tcBorders>
            <w:shd w:val="clear" w:color="000000" w:fill="FFFFFF"/>
            <w:vAlign w:val="center"/>
            <w:hideMark/>
          </w:tcPr>
          <w:p w:rsidR="00630E3B" w:rsidRPr="00630E3B" w:rsidRDefault="00630E3B" w:rsidP="00630E3B">
            <w:pPr>
              <w:jc w:val="center"/>
            </w:pPr>
            <w:r w:rsidRPr="00630E3B">
              <w:t>АО «Объединенные электрические сети»</w:t>
            </w:r>
          </w:p>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2022</w:t>
            </w:r>
          </w:p>
        </w:tc>
        <w:tc>
          <w:tcPr>
            <w:tcW w:w="1649" w:type="dxa"/>
            <w:tcBorders>
              <w:top w:val="nil"/>
              <w:left w:val="nil"/>
              <w:bottom w:val="single" w:sz="4" w:space="0" w:color="auto"/>
              <w:right w:val="nil"/>
            </w:tcBorders>
            <w:shd w:val="clear" w:color="000000" w:fill="FFFFFF"/>
            <w:noWrap/>
            <w:vAlign w:val="center"/>
            <w:hideMark/>
          </w:tcPr>
          <w:p w:rsidR="00630E3B" w:rsidRPr="00630E3B" w:rsidRDefault="00630E3B" w:rsidP="00630E3B">
            <w:pPr>
              <w:jc w:val="center"/>
            </w:pPr>
            <w:r w:rsidRPr="00630E3B">
              <w:t>385,73051</w:t>
            </w:r>
          </w:p>
        </w:tc>
        <w:tc>
          <w:tcPr>
            <w:tcW w:w="1649" w:type="dxa"/>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4,0</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75</w:t>
            </w:r>
          </w:p>
        </w:tc>
        <w:tc>
          <w:tcPr>
            <w:tcW w:w="1491" w:type="dxa"/>
            <w:tcBorders>
              <w:top w:val="nil"/>
              <w:left w:val="nil"/>
              <w:bottom w:val="single" w:sz="4" w:space="0" w:color="auto"/>
              <w:right w:val="nil"/>
            </w:tcBorders>
            <w:shd w:val="clear" w:color="auto" w:fill="auto"/>
            <w:noWrap/>
            <w:vAlign w:val="center"/>
            <w:hideMark/>
          </w:tcPr>
          <w:p w:rsidR="00630E3B" w:rsidRPr="00630E3B" w:rsidRDefault="00630E3B" w:rsidP="00630E3B">
            <w:pPr>
              <w:jc w:val="center"/>
            </w:pPr>
            <w:r w:rsidRPr="00630E3B">
              <w:t>8,06</w:t>
            </w:r>
          </w:p>
        </w:tc>
        <w:tc>
          <w:tcPr>
            <w:tcW w:w="1928" w:type="dxa"/>
            <w:tcBorders>
              <w:top w:val="nil"/>
              <w:left w:val="single" w:sz="4" w:space="0" w:color="auto"/>
              <w:bottom w:val="single" w:sz="4" w:space="0" w:color="auto"/>
              <w:right w:val="nil"/>
            </w:tcBorders>
            <w:shd w:val="clear" w:color="000000" w:fill="FFFFFF"/>
            <w:noWrap/>
            <w:hideMark/>
          </w:tcPr>
          <w:p w:rsidR="00630E3B" w:rsidRPr="00630E3B" w:rsidRDefault="00630E3B" w:rsidP="00630E3B">
            <w:pPr>
              <w:jc w:val="center"/>
            </w:pPr>
            <w:r w:rsidRPr="00630E3B">
              <w:t>1,91962</w:t>
            </w:r>
          </w:p>
        </w:tc>
        <w:tc>
          <w:tcPr>
            <w:tcW w:w="1507" w:type="dxa"/>
            <w:tcBorders>
              <w:top w:val="nil"/>
              <w:left w:val="single" w:sz="4" w:space="0" w:color="auto"/>
              <w:bottom w:val="single" w:sz="4" w:space="0" w:color="auto"/>
              <w:right w:val="single" w:sz="4" w:space="0" w:color="auto"/>
            </w:tcBorders>
            <w:shd w:val="clear" w:color="auto" w:fill="auto"/>
            <w:noWrap/>
            <w:hideMark/>
          </w:tcPr>
          <w:p w:rsidR="00630E3B" w:rsidRPr="00630E3B" w:rsidRDefault="00630E3B" w:rsidP="00630E3B">
            <w:pPr>
              <w:jc w:val="center"/>
            </w:pPr>
            <w:r w:rsidRPr="00630E3B">
              <w:t>0,89590</w:t>
            </w:r>
          </w:p>
        </w:tc>
        <w:tc>
          <w:tcPr>
            <w:tcW w:w="1557" w:type="dxa"/>
            <w:tcBorders>
              <w:top w:val="nil"/>
              <w:left w:val="nil"/>
              <w:bottom w:val="single" w:sz="4" w:space="0" w:color="auto"/>
              <w:right w:val="single" w:sz="4" w:space="0" w:color="auto"/>
            </w:tcBorders>
            <w:shd w:val="clear" w:color="auto" w:fill="auto"/>
            <w:noWrap/>
            <w:hideMark/>
          </w:tcPr>
          <w:p w:rsidR="00630E3B" w:rsidRPr="00630E3B" w:rsidRDefault="00630E3B" w:rsidP="00630E3B">
            <w:pPr>
              <w:jc w:val="center"/>
            </w:pPr>
            <w:r w:rsidRPr="00630E3B">
              <w:t>1,0000</w:t>
            </w:r>
          </w:p>
        </w:tc>
      </w:tr>
      <w:tr w:rsidR="00630E3B" w:rsidRPr="00630E3B" w:rsidTr="00FB6FF3">
        <w:trPr>
          <w:trHeight w:val="375"/>
        </w:trPr>
        <w:tc>
          <w:tcPr>
            <w:tcW w:w="924" w:type="dxa"/>
            <w:vMerge/>
            <w:tcBorders>
              <w:top w:val="nil"/>
              <w:left w:val="single" w:sz="4" w:space="0" w:color="auto"/>
              <w:bottom w:val="single" w:sz="4" w:space="0" w:color="auto"/>
              <w:right w:val="single" w:sz="4" w:space="0" w:color="auto"/>
            </w:tcBorders>
            <w:vAlign w:val="center"/>
            <w:hideMark/>
          </w:tcPr>
          <w:p w:rsidR="00630E3B" w:rsidRPr="00630E3B" w:rsidRDefault="00630E3B" w:rsidP="00630E3B"/>
        </w:tc>
        <w:tc>
          <w:tcPr>
            <w:tcW w:w="1840" w:type="dxa"/>
            <w:vMerge/>
            <w:tcBorders>
              <w:top w:val="nil"/>
              <w:left w:val="single" w:sz="4" w:space="0" w:color="auto"/>
              <w:bottom w:val="single" w:sz="4" w:space="0" w:color="000000"/>
              <w:right w:val="nil"/>
            </w:tcBorders>
            <w:vAlign w:val="center"/>
            <w:hideMark/>
          </w:tcPr>
          <w:p w:rsidR="00630E3B" w:rsidRPr="00630E3B" w:rsidRDefault="00630E3B" w:rsidP="00630E3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2023</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X</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4,0</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75</w:t>
            </w:r>
          </w:p>
        </w:tc>
        <w:tc>
          <w:tcPr>
            <w:tcW w:w="1491" w:type="dxa"/>
            <w:tcBorders>
              <w:top w:val="nil"/>
              <w:left w:val="nil"/>
              <w:bottom w:val="single" w:sz="4" w:space="0" w:color="auto"/>
              <w:right w:val="nil"/>
            </w:tcBorders>
            <w:shd w:val="clear" w:color="auto" w:fill="auto"/>
            <w:noWrap/>
            <w:vAlign w:val="center"/>
            <w:hideMark/>
          </w:tcPr>
          <w:p w:rsidR="00630E3B" w:rsidRPr="00630E3B" w:rsidRDefault="00630E3B" w:rsidP="00630E3B">
            <w:pPr>
              <w:jc w:val="center"/>
            </w:pPr>
            <w:r w:rsidRPr="00630E3B">
              <w:t>X</w:t>
            </w:r>
          </w:p>
        </w:tc>
        <w:tc>
          <w:tcPr>
            <w:tcW w:w="1928" w:type="dxa"/>
            <w:tcBorders>
              <w:top w:val="nil"/>
              <w:left w:val="single" w:sz="4" w:space="0" w:color="auto"/>
              <w:bottom w:val="single" w:sz="4" w:space="0" w:color="auto"/>
              <w:right w:val="nil"/>
            </w:tcBorders>
            <w:shd w:val="clear" w:color="000000" w:fill="FFFFFF"/>
            <w:noWrap/>
            <w:hideMark/>
          </w:tcPr>
          <w:p w:rsidR="00630E3B" w:rsidRPr="00630E3B" w:rsidRDefault="00630E3B" w:rsidP="00630E3B">
            <w:pPr>
              <w:jc w:val="center"/>
            </w:pPr>
            <w:r w:rsidRPr="00630E3B">
              <w:t>1,89082</w:t>
            </w:r>
          </w:p>
        </w:tc>
        <w:tc>
          <w:tcPr>
            <w:tcW w:w="1507" w:type="dxa"/>
            <w:tcBorders>
              <w:top w:val="nil"/>
              <w:left w:val="single" w:sz="4" w:space="0" w:color="auto"/>
              <w:bottom w:val="single" w:sz="4" w:space="0" w:color="auto"/>
              <w:right w:val="single" w:sz="4" w:space="0" w:color="auto"/>
            </w:tcBorders>
            <w:shd w:val="clear" w:color="auto" w:fill="auto"/>
            <w:noWrap/>
            <w:hideMark/>
          </w:tcPr>
          <w:p w:rsidR="00630E3B" w:rsidRPr="00630E3B" w:rsidRDefault="00630E3B" w:rsidP="00630E3B">
            <w:pPr>
              <w:jc w:val="center"/>
            </w:pPr>
            <w:r w:rsidRPr="00630E3B">
              <w:t>0,88246</w:t>
            </w:r>
          </w:p>
        </w:tc>
        <w:tc>
          <w:tcPr>
            <w:tcW w:w="1557" w:type="dxa"/>
            <w:tcBorders>
              <w:top w:val="nil"/>
              <w:left w:val="nil"/>
              <w:bottom w:val="single" w:sz="4" w:space="0" w:color="auto"/>
              <w:right w:val="single" w:sz="4" w:space="0" w:color="auto"/>
            </w:tcBorders>
            <w:shd w:val="clear" w:color="auto" w:fill="auto"/>
            <w:noWrap/>
            <w:hideMark/>
          </w:tcPr>
          <w:p w:rsidR="00630E3B" w:rsidRPr="00630E3B" w:rsidRDefault="00630E3B" w:rsidP="00630E3B">
            <w:pPr>
              <w:jc w:val="center"/>
            </w:pPr>
            <w:r w:rsidRPr="00630E3B">
              <w:t>1,0000</w:t>
            </w:r>
          </w:p>
        </w:tc>
      </w:tr>
      <w:tr w:rsidR="00630E3B" w:rsidRPr="00630E3B" w:rsidTr="00FB6FF3">
        <w:trPr>
          <w:trHeight w:val="375"/>
        </w:trPr>
        <w:tc>
          <w:tcPr>
            <w:tcW w:w="924" w:type="dxa"/>
            <w:vMerge/>
            <w:tcBorders>
              <w:top w:val="nil"/>
              <w:left w:val="single" w:sz="4" w:space="0" w:color="auto"/>
              <w:bottom w:val="single" w:sz="4" w:space="0" w:color="auto"/>
              <w:right w:val="single" w:sz="4" w:space="0" w:color="auto"/>
            </w:tcBorders>
            <w:vAlign w:val="center"/>
            <w:hideMark/>
          </w:tcPr>
          <w:p w:rsidR="00630E3B" w:rsidRPr="00630E3B" w:rsidRDefault="00630E3B" w:rsidP="00630E3B"/>
        </w:tc>
        <w:tc>
          <w:tcPr>
            <w:tcW w:w="1840" w:type="dxa"/>
            <w:vMerge/>
            <w:tcBorders>
              <w:top w:val="nil"/>
              <w:left w:val="single" w:sz="4" w:space="0" w:color="auto"/>
              <w:bottom w:val="single" w:sz="4" w:space="0" w:color="000000"/>
              <w:right w:val="nil"/>
            </w:tcBorders>
            <w:vAlign w:val="center"/>
            <w:hideMark/>
          </w:tcPr>
          <w:p w:rsidR="00630E3B" w:rsidRPr="00630E3B" w:rsidRDefault="00630E3B" w:rsidP="00630E3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2024</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X</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4,0</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75</w:t>
            </w:r>
          </w:p>
        </w:tc>
        <w:tc>
          <w:tcPr>
            <w:tcW w:w="1491" w:type="dxa"/>
            <w:tcBorders>
              <w:top w:val="nil"/>
              <w:left w:val="nil"/>
              <w:bottom w:val="single" w:sz="4" w:space="0" w:color="auto"/>
              <w:right w:val="nil"/>
            </w:tcBorders>
            <w:shd w:val="clear" w:color="auto" w:fill="auto"/>
            <w:noWrap/>
            <w:vAlign w:val="center"/>
            <w:hideMark/>
          </w:tcPr>
          <w:p w:rsidR="00630E3B" w:rsidRPr="00630E3B" w:rsidRDefault="00630E3B" w:rsidP="00630E3B">
            <w:pPr>
              <w:jc w:val="center"/>
            </w:pPr>
            <w:r w:rsidRPr="00630E3B">
              <w:t>X</w:t>
            </w:r>
          </w:p>
        </w:tc>
        <w:tc>
          <w:tcPr>
            <w:tcW w:w="1928" w:type="dxa"/>
            <w:tcBorders>
              <w:top w:val="nil"/>
              <w:left w:val="single" w:sz="4" w:space="0" w:color="auto"/>
              <w:bottom w:val="single" w:sz="4" w:space="0" w:color="auto"/>
              <w:right w:val="nil"/>
            </w:tcBorders>
            <w:shd w:val="clear" w:color="000000" w:fill="FFFFFF"/>
            <w:noWrap/>
            <w:hideMark/>
          </w:tcPr>
          <w:p w:rsidR="00630E3B" w:rsidRPr="00630E3B" w:rsidRDefault="00630E3B" w:rsidP="00630E3B">
            <w:pPr>
              <w:jc w:val="center"/>
            </w:pPr>
            <w:r w:rsidRPr="00630E3B">
              <w:t>1,86246</w:t>
            </w:r>
          </w:p>
        </w:tc>
        <w:tc>
          <w:tcPr>
            <w:tcW w:w="1507" w:type="dxa"/>
            <w:tcBorders>
              <w:top w:val="nil"/>
              <w:left w:val="single" w:sz="4" w:space="0" w:color="auto"/>
              <w:bottom w:val="single" w:sz="4" w:space="0" w:color="auto"/>
              <w:right w:val="single" w:sz="4" w:space="0" w:color="auto"/>
            </w:tcBorders>
            <w:shd w:val="clear" w:color="auto" w:fill="auto"/>
            <w:noWrap/>
            <w:hideMark/>
          </w:tcPr>
          <w:p w:rsidR="00630E3B" w:rsidRPr="00630E3B" w:rsidRDefault="00630E3B" w:rsidP="00630E3B">
            <w:pPr>
              <w:jc w:val="center"/>
            </w:pPr>
            <w:r w:rsidRPr="00630E3B">
              <w:t>0,86922</w:t>
            </w:r>
          </w:p>
        </w:tc>
        <w:tc>
          <w:tcPr>
            <w:tcW w:w="1557" w:type="dxa"/>
            <w:tcBorders>
              <w:top w:val="nil"/>
              <w:left w:val="nil"/>
              <w:bottom w:val="single" w:sz="4" w:space="0" w:color="auto"/>
              <w:right w:val="single" w:sz="4" w:space="0" w:color="auto"/>
            </w:tcBorders>
            <w:shd w:val="clear" w:color="auto" w:fill="auto"/>
            <w:noWrap/>
            <w:hideMark/>
          </w:tcPr>
          <w:p w:rsidR="00630E3B" w:rsidRPr="00630E3B" w:rsidRDefault="00630E3B" w:rsidP="00630E3B">
            <w:pPr>
              <w:jc w:val="center"/>
            </w:pPr>
            <w:r w:rsidRPr="00630E3B">
              <w:t>1,0000</w:t>
            </w:r>
          </w:p>
        </w:tc>
      </w:tr>
      <w:tr w:rsidR="00630E3B" w:rsidRPr="00630E3B" w:rsidTr="00FB6FF3">
        <w:trPr>
          <w:trHeight w:val="375"/>
        </w:trPr>
        <w:tc>
          <w:tcPr>
            <w:tcW w:w="924" w:type="dxa"/>
            <w:vMerge/>
            <w:tcBorders>
              <w:top w:val="nil"/>
              <w:left w:val="single" w:sz="4" w:space="0" w:color="auto"/>
              <w:bottom w:val="single" w:sz="4" w:space="0" w:color="auto"/>
              <w:right w:val="single" w:sz="4" w:space="0" w:color="auto"/>
            </w:tcBorders>
            <w:vAlign w:val="center"/>
            <w:hideMark/>
          </w:tcPr>
          <w:p w:rsidR="00630E3B" w:rsidRPr="00630E3B" w:rsidRDefault="00630E3B" w:rsidP="00630E3B"/>
        </w:tc>
        <w:tc>
          <w:tcPr>
            <w:tcW w:w="1840" w:type="dxa"/>
            <w:vMerge/>
            <w:tcBorders>
              <w:top w:val="nil"/>
              <w:left w:val="single" w:sz="4" w:space="0" w:color="auto"/>
              <w:bottom w:val="single" w:sz="4" w:space="0" w:color="000000"/>
              <w:right w:val="nil"/>
            </w:tcBorders>
            <w:vAlign w:val="center"/>
            <w:hideMark/>
          </w:tcPr>
          <w:p w:rsidR="00630E3B" w:rsidRPr="00630E3B" w:rsidRDefault="00630E3B" w:rsidP="00630E3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2025</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X</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4,0</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75</w:t>
            </w:r>
          </w:p>
        </w:tc>
        <w:tc>
          <w:tcPr>
            <w:tcW w:w="1491" w:type="dxa"/>
            <w:tcBorders>
              <w:top w:val="nil"/>
              <w:left w:val="nil"/>
              <w:bottom w:val="single" w:sz="4" w:space="0" w:color="auto"/>
              <w:right w:val="nil"/>
            </w:tcBorders>
            <w:shd w:val="clear" w:color="auto" w:fill="auto"/>
            <w:noWrap/>
            <w:vAlign w:val="center"/>
            <w:hideMark/>
          </w:tcPr>
          <w:p w:rsidR="00630E3B" w:rsidRPr="00630E3B" w:rsidRDefault="00630E3B" w:rsidP="00630E3B">
            <w:pPr>
              <w:jc w:val="center"/>
            </w:pPr>
            <w:r w:rsidRPr="00630E3B">
              <w:t>7,80</w:t>
            </w:r>
          </w:p>
        </w:tc>
        <w:tc>
          <w:tcPr>
            <w:tcW w:w="1928" w:type="dxa"/>
            <w:tcBorders>
              <w:top w:val="nil"/>
              <w:left w:val="single" w:sz="4" w:space="0" w:color="auto"/>
              <w:bottom w:val="single" w:sz="4" w:space="0" w:color="auto"/>
              <w:right w:val="nil"/>
            </w:tcBorders>
            <w:shd w:val="clear" w:color="000000" w:fill="FFFFFF"/>
            <w:noWrap/>
            <w:hideMark/>
          </w:tcPr>
          <w:p w:rsidR="00630E3B" w:rsidRPr="00630E3B" w:rsidRDefault="00630E3B" w:rsidP="00630E3B">
            <w:pPr>
              <w:jc w:val="center"/>
            </w:pPr>
            <w:r w:rsidRPr="00630E3B">
              <w:t>1,83452</w:t>
            </w:r>
          </w:p>
        </w:tc>
        <w:tc>
          <w:tcPr>
            <w:tcW w:w="1507" w:type="dxa"/>
            <w:tcBorders>
              <w:top w:val="nil"/>
              <w:left w:val="single" w:sz="4" w:space="0" w:color="auto"/>
              <w:bottom w:val="single" w:sz="4" w:space="0" w:color="auto"/>
              <w:right w:val="single" w:sz="4" w:space="0" w:color="auto"/>
            </w:tcBorders>
            <w:shd w:val="clear" w:color="auto" w:fill="auto"/>
            <w:noWrap/>
            <w:hideMark/>
          </w:tcPr>
          <w:p w:rsidR="00630E3B" w:rsidRPr="00630E3B" w:rsidRDefault="00630E3B" w:rsidP="00630E3B">
            <w:pPr>
              <w:jc w:val="center"/>
            </w:pPr>
            <w:r w:rsidRPr="00630E3B">
              <w:t>0,85619</w:t>
            </w:r>
          </w:p>
        </w:tc>
        <w:tc>
          <w:tcPr>
            <w:tcW w:w="1557" w:type="dxa"/>
            <w:tcBorders>
              <w:top w:val="nil"/>
              <w:left w:val="nil"/>
              <w:bottom w:val="single" w:sz="4" w:space="0" w:color="auto"/>
              <w:right w:val="single" w:sz="4" w:space="0" w:color="auto"/>
            </w:tcBorders>
            <w:shd w:val="clear" w:color="auto" w:fill="auto"/>
            <w:noWrap/>
            <w:hideMark/>
          </w:tcPr>
          <w:p w:rsidR="00630E3B" w:rsidRPr="00630E3B" w:rsidRDefault="00630E3B" w:rsidP="00630E3B">
            <w:pPr>
              <w:jc w:val="center"/>
            </w:pPr>
            <w:r w:rsidRPr="00630E3B">
              <w:t>1,0000</w:t>
            </w:r>
          </w:p>
        </w:tc>
      </w:tr>
      <w:tr w:rsidR="00630E3B" w:rsidRPr="00630E3B" w:rsidTr="00FB6FF3">
        <w:trPr>
          <w:trHeight w:val="375"/>
        </w:trPr>
        <w:tc>
          <w:tcPr>
            <w:tcW w:w="924" w:type="dxa"/>
            <w:vMerge/>
            <w:tcBorders>
              <w:top w:val="nil"/>
              <w:left w:val="single" w:sz="4" w:space="0" w:color="auto"/>
              <w:bottom w:val="single" w:sz="4" w:space="0" w:color="auto"/>
              <w:right w:val="single" w:sz="4" w:space="0" w:color="auto"/>
            </w:tcBorders>
            <w:vAlign w:val="center"/>
            <w:hideMark/>
          </w:tcPr>
          <w:p w:rsidR="00630E3B" w:rsidRPr="00630E3B" w:rsidRDefault="00630E3B" w:rsidP="00630E3B"/>
        </w:tc>
        <w:tc>
          <w:tcPr>
            <w:tcW w:w="1840" w:type="dxa"/>
            <w:vMerge/>
            <w:tcBorders>
              <w:top w:val="nil"/>
              <w:left w:val="single" w:sz="4" w:space="0" w:color="auto"/>
              <w:bottom w:val="single" w:sz="4" w:space="0" w:color="000000"/>
              <w:right w:val="nil"/>
            </w:tcBorders>
            <w:vAlign w:val="center"/>
            <w:hideMark/>
          </w:tcPr>
          <w:p w:rsidR="00630E3B" w:rsidRPr="00630E3B" w:rsidRDefault="00630E3B" w:rsidP="00630E3B"/>
        </w:tc>
        <w:tc>
          <w:tcPr>
            <w:tcW w:w="1026" w:type="dxa"/>
            <w:tcBorders>
              <w:top w:val="nil"/>
              <w:left w:val="single" w:sz="4" w:space="0" w:color="auto"/>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2026</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X</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4,0</w:t>
            </w:r>
          </w:p>
        </w:tc>
        <w:tc>
          <w:tcPr>
            <w:tcW w:w="1649" w:type="dxa"/>
            <w:tcBorders>
              <w:top w:val="nil"/>
              <w:left w:val="nil"/>
              <w:bottom w:val="single" w:sz="4" w:space="0" w:color="auto"/>
              <w:right w:val="single" w:sz="4" w:space="0" w:color="auto"/>
            </w:tcBorders>
            <w:shd w:val="clear" w:color="auto" w:fill="auto"/>
            <w:noWrap/>
            <w:vAlign w:val="center"/>
            <w:hideMark/>
          </w:tcPr>
          <w:p w:rsidR="00630E3B" w:rsidRPr="00630E3B" w:rsidRDefault="00630E3B" w:rsidP="00630E3B">
            <w:pPr>
              <w:jc w:val="center"/>
            </w:pPr>
            <w:r w:rsidRPr="00630E3B">
              <w:t>75</w:t>
            </w:r>
          </w:p>
        </w:tc>
        <w:tc>
          <w:tcPr>
            <w:tcW w:w="1491" w:type="dxa"/>
            <w:tcBorders>
              <w:top w:val="nil"/>
              <w:left w:val="nil"/>
              <w:bottom w:val="single" w:sz="4" w:space="0" w:color="auto"/>
              <w:right w:val="nil"/>
            </w:tcBorders>
            <w:shd w:val="clear" w:color="auto" w:fill="auto"/>
            <w:noWrap/>
            <w:vAlign w:val="center"/>
            <w:hideMark/>
          </w:tcPr>
          <w:p w:rsidR="00630E3B" w:rsidRPr="00630E3B" w:rsidRDefault="00630E3B" w:rsidP="00630E3B">
            <w:pPr>
              <w:jc w:val="center"/>
            </w:pPr>
            <w:r w:rsidRPr="00630E3B">
              <w:t>X</w:t>
            </w:r>
          </w:p>
        </w:tc>
        <w:tc>
          <w:tcPr>
            <w:tcW w:w="1928" w:type="dxa"/>
            <w:tcBorders>
              <w:top w:val="nil"/>
              <w:left w:val="single" w:sz="4" w:space="0" w:color="auto"/>
              <w:bottom w:val="single" w:sz="4" w:space="0" w:color="auto"/>
              <w:right w:val="nil"/>
            </w:tcBorders>
            <w:shd w:val="clear" w:color="000000" w:fill="FFFFFF"/>
            <w:noWrap/>
            <w:hideMark/>
          </w:tcPr>
          <w:p w:rsidR="00630E3B" w:rsidRPr="00630E3B" w:rsidRDefault="00630E3B" w:rsidP="00630E3B">
            <w:pPr>
              <w:jc w:val="center"/>
            </w:pPr>
            <w:r w:rsidRPr="00630E3B">
              <w:t>1,80700</w:t>
            </w:r>
          </w:p>
        </w:tc>
        <w:tc>
          <w:tcPr>
            <w:tcW w:w="1507" w:type="dxa"/>
            <w:tcBorders>
              <w:top w:val="nil"/>
              <w:left w:val="single" w:sz="4" w:space="0" w:color="auto"/>
              <w:bottom w:val="single" w:sz="4" w:space="0" w:color="auto"/>
              <w:right w:val="single" w:sz="4" w:space="0" w:color="auto"/>
            </w:tcBorders>
            <w:shd w:val="clear" w:color="auto" w:fill="auto"/>
            <w:noWrap/>
            <w:hideMark/>
          </w:tcPr>
          <w:p w:rsidR="00630E3B" w:rsidRPr="00630E3B" w:rsidRDefault="00630E3B" w:rsidP="00630E3B">
            <w:pPr>
              <w:jc w:val="center"/>
            </w:pPr>
            <w:r w:rsidRPr="00630E3B">
              <w:t>0,84334</w:t>
            </w:r>
          </w:p>
        </w:tc>
        <w:tc>
          <w:tcPr>
            <w:tcW w:w="1557" w:type="dxa"/>
            <w:tcBorders>
              <w:top w:val="nil"/>
              <w:left w:val="nil"/>
              <w:bottom w:val="single" w:sz="4" w:space="0" w:color="auto"/>
              <w:right w:val="single" w:sz="4" w:space="0" w:color="auto"/>
            </w:tcBorders>
            <w:shd w:val="clear" w:color="auto" w:fill="auto"/>
            <w:noWrap/>
            <w:hideMark/>
          </w:tcPr>
          <w:p w:rsidR="00630E3B" w:rsidRPr="00630E3B" w:rsidRDefault="00630E3B" w:rsidP="00630E3B">
            <w:pPr>
              <w:jc w:val="center"/>
            </w:pPr>
            <w:r w:rsidRPr="00630E3B">
              <w:t>1,0000</w:t>
            </w:r>
          </w:p>
        </w:tc>
      </w:tr>
    </w:tbl>
    <w:p w:rsidR="00630E3B" w:rsidRPr="00630E3B" w:rsidRDefault="00630E3B" w:rsidP="00630E3B">
      <w:pPr>
        <w:tabs>
          <w:tab w:val="left" w:pos="1276"/>
        </w:tabs>
        <w:autoSpaceDE w:val="0"/>
        <w:autoSpaceDN w:val="0"/>
        <w:adjustRightInd w:val="0"/>
        <w:ind w:right="-3" w:firstLine="5670"/>
        <w:jc w:val="both"/>
        <w:rPr>
          <w:sz w:val="24"/>
          <w:szCs w:val="24"/>
        </w:rPr>
      </w:pPr>
    </w:p>
    <w:p w:rsidR="00630E3B" w:rsidRPr="00630E3B" w:rsidRDefault="00630E3B" w:rsidP="00630E3B">
      <w:pPr>
        <w:tabs>
          <w:tab w:val="left" w:pos="1276"/>
        </w:tabs>
        <w:autoSpaceDE w:val="0"/>
        <w:autoSpaceDN w:val="0"/>
        <w:adjustRightInd w:val="0"/>
        <w:ind w:right="-3" w:firstLine="5670"/>
        <w:jc w:val="both"/>
        <w:rPr>
          <w:sz w:val="24"/>
          <w:szCs w:val="24"/>
        </w:rPr>
      </w:pPr>
    </w:p>
    <w:p w:rsidR="00630E3B" w:rsidRPr="00630E3B" w:rsidRDefault="00630E3B" w:rsidP="00630E3B">
      <w:pPr>
        <w:tabs>
          <w:tab w:val="left" w:pos="1276"/>
        </w:tabs>
        <w:autoSpaceDE w:val="0"/>
        <w:autoSpaceDN w:val="0"/>
        <w:adjustRightInd w:val="0"/>
        <w:ind w:right="-3" w:firstLine="5670"/>
        <w:jc w:val="both"/>
        <w:rPr>
          <w:sz w:val="24"/>
          <w:szCs w:val="24"/>
        </w:rPr>
        <w:sectPr w:rsidR="00630E3B" w:rsidRPr="00630E3B" w:rsidSect="00FB6FF3">
          <w:pgSz w:w="16840" w:h="11905" w:orient="landscape"/>
          <w:pgMar w:top="1418" w:right="851" w:bottom="851" w:left="992" w:header="0" w:footer="0" w:gutter="0"/>
          <w:cols w:space="720"/>
          <w:noEndnote/>
          <w:docGrid w:linePitch="299"/>
        </w:sectPr>
      </w:pPr>
    </w:p>
    <w:p w:rsidR="00630E3B" w:rsidRPr="00630E3B" w:rsidRDefault="00630E3B" w:rsidP="00630E3B">
      <w:pPr>
        <w:autoSpaceDE w:val="0"/>
        <w:autoSpaceDN w:val="0"/>
        <w:adjustRightInd w:val="0"/>
        <w:jc w:val="right"/>
        <w:rPr>
          <w:bCs/>
        </w:rPr>
      </w:pPr>
      <w:r w:rsidRPr="00630E3B">
        <w:rPr>
          <w:bCs/>
        </w:rPr>
        <w:lastRenderedPageBreak/>
        <w:t>Таблица 2</w:t>
      </w:r>
    </w:p>
    <w:p w:rsidR="00630E3B" w:rsidRPr="00630E3B" w:rsidRDefault="00630E3B" w:rsidP="00630E3B">
      <w:pPr>
        <w:autoSpaceDE w:val="0"/>
        <w:autoSpaceDN w:val="0"/>
        <w:adjustRightInd w:val="0"/>
        <w:jc w:val="center"/>
        <w:rPr>
          <w:bCs/>
        </w:rPr>
      </w:pPr>
      <w:r w:rsidRPr="00630E3B">
        <w:rPr>
          <w:bCs/>
        </w:rPr>
        <w:t>Необходимая валовая выручка АО «Объединенные электрические сети»</w:t>
      </w:r>
    </w:p>
    <w:p w:rsidR="00630E3B" w:rsidRPr="00630E3B" w:rsidRDefault="00630E3B" w:rsidP="00630E3B">
      <w:pPr>
        <w:autoSpaceDE w:val="0"/>
        <w:autoSpaceDN w:val="0"/>
        <w:adjustRightInd w:val="0"/>
        <w:jc w:val="center"/>
        <w:rPr>
          <w:b/>
          <w:bCs/>
        </w:rPr>
      </w:pPr>
      <w:r w:rsidRPr="00630E3B">
        <w:rPr>
          <w:bCs/>
        </w:rPr>
        <w:t>на долгосрочный период регулирования</w:t>
      </w:r>
    </w:p>
    <w:p w:rsidR="00630E3B" w:rsidRPr="00630E3B" w:rsidRDefault="00630E3B" w:rsidP="00630E3B">
      <w:pPr>
        <w:autoSpaceDE w:val="0"/>
        <w:autoSpaceDN w:val="0"/>
        <w:adjustRightInd w:val="0"/>
        <w:jc w:val="center"/>
        <w:rPr>
          <w:bCs/>
        </w:rPr>
      </w:pPr>
      <w:r w:rsidRPr="00630E3B">
        <w:rPr>
          <w:bCs/>
        </w:rPr>
        <w:t>(без учета оплаты потерь)</w:t>
      </w:r>
    </w:p>
    <w:p w:rsidR="00630E3B" w:rsidRPr="00630E3B" w:rsidRDefault="00630E3B" w:rsidP="00630E3B">
      <w:pPr>
        <w:autoSpaceDE w:val="0"/>
        <w:autoSpaceDN w:val="0"/>
        <w:adjustRightInd w:val="0"/>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66"/>
        <w:gridCol w:w="4025"/>
        <w:gridCol w:w="1077"/>
        <w:gridCol w:w="3401"/>
      </w:tblGrid>
      <w:tr w:rsidR="00630E3B" w:rsidRPr="00630E3B" w:rsidTr="00FB6FF3">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 п/п</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Наименование сетевой организации в субъекте Российской Федерации</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Год</w:t>
            </w:r>
          </w:p>
        </w:tc>
        <w:tc>
          <w:tcPr>
            <w:tcW w:w="3401"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Необходимая валовая выручка сетевых организаций без учета оплаты потерь</w:t>
            </w:r>
          </w:p>
        </w:tc>
      </w:tr>
      <w:tr w:rsidR="00630E3B" w:rsidRPr="00630E3B" w:rsidTr="00FB6FF3">
        <w:trPr>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p>
        </w:tc>
        <w:tc>
          <w:tcPr>
            <w:tcW w:w="1077" w:type="dxa"/>
            <w:vMerge/>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p>
        </w:tc>
        <w:tc>
          <w:tcPr>
            <w:tcW w:w="3401"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тыс. руб.</w:t>
            </w:r>
          </w:p>
        </w:tc>
      </w:tr>
      <w:tr w:rsidR="00630E3B" w:rsidRPr="00630E3B" w:rsidTr="00FB6FF3">
        <w:trPr>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1.</w:t>
            </w:r>
          </w:p>
        </w:tc>
        <w:tc>
          <w:tcPr>
            <w:tcW w:w="4025" w:type="dxa"/>
            <w:vMerge w:val="restart"/>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АО «Объединенные электрические сети»</w:t>
            </w:r>
          </w:p>
        </w:tc>
        <w:tc>
          <w:tcPr>
            <w:tcW w:w="1077"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2022</w:t>
            </w:r>
          </w:p>
        </w:tc>
        <w:tc>
          <w:tcPr>
            <w:tcW w:w="3401"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jc w:val="center"/>
            </w:pPr>
            <w:r w:rsidRPr="00630E3B">
              <w:t>575 552,67</w:t>
            </w:r>
          </w:p>
        </w:tc>
      </w:tr>
      <w:tr w:rsidR="00630E3B" w:rsidRPr="00630E3B" w:rsidTr="00FB6FF3">
        <w:trPr>
          <w:jc w:val="center"/>
        </w:trPr>
        <w:tc>
          <w:tcPr>
            <w:tcW w:w="566"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2023</w:t>
            </w:r>
          </w:p>
        </w:tc>
        <w:tc>
          <w:tcPr>
            <w:tcW w:w="3401"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jc w:val="center"/>
            </w:pPr>
            <w:r w:rsidRPr="00630E3B">
              <w:t>739 908,08</w:t>
            </w:r>
          </w:p>
        </w:tc>
      </w:tr>
      <w:tr w:rsidR="00630E3B" w:rsidRPr="00630E3B" w:rsidTr="00FB6FF3">
        <w:trPr>
          <w:jc w:val="center"/>
        </w:trPr>
        <w:tc>
          <w:tcPr>
            <w:tcW w:w="566"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2024</w:t>
            </w:r>
          </w:p>
        </w:tc>
        <w:tc>
          <w:tcPr>
            <w:tcW w:w="3401"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jc w:val="center"/>
            </w:pPr>
            <w:r w:rsidRPr="00630E3B">
              <w:t>856 538,20</w:t>
            </w:r>
          </w:p>
        </w:tc>
      </w:tr>
      <w:tr w:rsidR="00630E3B" w:rsidRPr="00630E3B" w:rsidTr="00FB6FF3">
        <w:trPr>
          <w:jc w:val="center"/>
        </w:trPr>
        <w:tc>
          <w:tcPr>
            <w:tcW w:w="566"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2025</w:t>
            </w:r>
          </w:p>
        </w:tc>
        <w:tc>
          <w:tcPr>
            <w:tcW w:w="3401"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jc w:val="center"/>
            </w:pPr>
            <w:r w:rsidRPr="00630E3B">
              <w:t>1 030 578,09</w:t>
            </w:r>
          </w:p>
        </w:tc>
      </w:tr>
      <w:tr w:rsidR="00630E3B" w:rsidRPr="00630E3B" w:rsidTr="00FB6FF3">
        <w:trPr>
          <w:jc w:val="center"/>
        </w:trPr>
        <w:tc>
          <w:tcPr>
            <w:tcW w:w="566"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4025" w:type="dxa"/>
            <w:vMerge/>
            <w:tcBorders>
              <w:top w:val="single" w:sz="4" w:space="0" w:color="auto"/>
              <w:left w:val="single" w:sz="4" w:space="0" w:color="auto"/>
              <w:bottom w:val="single" w:sz="4" w:space="0" w:color="auto"/>
              <w:right w:val="single" w:sz="4" w:space="0" w:color="auto"/>
            </w:tcBorders>
          </w:tcPr>
          <w:p w:rsidR="00630E3B" w:rsidRPr="00630E3B" w:rsidRDefault="00630E3B" w:rsidP="00630E3B">
            <w:pPr>
              <w:autoSpaceDE w:val="0"/>
              <w:autoSpaceDN w:val="0"/>
              <w:adjustRightInd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autoSpaceDE w:val="0"/>
              <w:autoSpaceDN w:val="0"/>
              <w:adjustRightInd w:val="0"/>
              <w:jc w:val="center"/>
            </w:pPr>
            <w:r w:rsidRPr="00630E3B">
              <w:t>2026</w:t>
            </w:r>
          </w:p>
        </w:tc>
        <w:tc>
          <w:tcPr>
            <w:tcW w:w="3401" w:type="dxa"/>
            <w:tcBorders>
              <w:top w:val="single" w:sz="4" w:space="0" w:color="auto"/>
              <w:left w:val="single" w:sz="4" w:space="0" w:color="auto"/>
              <w:bottom w:val="single" w:sz="4" w:space="0" w:color="auto"/>
              <w:right w:val="single" w:sz="4" w:space="0" w:color="auto"/>
            </w:tcBorders>
            <w:vAlign w:val="center"/>
          </w:tcPr>
          <w:p w:rsidR="00630E3B" w:rsidRPr="00630E3B" w:rsidRDefault="00630E3B" w:rsidP="00630E3B">
            <w:pPr>
              <w:jc w:val="center"/>
            </w:pPr>
            <w:r w:rsidRPr="00630E3B">
              <w:t>941 733,09</w:t>
            </w:r>
          </w:p>
        </w:tc>
      </w:tr>
    </w:tbl>
    <w:p w:rsidR="00630E3B" w:rsidRPr="00630E3B" w:rsidRDefault="00630E3B" w:rsidP="00630E3B">
      <w:pPr>
        <w:tabs>
          <w:tab w:val="left" w:pos="4143"/>
        </w:tabs>
        <w:rPr>
          <w:sz w:val="23"/>
          <w:szCs w:val="23"/>
        </w:rPr>
      </w:pPr>
    </w:p>
    <w:p w:rsidR="00630E3B" w:rsidRPr="00630E3B" w:rsidRDefault="00630E3B" w:rsidP="00630E3B">
      <w:pPr>
        <w:tabs>
          <w:tab w:val="left" w:pos="4020"/>
        </w:tabs>
        <w:spacing w:line="264" w:lineRule="auto"/>
        <w:ind w:firstLine="540"/>
        <w:rPr>
          <w:sz w:val="24"/>
          <w:szCs w:val="24"/>
        </w:rPr>
      </w:pPr>
    </w:p>
    <w:p w:rsidR="00630E3B" w:rsidRPr="00630E3B" w:rsidRDefault="00630E3B" w:rsidP="00630E3B">
      <w:pPr>
        <w:tabs>
          <w:tab w:val="left" w:pos="4020"/>
        </w:tabs>
        <w:spacing w:line="264" w:lineRule="auto"/>
        <w:ind w:firstLine="540"/>
        <w:rPr>
          <w:sz w:val="24"/>
          <w:szCs w:val="24"/>
        </w:rPr>
      </w:pPr>
      <w:r w:rsidRPr="00630E3B">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rPr>
                <w:sz w:val="24"/>
                <w:szCs w:val="24"/>
              </w:rPr>
            </w:pPr>
            <w:r w:rsidRPr="00630E3B">
              <w:rPr>
                <w:sz w:val="24"/>
                <w:szCs w:val="24"/>
              </w:rPr>
              <w:t>№ п/п</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rPr>
                <w:sz w:val="24"/>
                <w:szCs w:val="24"/>
              </w:rPr>
            </w:pPr>
            <w:r w:rsidRPr="00630E3B">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rPr>
                <w:sz w:val="24"/>
                <w:szCs w:val="24"/>
              </w:rPr>
            </w:pPr>
            <w:r w:rsidRPr="00630E3B">
              <w:rPr>
                <w:sz w:val="24"/>
                <w:szCs w:val="24"/>
              </w:rPr>
              <w:t>Результаты голосования</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1.</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2.</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3.</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4.</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5.</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6.</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7.</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540"/>
              <w:rPr>
                <w:sz w:val="24"/>
                <w:szCs w:val="24"/>
              </w:rPr>
            </w:pPr>
            <w:r w:rsidRPr="00630E3B">
              <w:rPr>
                <w:sz w:val="24"/>
                <w:szCs w:val="24"/>
              </w:rPr>
              <w:t>8.</w:t>
            </w:r>
          </w:p>
        </w:tc>
        <w:tc>
          <w:tcPr>
            <w:tcW w:w="2533"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15"/>
              <w:rPr>
                <w:sz w:val="24"/>
                <w:szCs w:val="24"/>
              </w:rPr>
            </w:pPr>
            <w:r w:rsidRPr="00630E3B">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tcPr>
          <w:p w:rsidR="00630E3B" w:rsidRPr="00630E3B" w:rsidRDefault="00630E3B" w:rsidP="00630E3B">
            <w:pPr>
              <w:tabs>
                <w:tab w:val="left" w:pos="4020"/>
              </w:tabs>
              <w:spacing w:line="264" w:lineRule="auto"/>
              <w:ind w:firstLine="33"/>
              <w:jc w:val="center"/>
              <w:rPr>
                <w:sz w:val="24"/>
                <w:szCs w:val="24"/>
              </w:rPr>
            </w:pPr>
            <w:r w:rsidRPr="00630E3B">
              <w:rPr>
                <w:sz w:val="24"/>
                <w:szCs w:val="24"/>
              </w:rPr>
              <w:t>против</w:t>
            </w:r>
          </w:p>
        </w:tc>
      </w:tr>
    </w:tbl>
    <w:p w:rsidR="00630E3B" w:rsidRPr="00630E3B" w:rsidRDefault="00630E3B" w:rsidP="00630E3B">
      <w:pPr>
        <w:tabs>
          <w:tab w:val="left" w:pos="4020"/>
        </w:tabs>
        <w:spacing w:line="264" w:lineRule="auto"/>
        <w:ind w:firstLine="540"/>
        <w:rPr>
          <w:sz w:val="24"/>
          <w:szCs w:val="24"/>
        </w:rPr>
      </w:pPr>
      <w:r w:rsidRPr="00630E3B">
        <w:rPr>
          <w:sz w:val="24"/>
          <w:szCs w:val="24"/>
        </w:rPr>
        <w:t>Итого: за – 7, против – 1, воздержался – 0, отсутствуют – 0.</w:t>
      </w:r>
    </w:p>
    <w:p w:rsidR="00630E3B" w:rsidRPr="00C62E6B" w:rsidRDefault="00630E3B" w:rsidP="00C62E6B">
      <w:pPr>
        <w:tabs>
          <w:tab w:val="left" w:pos="4020"/>
        </w:tabs>
        <w:spacing w:line="264" w:lineRule="auto"/>
        <w:ind w:firstLine="540"/>
        <w:rPr>
          <w:sz w:val="24"/>
          <w:szCs w:val="24"/>
        </w:rPr>
      </w:pPr>
    </w:p>
    <w:p w:rsidR="00C62E6B" w:rsidRDefault="00C62E6B" w:rsidP="00C62E6B">
      <w:pPr>
        <w:tabs>
          <w:tab w:val="left" w:pos="0"/>
          <w:tab w:val="left" w:pos="709"/>
          <w:tab w:val="left" w:pos="851"/>
        </w:tabs>
        <w:ind w:firstLine="567"/>
        <w:contextualSpacing/>
        <w:jc w:val="both"/>
        <w:rPr>
          <w:b/>
          <w:bCs/>
          <w:sz w:val="24"/>
          <w:szCs w:val="24"/>
        </w:rPr>
      </w:pPr>
      <w:r>
        <w:rPr>
          <w:b/>
          <w:bCs/>
          <w:sz w:val="24"/>
          <w:szCs w:val="24"/>
          <w:lang w:val="en-US"/>
        </w:rPr>
        <w:t>V</w:t>
      </w:r>
      <w:r>
        <w:rPr>
          <w:b/>
          <w:bCs/>
          <w:sz w:val="24"/>
          <w:szCs w:val="24"/>
        </w:rPr>
        <w:t xml:space="preserve">. СЛУШАЛИ: </w:t>
      </w:r>
      <w:r>
        <w:rPr>
          <w:b/>
          <w:bCs/>
          <w:sz w:val="24"/>
          <w:szCs w:val="24"/>
        </w:rPr>
        <w:tab/>
        <w:t>О внесении изменений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 (Морева, Коннова, Кузьмичева, Ухтин, Цымаенко).</w:t>
      </w:r>
    </w:p>
    <w:p w:rsidR="00C62E6B" w:rsidRDefault="00C62E6B" w:rsidP="00C62E6B">
      <w:pPr>
        <w:tabs>
          <w:tab w:val="left" w:pos="993"/>
          <w:tab w:val="left" w:pos="1418"/>
          <w:tab w:val="left" w:pos="4020"/>
        </w:tabs>
        <w:ind w:firstLine="567"/>
        <w:jc w:val="both"/>
        <w:rPr>
          <w:bCs/>
          <w:sz w:val="24"/>
          <w:szCs w:val="24"/>
        </w:rPr>
      </w:pPr>
      <w:r>
        <w:rPr>
          <w:bCs/>
          <w:sz w:val="24"/>
          <w:szCs w:val="24"/>
        </w:rPr>
        <w:t xml:space="preserve">Рассмотрено дело в части корректировки </w:t>
      </w:r>
      <w:r>
        <w:rPr>
          <w:sz w:val="24"/>
          <w:szCs w:val="24"/>
        </w:rPr>
        <w:t xml:space="preserve">НВВ на содержание электрических сетей на 2025 год, </w:t>
      </w:r>
      <w:r>
        <w:rPr>
          <w:bCs/>
          <w:sz w:val="24"/>
          <w:szCs w:val="24"/>
        </w:rPr>
        <w:t>принимаемой в расчет единых (котловых) и индивидуальных тарифов на услуги по передаче электрической энергии (без учета оплаты потерь), для филиала ПАО «Россети Центр и Приволжье» - «Ивэнерго» (далее – филиал «Ивэнерго») (долгосрочный период регулирования 2022-2026 гг.).</w:t>
      </w:r>
    </w:p>
    <w:p w:rsidR="00C62E6B" w:rsidRDefault="00C62E6B" w:rsidP="00C62E6B">
      <w:pPr>
        <w:tabs>
          <w:tab w:val="left" w:pos="993"/>
          <w:tab w:val="left" w:pos="1418"/>
          <w:tab w:val="left" w:pos="4020"/>
        </w:tabs>
        <w:ind w:firstLine="567"/>
        <w:jc w:val="both"/>
        <w:rPr>
          <w:sz w:val="24"/>
          <w:szCs w:val="24"/>
        </w:rPr>
      </w:pPr>
      <w:r>
        <w:rPr>
          <w:sz w:val="24"/>
          <w:szCs w:val="24"/>
        </w:rPr>
        <w:t>В соответствии с проведенной экспертизой установлено, что вышеуказанная сетевая организация соответствует Критериям отнесения владельцев объектов электросетевого хозяйства к территориальным сетевым организациям, утвержденным постановлением Правительства РФ от 28.02.2015 № 184.</w:t>
      </w:r>
    </w:p>
    <w:p w:rsidR="00C62E6B" w:rsidRDefault="00C62E6B" w:rsidP="00C62E6B">
      <w:pPr>
        <w:tabs>
          <w:tab w:val="left" w:pos="993"/>
          <w:tab w:val="left" w:pos="1418"/>
          <w:tab w:val="left" w:pos="4020"/>
        </w:tabs>
        <w:ind w:firstLine="567"/>
        <w:jc w:val="both"/>
        <w:rPr>
          <w:sz w:val="24"/>
          <w:szCs w:val="24"/>
        </w:rPr>
      </w:pPr>
      <w:r>
        <w:rPr>
          <w:sz w:val="24"/>
          <w:szCs w:val="24"/>
        </w:rPr>
        <w:t xml:space="preserve">Кроме того, филиал «Ивэнерго» </w:t>
      </w:r>
      <w:r>
        <w:rPr>
          <w:bCs/>
          <w:sz w:val="24"/>
          <w:szCs w:val="24"/>
        </w:rPr>
        <w:t>соответствует Критериям отнесения территориальной сетевой организации к крупнейшей территориальной сетевой организации в административных границах субъектах Российской Федерации, утвержденным приложением № 3(1) к Основам ценообразования в области регулируемых цен (тарифов) в электроэнергетике (далее – Основы ценообразования), утвержденным постановлением Правительства РФ от 29.12.2011 № 1178.</w:t>
      </w:r>
    </w:p>
    <w:p w:rsidR="00C62E6B" w:rsidRDefault="00C62E6B" w:rsidP="00C62E6B">
      <w:pPr>
        <w:ind w:firstLine="567"/>
        <w:jc w:val="both"/>
        <w:rPr>
          <w:sz w:val="24"/>
          <w:szCs w:val="24"/>
        </w:rPr>
      </w:pPr>
      <w:r>
        <w:rPr>
          <w:bCs/>
          <w:sz w:val="24"/>
          <w:szCs w:val="24"/>
        </w:rPr>
        <w:t>Департамент отмечает, что расчет произведен специалистами Департамента в</w:t>
      </w:r>
      <w:r>
        <w:rPr>
          <w:sz w:val="24"/>
          <w:szCs w:val="24"/>
        </w:rPr>
        <w:t xml:space="preserve"> соответствии с:</w:t>
      </w:r>
    </w:p>
    <w:p w:rsidR="00C62E6B" w:rsidRDefault="00C62E6B" w:rsidP="00C62E6B">
      <w:pPr>
        <w:ind w:firstLine="567"/>
        <w:jc w:val="both"/>
        <w:rPr>
          <w:bCs/>
          <w:sz w:val="24"/>
          <w:szCs w:val="24"/>
        </w:rPr>
      </w:pPr>
      <w:r>
        <w:rPr>
          <w:bCs/>
          <w:sz w:val="24"/>
          <w:szCs w:val="24"/>
        </w:rPr>
        <w:lastRenderedPageBreak/>
        <w:t>- Федеральным законом от 26.03.2003 № 35-ФЗ «Об электроэнергетике»,</w:t>
      </w:r>
    </w:p>
    <w:p w:rsidR="00C62E6B" w:rsidRDefault="00C62E6B" w:rsidP="00C62E6B">
      <w:pPr>
        <w:ind w:firstLine="567"/>
        <w:jc w:val="both"/>
        <w:rPr>
          <w:bCs/>
          <w:sz w:val="24"/>
          <w:szCs w:val="24"/>
        </w:rPr>
      </w:pPr>
      <w:r>
        <w:rPr>
          <w:bCs/>
          <w:sz w:val="24"/>
          <w:szCs w:val="24"/>
        </w:rPr>
        <w:t>- постановлением Правительства РФ от 29.12.2011 № 1178 «О ценообразовании в области регулируемых цен (тарифов) в электроэнергетике»,</w:t>
      </w:r>
    </w:p>
    <w:p w:rsidR="00C62E6B" w:rsidRDefault="00C62E6B" w:rsidP="00C62E6B">
      <w:pPr>
        <w:ind w:firstLine="567"/>
        <w:jc w:val="both"/>
        <w:rPr>
          <w:bCs/>
          <w:sz w:val="24"/>
          <w:szCs w:val="24"/>
        </w:rPr>
      </w:pPr>
      <w:r>
        <w:rPr>
          <w:bCs/>
          <w:sz w:val="24"/>
          <w:szCs w:val="24"/>
        </w:rPr>
        <w:t>- постановлением Правительства РФ от 28.02.2015 № 184 «Об отнесении владельцев объектов электросетевого хозяйства к территориальным сетевым организациям»,</w:t>
      </w:r>
    </w:p>
    <w:p w:rsidR="00C62E6B" w:rsidRDefault="00C62E6B" w:rsidP="00C62E6B">
      <w:pPr>
        <w:ind w:firstLine="567"/>
        <w:jc w:val="both"/>
        <w:rPr>
          <w:bCs/>
          <w:sz w:val="24"/>
          <w:szCs w:val="24"/>
        </w:rPr>
      </w:pPr>
      <w:r>
        <w:rPr>
          <w:bCs/>
          <w:sz w:val="24"/>
          <w:szCs w:val="24"/>
        </w:rPr>
        <w:t>-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РФ от 27.12.2004 № 861,</w:t>
      </w:r>
    </w:p>
    <w:p w:rsidR="00C62E6B" w:rsidRDefault="00C62E6B" w:rsidP="00C62E6B">
      <w:pPr>
        <w:ind w:firstLine="567"/>
        <w:jc w:val="both"/>
        <w:rPr>
          <w:bCs/>
          <w:sz w:val="24"/>
          <w:szCs w:val="24"/>
        </w:rPr>
      </w:pPr>
      <w:r>
        <w:rPr>
          <w:bCs/>
          <w:sz w:val="24"/>
          <w:szCs w:val="24"/>
        </w:rPr>
        <w:t>- постановлением Правительства РФ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C62E6B" w:rsidRDefault="00C62E6B" w:rsidP="00C62E6B">
      <w:pPr>
        <w:ind w:firstLine="567"/>
        <w:jc w:val="both"/>
        <w:rPr>
          <w:bCs/>
          <w:sz w:val="24"/>
          <w:szCs w:val="24"/>
        </w:rPr>
      </w:pPr>
      <w:r>
        <w:rPr>
          <w:bCs/>
          <w:sz w:val="24"/>
          <w:szCs w:val="24"/>
        </w:rPr>
        <w:t>- Стандартами раскрытия информации субъектами оптового и розничных рынков электрической энергии (далее – Стандарты раскрытия информации), утвержденными постановлением Правительства РФ от 21.01.2004 № 24,</w:t>
      </w:r>
    </w:p>
    <w:p w:rsidR="00C62E6B" w:rsidRDefault="00C62E6B" w:rsidP="00C62E6B">
      <w:pPr>
        <w:ind w:firstLine="567"/>
        <w:jc w:val="both"/>
        <w:rPr>
          <w:bCs/>
          <w:sz w:val="24"/>
          <w:szCs w:val="24"/>
        </w:rPr>
      </w:pPr>
      <w:r>
        <w:rPr>
          <w:bCs/>
          <w:sz w:val="24"/>
          <w:szCs w:val="24"/>
        </w:rPr>
        <w:t>- постановлением Правительства РФ от 10.09.2024 № 1229 «Об утверждении Правил заключения, исполнения, изменения,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типовой формы соглашения между системообразующей территориальной сетевой организацией, территориальной сетевой организацией,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а также штабом по обеспечению безопасности электроснабжения,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rsidR="00C62E6B" w:rsidRDefault="00C62E6B" w:rsidP="00C62E6B">
      <w:pPr>
        <w:ind w:firstLine="567"/>
        <w:jc w:val="both"/>
        <w:rPr>
          <w:bCs/>
          <w:sz w:val="24"/>
          <w:szCs w:val="24"/>
        </w:rPr>
      </w:pPr>
      <w:r>
        <w:rPr>
          <w:bCs/>
          <w:sz w:val="24"/>
          <w:szCs w:val="24"/>
        </w:rPr>
        <w:t>- приказом ФАС России от 31.10.2024 № 816/24 «Об утверждении цен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«Федеральная сетевая компания – Россети», на 2025 - 2029 годы и долгосрочных параметров регулирования деятельности публичного акционерного общества «Федеральная сетевая компания – Россети» с применением метода доходности инвестированного капитала на 2025 - 2029 годы»,</w:t>
      </w:r>
    </w:p>
    <w:p w:rsidR="00C62E6B" w:rsidRDefault="00C62E6B" w:rsidP="00C62E6B">
      <w:pPr>
        <w:ind w:firstLine="567"/>
        <w:jc w:val="both"/>
        <w:rPr>
          <w:bCs/>
          <w:sz w:val="24"/>
          <w:szCs w:val="24"/>
        </w:rPr>
      </w:pPr>
      <w:r>
        <w:rPr>
          <w:bCs/>
          <w:sz w:val="24"/>
          <w:szCs w:val="24"/>
        </w:rPr>
        <w:t>- прогнозным значением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единой национальной (общероссийской) электрической сети, на 2025 год по Ивановской области, опубликованным Ассоциацией «НП Совет рынка» в сети Интернет,</w:t>
      </w:r>
    </w:p>
    <w:p w:rsidR="00C62E6B" w:rsidRDefault="00C62E6B" w:rsidP="00C62E6B">
      <w:pPr>
        <w:ind w:firstLine="567"/>
        <w:jc w:val="both"/>
        <w:rPr>
          <w:bCs/>
          <w:sz w:val="24"/>
          <w:szCs w:val="24"/>
        </w:rPr>
      </w:pPr>
      <w:r>
        <w:rPr>
          <w:bCs/>
          <w:sz w:val="24"/>
          <w:szCs w:val="24"/>
        </w:rPr>
        <w:t>- приказом ФАС России от 11.10.2024 № 718/24 «О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2025 год»,</w:t>
      </w:r>
    </w:p>
    <w:p w:rsidR="00C62E6B" w:rsidRDefault="00C62E6B" w:rsidP="00C62E6B">
      <w:pPr>
        <w:ind w:firstLine="567"/>
        <w:jc w:val="both"/>
        <w:rPr>
          <w:bCs/>
          <w:sz w:val="24"/>
          <w:szCs w:val="24"/>
        </w:rPr>
      </w:pPr>
      <w:r>
        <w:rPr>
          <w:bCs/>
          <w:sz w:val="24"/>
          <w:szCs w:val="24"/>
        </w:rPr>
        <w:t>-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утвержденными приказом ФСТ России от 17.02.2012 № 98-э (далее – Методические указания № 98-э),</w:t>
      </w:r>
    </w:p>
    <w:p w:rsidR="00C62E6B" w:rsidRDefault="00C62E6B" w:rsidP="00C62E6B">
      <w:pPr>
        <w:ind w:firstLine="567"/>
        <w:jc w:val="both"/>
        <w:rPr>
          <w:bCs/>
          <w:sz w:val="24"/>
          <w:szCs w:val="24"/>
        </w:rPr>
      </w:pPr>
      <w:r>
        <w:rPr>
          <w:bCs/>
          <w:sz w:val="24"/>
          <w:szCs w:val="24"/>
        </w:rPr>
        <w:t>- Методическими указаниями по расчету регулируемых тарифов и цен на электрическую (тепловую) энергию на розничном (потребительском) рынке, утвержденными приказом ФСТ России от 06.08.2004 № 20-э/2 (далее – Методические указания № 20-э/2),</w:t>
      </w:r>
    </w:p>
    <w:p w:rsidR="00C62E6B" w:rsidRDefault="00C62E6B" w:rsidP="00C62E6B">
      <w:pPr>
        <w:ind w:firstLine="567"/>
        <w:jc w:val="both"/>
        <w:rPr>
          <w:bCs/>
          <w:sz w:val="24"/>
          <w:szCs w:val="24"/>
        </w:rPr>
      </w:pPr>
      <w:r>
        <w:rPr>
          <w:bCs/>
          <w:sz w:val="24"/>
          <w:szCs w:val="24"/>
        </w:rPr>
        <w:t xml:space="preserve">- приказом ФСТ России от 11.09.2014 № 215-э/1 «Об утверждении Методических указаний </w:t>
      </w:r>
      <w:r>
        <w:rPr>
          <w:bCs/>
          <w:sz w:val="24"/>
          <w:szCs w:val="24"/>
        </w:rPr>
        <w:lastRenderedPageBreak/>
        <w:t>по определению выпадающих доходов, связанных с осуществлением технологического присоединения к электрическим сетям»,</w:t>
      </w:r>
    </w:p>
    <w:p w:rsidR="00C62E6B" w:rsidRDefault="00C62E6B" w:rsidP="00C62E6B">
      <w:pPr>
        <w:ind w:firstLine="567"/>
        <w:jc w:val="both"/>
        <w:rPr>
          <w:bCs/>
          <w:sz w:val="24"/>
          <w:szCs w:val="24"/>
        </w:rPr>
      </w:pPr>
      <w:r>
        <w:rPr>
          <w:bCs/>
          <w:sz w:val="24"/>
          <w:szCs w:val="24"/>
        </w:rPr>
        <w:t>- Сводным прогнозным балансом производства и поставок электрической энергии (мощности) в рамках ЕЭС России по Ивановской области на 2025 год, утвержденным приказом ФАС России от 11.10.2024 № 720/24-ДСП,</w:t>
      </w:r>
    </w:p>
    <w:p w:rsidR="00C62E6B" w:rsidRDefault="00C62E6B" w:rsidP="00C62E6B">
      <w:pPr>
        <w:ind w:firstLine="567"/>
        <w:jc w:val="both"/>
        <w:rPr>
          <w:bCs/>
          <w:sz w:val="24"/>
          <w:szCs w:val="24"/>
        </w:rPr>
      </w:pPr>
      <w:r>
        <w:rPr>
          <w:bCs/>
          <w:sz w:val="24"/>
          <w:szCs w:val="24"/>
        </w:rPr>
        <w:t>- приказом ФАС России от 27.11.2024 № 785/23 «Об утверждении индикативных цен на электрическую энергию и на мощность для населения и приравненных к нему категорий потребителей на 2025 год, а также индикативных цен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на 2025 год»,</w:t>
      </w:r>
    </w:p>
    <w:p w:rsidR="00C62E6B" w:rsidRDefault="00C62E6B" w:rsidP="00C62E6B">
      <w:pPr>
        <w:ind w:firstLine="567"/>
        <w:jc w:val="both"/>
        <w:rPr>
          <w:bCs/>
          <w:sz w:val="24"/>
          <w:szCs w:val="24"/>
        </w:rPr>
      </w:pPr>
      <w:r>
        <w:rPr>
          <w:bCs/>
          <w:sz w:val="24"/>
          <w:szCs w:val="24"/>
        </w:rPr>
        <w:t>- макроэкономическими показателями одобренного Правительством РФ Прогноза социально-экономического развития Российской Федерации на 2025 год и на плановый период 2026 и 2027 годов (размещен на официальном сайте Минэкономразвития России 30.09.2024г.),</w:t>
      </w:r>
    </w:p>
    <w:p w:rsidR="00C62E6B" w:rsidRDefault="00C62E6B" w:rsidP="00C62E6B">
      <w:pPr>
        <w:ind w:firstLine="567"/>
        <w:jc w:val="both"/>
        <w:rPr>
          <w:bCs/>
          <w:sz w:val="24"/>
          <w:szCs w:val="24"/>
        </w:rPr>
      </w:pPr>
      <w:r>
        <w:rPr>
          <w:bCs/>
          <w:sz w:val="24"/>
          <w:szCs w:val="24"/>
        </w:rPr>
        <w:t>- приказом Минэнерго России от 16.10.2024 № 1916 «Об утверждении нормативов потерь электрической энергии при ее передаче по единой национальной (общероссийской) электрической сети, осуществляемой публичным акционерным обществом «Федеральная сетевая компания - Россети» с использованием объектов электросетевого хозяйства, принадлежащих публичному акционерному обществу «Федеральная сетевая компания — Россети» на праве собственности или ином законном основании, на 2025 год»,</w:t>
      </w:r>
    </w:p>
    <w:p w:rsidR="00C62E6B" w:rsidRDefault="00C62E6B" w:rsidP="00C62E6B">
      <w:pPr>
        <w:ind w:firstLine="567"/>
        <w:jc w:val="both"/>
        <w:rPr>
          <w:bCs/>
          <w:sz w:val="24"/>
          <w:szCs w:val="24"/>
        </w:rPr>
      </w:pPr>
      <w:r>
        <w:rPr>
          <w:bCs/>
          <w:sz w:val="24"/>
          <w:szCs w:val="24"/>
        </w:rPr>
        <w:t>- приказом Минэнерго России от 29.11.2016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w:t>
      </w:r>
    </w:p>
    <w:p w:rsidR="00C62E6B" w:rsidRDefault="00C62E6B" w:rsidP="00C62E6B">
      <w:pPr>
        <w:ind w:firstLine="567"/>
        <w:jc w:val="both"/>
        <w:rPr>
          <w:bCs/>
          <w:sz w:val="24"/>
          <w:szCs w:val="24"/>
        </w:rPr>
      </w:pPr>
      <w:r>
        <w:rPr>
          <w:bCs/>
          <w:sz w:val="24"/>
          <w:szCs w:val="24"/>
        </w:rPr>
        <w:t>- Методическими указаниями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ФСТ России от 26.10.2010 № 254-э/1,</w:t>
      </w:r>
    </w:p>
    <w:p w:rsidR="00C62E6B" w:rsidRDefault="00C62E6B" w:rsidP="00C62E6B">
      <w:pPr>
        <w:ind w:firstLine="567"/>
        <w:jc w:val="both"/>
        <w:rPr>
          <w:bCs/>
          <w:sz w:val="24"/>
          <w:szCs w:val="24"/>
        </w:rPr>
      </w:pPr>
      <w:r>
        <w:rPr>
          <w:bCs/>
          <w:sz w:val="24"/>
          <w:szCs w:val="24"/>
        </w:rPr>
        <w:t>- приказом Минэнерго России от 26.09.2017 № 887 «Об утверждении нормативов потерь электрической энергии при ее передаче по электрическим сетям территориальных сетевых организаций»,</w:t>
      </w:r>
    </w:p>
    <w:p w:rsidR="00C62E6B" w:rsidRDefault="00C62E6B" w:rsidP="00C62E6B">
      <w:pPr>
        <w:ind w:firstLine="567"/>
        <w:jc w:val="both"/>
        <w:rPr>
          <w:bCs/>
          <w:sz w:val="24"/>
          <w:szCs w:val="24"/>
        </w:rPr>
      </w:pPr>
      <w:r>
        <w:rPr>
          <w:bCs/>
          <w:sz w:val="24"/>
          <w:szCs w:val="24"/>
        </w:rPr>
        <w:t>- приказом Минэнерго России от 05.12.2024 № 27 «Об утверждении инвестиционной программы ПАО «Россети Центр и Приволжье» на 2024 – 2028 годы и изменений, вносимых в инвестиционную программу ПАО «Россети Центр и Приволжье», утвержденную приказом Минэнерго России от 16.11.2022 № 24@, с изменениями, внесенными приказом Минэнерго России от 19.12.2023 № 28@»,</w:t>
      </w:r>
    </w:p>
    <w:p w:rsidR="00C62E6B" w:rsidRDefault="00C62E6B" w:rsidP="00C62E6B">
      <w:pPr>
        <w:ind w:firstLine="567"/>
        <w:jc w:val="both"/>
        <w:rPr>
          <w:bCs/>
          <w:sz w:val="24"/>
          <w:szCs w:val="24"/>
        </w:rPr>
      </w:pPr>
      <w:r>
        <w:rPr>
          <w:bCs/>
          <w:sz w:val="24"/>
          <w:szCs w:val="24"/>
        </w:rPr>
        <w:t>- указом Губернатора Ивановской области от 06.09.2024 № 75-уг «Об определении системообразующей территориальной сетевой организации в Ивановской области на 2025 - 2029 годы».</w:t>
      </w:r>
    </w:p>
    <w:p w:rsidR="00C62E6B" w:rsidRDefault="00C62E6B" w:rsidP="00C62E6B">
      <w:pPr>
        <w:ind w:firstLine="567"/>
        <w:jc w:val="both"/>
        <w:rPr>
          <w:sz w:val="24"/>
          <w:szCs w:val="24"/>
        </w:rPr>
      </w:pPr>
      <w:r>
        <w:rPr>
          <w:sz w:val="24"/>
          <w:szCs w:val="24"/>
        </w:rPr>
        <w:t>Основные показатели деятельности филиала «Ивэнерго», принимаемые в расчет единых (котловых) и индивидуальных тарифов на услуги по передаче электрической энергии на 2025 год, а также принимаемые при установлении НВВ, приведены в приложениях к протоколу.</w:t>
      </w:r>
    </w:p>
    <w:p w:rsidR="00C62E6B" w:rsidRDefault="00C62E6B" w:rsidP="00C62E6B">
      <w:pPr>
        <w:ind w:firstLine="567"/>
        <w:jc w:val="both"/>
        <w:rPr>
          <w:sz w:val="24"/>
          <w:szCs w:val="24"/>
        </w:rPr>
      </w:pPr>
      <w:r>
        <w:rPr>
          <w:sz w:val="24"/>
          <w:szCs w:val="24"/>
        </w:rPr>
        <w:t>По результатам экспертизы подготовлены расчетные материалы и соответствующее экспертное заключение.</w:t>
      </w:r>
    </w:p>
    <w:p w:rsidR="00C62E6B" w:rsidRDefault="00C62E6B" w:rsidP="00C62E6B">
      <w:pPr>
        <w:ind w:firstLine="567"/>
        <w:jc w:val="both"/>
        <w:rPr>
          <w:bCs/>
          <w:sz w:val="24"/>
          <w:szCs w:val="24"/>
        </w:rPr>
      </w:pPr>
      <w:r>
        <w:rPr>
          <w:bCs/>
          <w:sz w:val="24"/>
          <w:szCs w:val="24"/>
        </w:rPr>
        <w:t>Необходимо внести соответствующие изменения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 изложив приложение 2 к постановлению Департамента энергетики и тарифов Ивановской области от 29.12.2021 № 60-э/1.</w:t>
      </w:r>
    </w:p>
    <w:p w:rsidR="00C62E6B" w:rsidRDefault="00C62E6B" w:rsidP="00C62E6B">
      <w:pPr>
        <w:ind w:firstLine="567"/>
        <w:jc w:val="both"/>
        <w:rPr>
          <w:bCs/>
          <w:sz w:val="24"/>
          <w:szCs w:val="24"/>
        </w:rPr>
      </w:pPr>
      <w:r>
        <w:rPr>
          <w:bCs/>
          <w:sz w:val="24"/>
          <w:szCs w:val="24"/>
        </w:rPr>
        <w:t xml:space="preserve">Филиал «Ивэнерго» письмом от 10.12.2024 № МР7-ИвЭ/25-2/7055 не согласовывает предлагаемую к утверждению величину НВВ на 2025 год, участвующую в расчете тарифов на </w:t>
      </w:r>
      <w:r>
        <w:rPr>
          <w:bCs/>
          <w:sz w:val="24"/>
          <w:szCs w:val="24"/>
        </w:rPr>
        <w:lastRenderedPageBreak/>
        <w:t>услуги по передаче электрической энергии (мощности) на 2025 год, по следующим основаниям.</w:t>
      </w:r>
    </w:p>
    <w:p w:rsidR="00C62E6B" w:rsidRDefault="00C62E6B" w:rsidP="00C62E6B">
      <w:pPr>
        <w:ind w:firstLine="567"/>
        <w:jc w:val="both"/>
        <w:rPr>
          <w:bCs/>
          <w:sz w:val="24"/>
          <w:szCs w:val="24"/>
        </w:rPr>
      </w:pPr>
      <w:r>
        <w:rPr>
          <w:bCs/>
          <w:sz w:val="24"/>
          <w:szCs w:val="24"/>
        </w:rPr>
        <w:t>Филиал «Ивэнерго» 09.12.2024 г. в 14-49 получил по электронной почте уточненные материалы по вопросу установления необходимой валовой выручки на содержание электрических сетей (без учета оплаты потерь) (далее – НВВ) к заседанию Правления Департамента, назначенному на 14-00 10.12.2024г. Представленные материалы не содержат проект экспертного заключения.</w:t>
      </w:r>
    </w:p>
    <w:p w:rsidR="00C62E6B" w:rsidRDefault="00C62E6B" w:rsidP="00C62E6B">
      <w:pPr>
        <w:ind w:firstLine="567"/>
        <w:jc w:val="both"/>
        <w:rPr>
          <w:bCs/>
          <w:sz w:val="24"/>
          <w:szCs w:val="24"/>
        </w:rPr>
      </w:pPr>
      <w:r>
        <w:rPr>
          <w:bCs/>
          <w:sz w:val="24"/>
          <w:szCs w:val="24"/>
        </w:rPr>
        <w:t xml:space="preserve">Согласно представленному Департаментом расчету об установлении НВВ и долгосрочных параметров регулирования для филиала «Ивэнерго», НВВ Филиала на 2025 год составит 5 469 603,85 тыс. руб., в том числе собственная НВВ на содержание (без учета расходов на услуги ПАО «ФСК ЕЭС») 4 096 999,48 тыс. руб., что выше утвержденной на 2024 год собственной НВВ филиала «Ивэнерго» на 11,35 % или 417 500,51 тыс. руб. </w:t>
      </w:r>
    </w:p>
    <w:p w:rsidR="00C62E6B" w:rsidRDefault="00C62E6B" w:rsidP="00C62E6B">
      <w:pPr>
        <w:ind w:firstLine="567"/>
        <w:jc w:val="both"/>
        <w:rPr>
          <w:bCs/>
          <w:sz w:val="24"/>
          <w:szCs w:val="24"/>
        </w:rPr>
      </w:pPr>
      <w:r>
        <w:rPr>
          <w:bCs/>
          <w:sz w:val="24"/>
          <w:szCs w:val="24"/>
        </w:rPr>
        <w:t>Департамент отмечает, что в соответствии с пунктом 25 Правил государственного регулирования (пересмотра, применения) цен (тарифов) в электроэнергетике, утвержденных постановлением Правительства от 29.12.2011 № 1178, 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rsidR="00C62E6B" w:rsidRDefault="00C62E6B" w:rsidP="00C62E6B">
      <w:pPr>
        <w:ind w:firstLine="567"/>
        <w:jc w:val="both"/>
        <w:rPr>
          <w:bCs/>
          <w:sz w:val="24"/>
          <w:szCs w:val="24"/>
        </w:rPr>
      </w:pPr>
      <w:r>
        <w:rPr>
          <w:bCs/>
          <w:sz w:val="24"/>
          <w:szCs w:val="24"/>
        </w:rPr>
        <w:t>В адрес филиала ПАО «Россети Центр и Приволжье» - «Ивэнерго» подробные расчетные материалы по данному вопросу были направлены с соблюдением сроков, предусмотренных действующими нормативными документами. Направление к заседанию Правления в адрес регулируемой организации экспертного заключения действующим законодательством не предусмотрено.</w:t>
      </w:r>
    </w:p>
    <w:p w:rsidR="00C62E6B" w:rsidRDefault="00C62E6B" w:rsidP="00C62E6B">
      <w:pPr>
        <w:ind w:firstLine="567"/>
        <w:jc w:val="both"/>
        <w:rPr>
          <w:bCs/>
          <w:sz w:val="24"/>
          <w:szCs w:val="24"/>
        </w:rPr>
      </w:pPr>
      <w:r>
        <w:rPr>
          <w:bCs/>
          <w:sz w:val="24"/>
          <w:szCs w:val="24"/>
        </w:rPr>
        <w:t>Филиал «Ивэнерго» выражает свое несогласие по следующим параметрам тарифного решения на 2025 год.</w:t>
      </w:r>
    </w:p>
    <w:p w:rsidR="00C62E6B" w:rsidRDefault="00C62E6B" w:rsidP="00C62E6B">
      <w:pPr>
        <w:ind w:firstLine="567"/>
        <w:jc w:val="both"/>
        <w:rPr>
          <w:b/>
          <w:bCs/>
          <w:i/>
          <w:sz w:val="24"/>
          <w:szCs w:val="24"/>
        </w:rPr>
      </w:pPr>
    </w:p>
    <w:p w:rsidR="00C62E6B" w:rsidRDefault="00C62E6B" w:rsidP="00C62E6B">
      <w:pPr>
        <w:ind w:firstLine="567"/>
        <w:jc w:val="both"/>
        <w:rPr>
          <w:bCs/>
          <w:sz w:val="24"/>
          <w:szCs w:val="24"/>
        </w:rPr>
      </w:pPr>
      <w:r>
        <w:rPr>
          <w:b/>
          <w:bCs/>
          <w:sz w:val="24"/>
          <w:szCs w:val="24"/>
        </w:rPr>
        <w:t>1.</w:t>
      </w:r>
      <w:r>
        <w:rPr>
          <w:bCs/>
          <w:sz w:val="24"/>
          <w:szCs w:val="24"/>
        </w:rPr>
        <w:t xml:space="preserve"> </w:t>
      </w:r>
      <w:r>
        <w:rPr>
          <w:b/>
          <w:bCs/>
          <w:sz w:val="24"/>
          <w:szCs w:val="24"/>
        </w:rPr>
        <w:t>Подконтрольные расходы.</w:t>
      </w:r>
    </w:p>
    <w:p w:rsidR="00C62E6B" w:rsidRDefault="00C62E6B" w:rsidP="00C62E6B">
      <w:pPr>
        <w:ind w:firstLine="567"/>
        <w:jc w:val="both"/>
        <w:rPr>
          <w:bCs/>
          <w:sz w:val="24"/>
          <w:szCs w:val="24"/>
        </w:rPr>
      </w:pPr>
      <w:r>
        <w:rPr>
          <w:bCs/>
          <w:sz w:val="24"/>
          <w:szCs w:val="24"/>
        </w:rPr>
        <w:t>Филиал «Ивэнерго» направил в Департамент уточненные тарифные предложения о размере тарифов на услуги по передаче электрической энергии на 2025 год, долгосрочных параметров регулирования с применением метода долгосрочной индексации НВВ и величине скорректированной НВВ филиала «Ивэнерго» на 2025 год и до конца долгосрочного периода (до 2026 года включительно), в том числе предложения с расчетом уровня подконтрольных расходов по пункту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(далее – Методические указания № 98-э), утвержденных приказом ФСТ России от 17.02.2012 № 98-э (от 14.11.2024 № МР7-ИвЭ/25-2/6436).</w:t>
      </w:r>
    </w:p>
    <w:p w:rsidR="00C62E6B" w:rsidRDefault="00C62E6B" w:rsidP="00C62E6B">
      <w:pPr>
        <w:ind w:firstLine="567"/>
        <w:jc w:val="both"/>
        <w:rPr>
          <w:bCs/>
          <w:sz w:val="24"/>
          <w:szCs w:val="24"/>
        </w:rPr>
      </w:pPr>
      <w:r>
        <w:rPr>
          <w:bCs/>
          <w:sz w:val="24"/>
          <w:szCs w:val="24"/>
        </w:rPr>
        <w:t>Департаментом при расчете величины подконтрольных расходов на 2025 год условные единицы определены в количестве 78 750,31 У.Е., вместо заявленных филиалом «Ивэнерго» 83 818,78 У.Е. Филиал «Ивэнерго» не согласен с позицией Департамента по следующим причинам:</w:t>
      </w:r>
    </w:p>
    <w:p w:rsidR="00C62E6B" w:rsidRDefault="00C62E6B" w:rsidP="00C62E6B">
      <w:pPr>
        <w:ind w:firstLine="567"/>
        <w:jc w:val="both"/>
        <w:rPr>
          <w:bCs/>
          <w:sz w:val="24"/>
          <w:szCs w:val="24"/>
        </w:rPr>
      </w:pPr>
      <w:r>
        <w:rPr>
          <w:bCs/>
          <w:sz w:val="24"/>
          <w:szCs w:val="24"/>
        </w:rPr>
        <w:t>При расчете У.Е. Департаментом не учитываются:</w:t>
      </w:r>
    </w:p>
    <w:p w:rsidR="00C62E6B" w:rsidRDefault="00C62E6B" w:rsidP="00C62E6B">
      <w:pPr>
        <w:widowControl/>
        <w:numPr>
          <w:ilvl w:val="0"/>
          <w:numId w:val="37"/>
        </w:numPr>
        <w:ind w:left="0" w:firstLine="567"/>
        <w:jc w:val="both"/>
        <w:rPr>
          <w:bCs/>
          <w:sz w:val="24"/>
          <w:szCs w:val="24"/>
        </w:rPr>
      </w:pPr>
      <w:r>
        <w:rPr>
          <w:bCs/>
          <w:sz w:val="24"/>
          <w:szCs w:val="24"/>
        </w:rPr>
        <w:t>Разъединители на ВЛ 6-10 кВ, тогда как согласно примечаниям к таблице П2.2 «Объем подстанций 35 - 1150 кВ, трансформаторных подстанций (ТП), комплексных трансформаторных подстанций (КТП) и распределительных пунктов (РП) 0,4 - 20 кВ в условных единицах» Методических указаний по расчету регулируемых тарифов и цен на электрическую (тепловую) энергию на розничном (потребительском) рынке (далее – Методические указания № 20-э/2), утвержденных приказом ФСТ России от 06.08.2004 № 20-э/2, значение условных единиц п. п. 4 и 6 «Масляные выключатели 1 - 20 кВ» и «Выключатели нагрузки 1 - 20 кВ» относятся к коммутационным аппаратам, установленным в распределительных устройствах 1 - 20 кВ подстанций 35 - 1150 кВ, ТП, КТП и РП 1 - 20 кВ, а также к секционирующим коммутационным аппаратам на линиях 1 - 20 кВ.</w:t>
      </w:r>
    </w:p>
    <w:p w:rsidR="00C62E6B" w:rsidRDefault="00C62E6B" w:rsidP="00C62E6B">
      <w:pPr>
        <w:ind w:firstLine="567"/>
        <w:jc w:val="both"/>
        <w:rPr>
          <w:bCs/>
          <w:sz w:val="24"/>
          <w:szCs w:val="24"/>
        </w:rPr>
      </w:pPr>
      <w:r>
        <w:rPr>
          <w:bCs/>
          <w:sz w:val="24"/>
          <w:szCs w:val="24"/>
        </w:rPr>
        <w:t xml:space="preserve">Письмами Федеральной антимонопольной службы РФ № ВК/92979/17 от 28.12.2017 и № ВК/20800/17 от 30.03.2017г. (прилагаются) даны разъяснения, что учет в п. 6 «Выключатели нагрузки 1-20 кВ» Таблицы П2.2 разъединителей 1-20кВ, установленных на воздушных линиях </w:t>
      </w:r>
      <w:r>
        <w:rPr>
          <w:bCs/>
          <w:sz w:val="24"/>
          <w:szCs w:val="24"/>
        </w:rPr>
        <w:lastRenderedPageBreak/>
        <w:t>для целей секционирования, соответствует вышеуказанным Методическим указаниям № 20-э/2;</w:t>
      </w:r>
    </w:p>
    <w:p w:rsidR="00C62E6B" w:rsidRDefault="00C62E6B" w:rsidP="00C62E6B">
      <w:pPr>
        <w:widowControl/>
        <w:numPr>
          <w:ilvl w:val="0"/>
          <w:numId w:val="37"/>
        </w:numPr>
        <w:ind w:left="0" w:firstLine="567"/>
        <w:jc w:val="both"/>
        <w:rPr>
          <w:bCs/>
          <w:sz w:val="24"/>
          <w:szCs w:val="24"/>
        </w:rPr>
      </w:pPr>
      <w:r>
        <w:rPr>
          <w:bCs/>
          <w:sz w:val="24"/>
          <w:szCs w:val="24"/>
        </w:rPr>
        <w:t>У.Е., запланированные к вводу в соответствии с инвестиционной программой (далее – ИПР) до конца 2024 года и на плановый 2025 год в нарушение пункта 34 Основ ценообразования, положениями которого определено, что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территориальных сетевых организаций, НВВ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rsidR="00C62E6B" w:rsidRDefault="00C62E6B" w:rsidP="00C62E6B">
      <w:pPr>
        <w:ind w:firstLine="567"/>
        <w:jc w:val="both"/>
        <w:rPr>
          <w:bCs/>
          <w:sz w:val="24"/>
          <w:szCs w:val="24"/>
        </w:rPr>
      </w:pPr>
      <w:r>
        <w:rPr>
          <w:bCs/>
          <w:sz w:val="24"/>
          <w:szCs w:val="24"/>
        </w:rPr>
        <w:t>Согласно пункту 11 Методических указаний № 98-э при определении подконтрольных расходов учитывается среднегодовое (среднее за 12 месяцев) количество условных единиц, относящихся к активам и объектам электросетевого хозяйства, в том числе вводимым в эксплуатацию в соответствии с долгосрочной ИПР, определяемое без учета месяца ввода в эксплуатацию, планируемых к эксплуатации в соответствующем году долгосрочного периода регулирования, а при наличии известных фактических значений используется фактическое среднегодовое (среднее за 12 месяцев) количество условных единиц на соответствующий год долгосрочного периода регулирования, который определяется с учетом фактического объема активов и объектов электросетевого хозяйства, участвующих в регулируемой деятельности, без учета месяца ввода в эксплуатацию, в том числе в соответствии с долгосрочной ИПР.</w:t>
      </w:r>
    </w:p>
    <w:p w:rsidR="00C62E6B" w:rsidRDefault="00C62E6B" w:rsidP="00C62E6B">
      <w:pPr>
        <w:widowControl/>
        <w:numPr>
          <w:ilvl w:val="0"/>
          <w:numId w:val="37"/>
        </w:numPr>
        <w:ind w:left="0" w:firstLine="567"/>
        <w:jc w:val="both"/>
        <w:rPr>
          <w:bCs/>
          <w:sz w:val="24"/>
          <w:szCs w:val="24"/>
        </w:rPr>
      </w:pPr>
      <w:r>
        <w:rPr>
          <w:bCs/>
          <w:sz w:val="24"/>
          <w:szCs w:val="24"/>
        </w:rPr>
        <w:t>У.Е. по выявленным бесхозяйным объектам электросетевого хозяйства, расходы по содержанию и эксплуатации которых возникают у филиала «Ивэнерго» с 01.01.2025г.</w:t>
      </w:r>
    </w:p>
    <w:p w:rsidR="00C62E6B" w:rsidRDefault="00C62E6B" w:rsidP="00C62E6B">
      <w:pPr>
        <w:ind w:firstLine="567"/>
        <w:jc w:val="both"/>
        <w:rPr>
          <w:bCs/>
          <w:sz w:val="24"/>
          <w:szCs w:val="24"/>
        </w:rPr>
      </w:pPr>
      <w:r>
        <w:rPr>
          <w:bCs/>
          <w:sz w:val="24"/>
          <w:szCs w:val="24"/>
        </w:rPr>
        <w:t>Филиал «Ивэнерго» обращает внимание, что количество однотрансформаторных ТП, КТП, находящихся в собственности филиала «Ивэнерго», принятое на 2025г. Департаментом в количестве 3835 шт., значительно меньше количества, предоставленного в заявке филиала «Ивэнерго». По состоянию на 01.09.2024г. по данным автоматизированной системы управления производственными активами количество данного оборудования составляет 4062 шт. Перечень ТП со всеми данными направлялся в Департамент письмом от 30.10.2024 № МР7-ИвЭ/09-1/6154.</w:t>
      </w:r>
      <w:r>
        <w:rPr>
          <w:bCs/>
          <w:sz w:val="24"/>
          <w:szCs w:val="24"/>
        </w:rPr>
        <w:tab/>
      </w:r>
    </w:p>
    <w:p w:rsidR="00C62E6B" w:rsidRDefault="00C62E6B" w:rsidP="00C62E6B">
      <w:pPr>
        <w:ind w:firstLine="567"/>
        <w:jc w:val="both"/>
        <w:rPr>
          <w:bCs/>
          <w:sz w:val="24"/>
          <w:szCs w:val="24"/>
        </w:rPr>
      </w:pPr>
      <w:r>
        <w:rPr>
          <w:bCs/>
          <w:sz w:val="24"/>
          <w:szCs w:val="24"/>
        </w:rPr>
        <w:t>В материалах к Правлению, направленных Департаментом в адрес филиала «Ивэнерго», не представлена посхемная информация об исключенном оборудовании (в том числе, резервном), отсутствует информация об учтенном/исключенном количестве У.Е. в соответствии с долгосрочной инвестиционной программой, в связи с чем, нет возможности проанализировать представленный Департаментом расчет У.Е. на предмет его корректности.</w:t>
      </w:r>
    </w:p>
    <w:p w:rsidR="00C62E6B" w:rsidRDefault="00C62E6B" w:rsidP="00C62E6B">
      <w:pPr>
        <w:ind w:firstLine="567"/>
        <w:jc w:val="both"/>
        <w:rPr>
          <w:bCs/>
          <w:sz w:val="24"/>
          <w:szCs w:val="24"/>
        </w:rPr>
      </w:pPr>
      <w:r>
        <w:rPr>
          <w:bCs/>
          <w:sz w:val="24"/>
          <w:szCs w:val="24"/>
        </w:rPr>
        <w:t>В связи с этим, филиал «Ивэнерго» считает необходимым в НВВ на 2025 год при расчете подконтрольных расходов учесть все количество заявленных условных единиц, а также учесть условные единицы филиала «Ивэнерго», запланированные в соответствии с ИПР к вводу до конца 2025 года.</w:t>
      </w:r>
    </w:p>
    <w:p w:rsidR="00C62E6B" w:rsidRDefault="00C62E6B" w:rsidP="00C62E6B">
      <w:pPr>
        <w:tabs>
          <w:tab w:val="left" w:pos="8415"/>
        </w:tabs>
        <w:ind w:firstLine="567"/>
        <w:jc w:val="both"/>
        <w:rPr>
          <w:bCs/>
          <w:sz w:val="24"/>
          <w:szCs w:val="24"/>
        </w:rPr>
      </w:pPr>
      <w:r>
        <w:rPr>
          <w:bCs/>
          <w:sz w:val="24"/>
          <w:szCs w:val="24"/>
        </w:rPr>
        <w:t>Департамент по вышеперечисленным доводам отмечает следующее.</w:t>
      </w:r>
    </w:p>
    <w:p w:rsidR="00C62E6B" w:rsidRDefault="00C62E6B" w:rsidP="00C62E6B">
      <w:pPr>
        <w:ind w:firstLine="567"/>
        <w:jc w:val="both"/>
        <w:rPr>
          <w:b/>
          <w:bCs/>
          <w:sz w:val="24"/>
          <w:szCs w:val="24"/>
        </w:rPr>
      </w:pPr>
      <w:r>
        <w:rPr>
          <w:bCs/>
          <w:sz w:val="24"/>
          <w:szCs w:val="24"/>
        </w:rPr>
        <w:t>Плановые подконтрольные расходы на 2025 год определены Экспертной группой по формуле 9.3 Методических указаний № 98-э исходя из базового уровня подконтрольных расходов (ПР</w:t>
      </w:r>
      <w:r>
        <w:rPr>
          <w:bCs/>
          <w:sz w:val="24"/>
          <w:szCs w:val="24"/>
          <w:vertAlign w:val="subscript"/>
        </w:rPr>
        <w:t xml:space="preserve">1 </w:t>
      </w:r>
      <w:r>
        <w:rPr>
          <w:bCs/>
          <w:sz w:val="24"/>
          <w:szCs w:val="24"/>
        </w:rPr>
        <w:t>) на первый (базовый) год долгосрочного периода регулирования (2022 год) и произведения коэффициентов индексации (</w:t>
      </w:r>
      <w:proofErr w:type="spellStart"/>
      <w:r>
        <w:rPr>
          <w:bCs/>
          <w:sz w:val="24"/>
          <w:szCs w:val="24"/>
        </w:rPr>
        <w:t>К</w:t>
      </w:r>
      <w:r>
        <w:rPr>
          <w:bCs/>
          <w:sz w:val="24"/>
          <w:szCs w:val="24"/>
          <w:vertAlign w:val="subscript"/>
        </w:rPr>
        <w:t>индj</w:t>
      </w:r>
      <w:proofErr w:type="spellEnd"/>
      <w:r>
        <w:rPr>
          <w:bCs/>
          <w:sz w:val="24"/>
          <w:szCs w:val="24"/>
        </w:rPr>
        <w:t xml:space="preserve"> ) на 2023, 2024 и 2025 годы и составляют </w:t>
      </w:r>
      <w:r>
        <w:rPr>
          <w:b/>
          <w:bCs/>
          <w:sz w:val="24"/>
          <w:szCs w:val="24"/>
        </w:rPr>
        <w:t>1 973 763,57</w:t>
      </w:r>
      <w:r>
        <w:rPr>
          <w:bCs/>
          <w:sz w:val="24"/>
          <w:szCs w:val="24"/>
        </w:rPr>
        <w:t xml:space="preserve"> тыс. руб.:</w:t>
      </w:r>
    </w:p>
    <w:p w:rsidR="00C62E6B" w:rsidRDefault="00C62E6B" w:rsidP="00C62E6B">
      <w:pPr>
        <w:ind w:firstLine="567"/>
        <w:jc w:val="both"/>
        <w:rPr>
          <w:bCs/>
          <w:sz w:val="24"/>
          <w:szCs w:val="24"/>
        </w:rPr>
      </w:pPr>
    </w:p>
    <w:p w:rsidR="00C62E6B" w:rsidRDefault="00C62E6B" w:rsidP="00C62E6B">
      <w:pPr>
        <w:ind w:firstLine="567"/>
        <w:jc w:val="both"/>
        <w:rPr>
          <w:b/>
          <w:bCs/>
          <w:sz w:val="24"/>
          <w:szCs w:val="24"/>
        </w:rPr>
      </w:pPr>
      <w:r>
        <w:rPr>
          <w:bCs/>
          <w:sz w:val="24"/>
          <w:szCs w:val="24"/>
        </w:rPr>
        <w:t>1 652 300,41 х 1,045532 х 1,102393 х 1,036412 = 1 973 763,57 тыс. руб.</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lastRenderedPageBreak/>
        <w:t>Коэффициенты индексации (</w:t>
      </w:r>
      <w:proofErr w:type="spellStart"/>
      <w:r>
        <w:rPr>
          <w:bCs/>
          <w:sz w:val="24"/>
          <w:szCs w:val="24"/>
        </w:rPr>
        <w:t>К</w:t>
      </w:r>
      <w:r>
        <w:rPr>
          <w:bCs/>
          <w:sz w:val="24"/>
          <w:szCs w:val="24"/>
          <w:vertAlign w:val="subscript"/>
        </w:rPr>
        <w:t>индj</w:t>
      </w:r>
      <w:proofErr w:type="spellEnd"/>
      <w:r>
        <w:rPr>
          <w:bCs/>
          <w:sz w:val="24"/>
          <w:szCs w:val="24"/>
        </w:rPr>
        <w:t xml:space="preserve"> ) на 2023, 2024 и 2025 годы определены Экспертной группой по формуле 9.4 Методических указаний № 98-э исходя из индекса эффективности подконтрольных расходов (</w:t>
      </w:r>
      <w:proofErr w:type="spellStart"/>
      <w:r>
        <w:rPr>
          <w:bCs/>
          <w:sz w:val="24"/>
          <w:szCs w:val="24"/>
        </w:rPr>
        <w:t>X</w:t>
      </w:r>
      <w:r>
        <w:rPr>
          <w:bCs/>
          <w:sz w:val="24"/>
          <w:szCs w:val="24"/>
          <w:vertAlign w:val="subscript"/>
        </w:rPr>
        <w:t>j</w:t>
      </w:r>
      <w:proofErr w:type="spellEnd"/>
      <w:r>
        <w:rPr>
          <w:bCs/>
          <w:sz w:val="24"/>
          <w:szCs w:val="24"/>
          <w:vertAlign w:val="subscript"/>
        </w:rPr>
        <w:t xml:space="preserve"> </w:t>
      </w:r>
      <w:r>
        <w:rPr>
          <w:bCs/>
          <w:sz w:val="24"/>
          <w:szCs w:val="24"/>
        </w:rPr>
        <w:t>), установленного Департаментом на 2023-2025 годы, фактического, оценочного и прогнозного годовых значений индекса потребительских цен (</w:t>
      </w:r>
      <w:proofErr w:type="spellStart"/>
      <w:r>
        <w:rPr>
          <w:bCs/>
          <w:sz w:val="24"/>
          <w:szCs w:val="24"/>
        </w:rPr>
        <w:t>I</w:t>
      </w:r>
      <w:r>
        <w:rPr>
          <w:bCs/>
          <w:sz w:val="24"/>
          <w:szCs w:val="24"/>
          <w:vertAlign w:val="subscript"/>
        </w:rPr>
        <w:t>j</w:t>
      </w:r>
      <w:proofErr w:type="spellEnd"/>
      <w:r>
        <w:rPr>
          <w:bCs/>
          <w:sz w:val="24"/>
          <w:szCs w:val="24"/>
        </w:rPr>
        <w:t xml:space="preserve"> ) на 2023-2025 годы (приняты в соответствии с Прогнозом социально-экономического развития РФ на 2025 год и на плановый период 2026-2027 гг.) и индексов изменения количества активов (</w:t>
      </w:r>
      <w:proofErr w:type="spellStart"/>
      <w:r>
        <w:rPr>
          <w:bCs/>
          <w:sz w:val="24"/>
          <w:szCs w:val="24"/>
        </w:rPr>
        <w:t>ИКАj</w:t>
      </w:r>
      <w:proofErr w:type="spellEnd"/>
      <w:r>
        <w:rPr>
          <w:bCs/>
          <w:sz w:val="24"/>
          <w:szCs w:val="24"/>
        </w:rPr>
        <w:t xml:space="preserve"> ), рассчитанных в процентах на 2023-2025 годы:</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К</w:t>
      </w:r>
      <w:r>
        <w:rPr>
          <w:bCs/>
          <w:sz w:val="24"/>
          <w:szCs w:val="24"/>
          <w:vertAlign w:val="subscript"/>
        </w:rPr>
        <w:t xml:space="preserve">инд2023  </w:t>
      </w:r>
      <w:r>
        <w:rPr>
          <w:bCs/>
          <w:sz w:val="24"/>
          <w:szCs w:val="24"/>
        </w:rPr>
        <w:t>= (1-0,02) х (1+0,059) х (1+0,00743) = 1,045532</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К</w:t>
      </w:r>
      <w:r>
        <w:rPr>
          <w:bCs/>
          <w:sz w:val="24"/>
          <w:szCs w:val="24"/>
          <w:vertAlign w:val="subscript"/>
        </w:rPr>
        <w:t xml:space="preserve">инд2024  </w:t>
      </w:r>
      <w:r>
        <w:rPr>
          <w:bCs/>
          <w:sz w:val="24"/>
          <w:szCs w:val="24"/>
        </w:rPr>
        <w:t>= (1-0,02) х (1+0,080) х (1+0,04157) = 1,102393</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К</w:t>
      </w:r>
      <w:r>
        <w:rPr>
          <w:bCs/>
          <w:sz w:val="24"/>
          <w:szCs w:val="24"/>
          <w:vertAlign w:val="subscript"/>
        </w:rPr>
        <w:t xml:space="preserve">инд2025  </w:t>
      </w:r>
      <w:r>
        <w:rPr>
          <w:bCs/>
          <w:sz w:val="24"/>
          <w:szCs w:val="24"/>
        </w:rPr>
        <w:t>= (1-0,02) х (1+0,058) х (1+(-)0,00041) = 1,036412</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Индексы изменения количества активов (</w:t>
      </w:r>
      <w:proofErr w:type="spellStart"/>
      <w:r>
        <w:rPr>
          <w:bCs/>
          <w:sz w:val="24"/>
          <w:szCs w:val="24"/>
        </w:rPr>
        <w:t>ИКАj</w:t>
      </w:r>
      <w:proofErr w:type="spellEnd"/>
      <w:r>
        <w:rPr>
          <w:bCs/>
          <w:sz w:val="24"/>
          <w:szCs w:val="24"/>
        </w:rPr>
        <w:t xml:space="preserve"> ) на 2023, 2024 и 2025 годы определены Экспертной группой по формуле 9.5 Методических указаний № 98-э исходя из коэффициента эластичности подконтрольных расходов (</w:t>
      </w:r>
      <w:proofErr w:type="spellStart"/>
      <w:r>
        <w:rPr>
          <w:bCs/>
          <w:sz w:val="24"/>
          <w:szCs w:val="24"/>
        </w:rPr>
        <w:t>К</w:t>
      </w:r>
      <w:r>
        <w:rPr>
          <w:bCs/>
          <w:sz w:val="24"/>
          <w:szCs w:val="24"/>
          <w:vertAlign w:val="subscript"/>
        </w:rPr>
        <w:t>эл</w:t>
      </w:r>
      <w:proofErr w:type="spellEnd"/>
      <w:r>
        <w:rPr>
          <w:bCs/>
          <w:sz w:val="24"/>
          <w:szCs w:val="24"/>
          <w:vertAlign w:val="subscript"/>
        </w:rPr>
        <w:t xml:space="preserve"> </w:t>
      </w:r>
      <w:r>
        <w:rPr>
          <w:bCs/>
          <w:sz w:val="24"/>
          <w:szCs w:val="24"/>
        </w:rPr>
        <w:t>)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равного 0,75 и среднегодового (среднего за 12 месяцев) количества условных единиц, относящихся к активам и объектам электросетевого хозяйства, определяемого без учета месяца ввода в эксплуатацию, на 2023 (74 656,21 у.е.) и 2024 (78 793,70 у.е.) годы. При этом объем условных единиц 2022 года принимается Экспертной группой на уровне ранее утвержденного на 2022 год планового значения (73 923,77 у.е.) исходя из системного толкования положений Методических указаний № 98-э в части расчета корректировки подконтрольных расходов, а именно, в случае, если год является первым (базовым) годом долгосрочного периода регулирования, или годом, в котором осуществлен пересмотр базового уровня подконтрольных расходов, то для этого года используется количество условных единиц, учтенных при установлении тарифов на услуги по передаче электрической энергии соответственно на первый (базовый) год или год, в котором осуществлен пересмотр базового уровня подконтрольных расходов.</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ИКА</w:t>
      </w:r>
      <w:r>
        <w:rPr>
          <w:bCs/>
          <w:sz w:val="24"/>
          <w:szCs w:val="24"/>
          <w:vertAlign w:val="subscript"/>
        </w:rPr>
        <w:t>2023</w:t>
      </w:r>
      <w:r>
        <w:rPr>
          <w:bCs/>
          <w:sz w:val="24"/>
          <w:szCs w:val="24"/>
        </w:rPr>
        <w:t xml:space="preserve"> = 0,75 х ((74 656,21 - 73 923,77) / 73 923,77) = 0,00743 (0,743%)</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ИКА</w:t>
      </w:r>
      <w:r>
        <w:rPr>
          <w:bCs/>
          <w:sz w:val="24"/>
          <w:szCs w:val="24"/>
          <w:vertAlign w:val="subscript"/>
        </w:rPr>
        <w:t>2024</w:t>
      </w:r>
      <w:r>
        <w:rPr>
          <w:bCs/>
          <w:sz w:val="24"/>
          <w:szCs w:val="24"/>
        </w:rPr>
        <w:t xml:space="preserve"> = 0,75 х ((78 793,70 - 74 656,21) / 74 656,21) = 0,04157 (4,157%)</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ИКА</w:t>
      </w:r>
      <w:r>
        <w:rPr>
          <w:bCs/>
          <w:sz w:val="24"/>
          <w:szCs w:val="24"/>
          <w:vertAlign w:val="subscript"/>
        </w:rPr>
        <w:t>2025</w:t>
      </w:r>
      <w:r>
        <w:rPr>
          <w:bCs/>
          <w:sz w:val="24"/>
          <w:szCs w:val="24"/>
        </w:rPr>
        <w:t xml:space="preserve"> = 0,75 х ((78 750,31 - 78 793,70) / 78 793,70) = -0,000041 (-0,041%)</w:t>
      </w:r>
    </w:p>
    <w:p w:rsidR="00C62E6B" w:rsidRDefault="00C62E6B" w:rsidP="00C62E6B">
      <w:pPr>
        <w:ind w:firstLine="567"/>
        <w:jc w:val="both"/>
        <w:rPr>
          <w:bCs/>
          <w:sz w:val="24"/>
          <w:szCs w:val="24"/>
        </w:rPr>
      </w:pPr>
    </w:p>
    <w:p w:rsidR="00C62E6B" w:rsidRDefault="00C62E6B" w:rsidP="00C62E6B">
      <w:pPr>
        <w:ind w:firstLine="567"/>
        <w:jc w:val="both"/>
        <w:rPr>
          <w:bCs/>
          <w:sz w:val="24"/>
          <w:szCs w:val="24"/>
        </w:rPr>
      </w:pPr>
      <w:r>
        <w:rPr>
          <w:bCs/>
          <w:sz w:val="24"/>
          <w:szCs w:val="24"/>
        </w:rPr>
        <w:t>Экспертная группа отмечает, что филиалом «Ивэнерго» на 2025 год в составе планового объема условных единиц заявлены, в том числе плановые вводы объектов электросетевого хозяйства в результате ожидаемого строительства и реконструкции в рамках выполнения мероприятий инвестиционной программы и технологического присоединения в 2025 году. Экспертная группа при определении объема условных единиц филиала «Ивэнерго» на 2025 год принимает указанные плановые вводы объектов ЭСХ в соответствии с требованиями пункта 38 Основ ценообразования в области регулируемых цен (тарифов) в электроэнергетике (далее – Основы ценообразования), утвержденных постановлением Правительства РФ от 29.12.2011 № 1178.</w:t>
      </w:r>
    </w:p>
    <w:p w:rsidR="00C62E6B" w:rsidRDefault="00C62E6B" w:rsidP="00C62E6B">
      <w:pPr>
        <w:ind w:firstLine="567"/>
        <w:jc w:val="both"/>
        <w:rPr>
          <w:bCs/>
          <w:sz w:val="24"/>
          <w:szCs w:val="24"/>
        </w:rPr>
      </w:pPr>
      <w:r>
        <w:rPr>
          <w:bCs/>
          <w:sz w:val="24"/>
          <w:szCs w:val="24"/>
        </w:rPr>
        <w:t xml:space="preserve">Как следует из абзаца 16 пункта 38 Основ ценообразования,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 а в отношении </w:t>
      </w:r>
      <w:r>
        <w:rPr>
          <w:bCs/>
          <w:sz w:val="24"/>
          <w:szCs w:val="24"/>
        </w:rPr>
        <w:lastRenderedPageBreak/>
        <w:t>территориальных сетевых организаций,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 дополнительно учитываются объекты электросетевого хозяйства, планируемые к вводу в соответствии с долгосрочной инвестиционной программой.</w:t>
      </w:r>
    </w:p>
    <w:p w:rsidR="00C62E6B" w:rsidRDefault="00C62E6B" w:rsidP="00C62E6B">
      <w:pPr>
        <w:ind w:firstLine="567"/>
        <w:jc w:val="both"/>
        <w:rPr>
          <w:bCs/>
          <w:sz w:val="24"/>
          <w:szCs w:val="24"/>
        </w:rPr>
      </w:pPr>
      <w:r>
        <w:rPr>
          <w:bCs/>
          <w:sz w:val="24"/>
          <w:szCs w:val="24"/>
        </w:rPr>
        <w:t>В части У.Е. по выявленным бесхозяйным объектам электросетевого хозяйства, расходы по содержанию и эксплуатации которых возникают у филиала «Ивэнерго» с 01.01.2025г., Департамент отмечает следующее.</w:t>
      </w:r>
    </w:p>
    <w:p w:rsidR="00C62E6B" w:rsidRDefault="00C62E6B" w:rsidP="00C62E6B">
      <w:pPr>
        <w:ind w:firstLine="567"/>
        <w:jc w:val="both"/>
        <w:rPr>
          <w:bCs/>
          <w:sz w:val="24"/>
          <w:szCs w:val="24"/>
        </w:rPr>
      </w:pPr>
      <w:r>
        <w:rPr>
          <w:bCs/>
          <w:sz w:val="24"/>
          <w:szCs w:val="24"/>
        </w:rPr>
        <w:t>Условные единицы по выявленным филиалом «Ивэнерго» в текущем периоде бесхозяйным объектам не учитываются Департаментом в расчете плановых условных единиц на 2025 год, поскольку на текущую дату у филиала «Ивэнерго» отсутствует законное право владения указанными бесхозяйными объектами. По результатам оформления правоустанавливающих документов условные единицы по бесхозяйным объектам будут учтены Департаментом в расчете среднегодового количества У.Е. соответствующего периода регулирования.</w:t>
      </w:r>
    </w:p>
    <w:p w:rsidR="00C62E6B" w:rsidRDefault="00C62E6B" w:rsidP="00C62E6B">
      <w:pPr>
        <w:ind w:firstLine="567"/>
        <w:jc w:val="both"/>
        <w:rPr>
          <w:b/>
          <w:bCs/>
          <w:sz w:val="24"/>
          <w:szCs w:val="24"/>
        </w:rPr>
      </w:pPr>
    </w:p>
    <w:p w:rsidR="00C62E6B" w:rsidRDefault="00C62E6B" w:rsidP="00C62E6B">
      <w:pPr>
        <w:ind w:firstLine="567"/>
        <w:jc w:val="both"/>
        <w:rPr>
          <w:bCs/>
          <w:sz w:val="24"/>
          <w:szCs w:val="24"/>
        </w:rPr>
      </w:pPr>
      <w:r>
        <w:rPr>
          <w:b/>
          <w:bCs/>
          <w:sz w:val="24"/>
          <w:szCs w:val="24"/>
        </w:rPr>
        <w:t>2.</w:t>
      </w:r>
      <w:r>
        <w:rPr>
          <w:bCs/>
          <w:sz w:val="24"/>
          <w:szCs w:val="24"/>
        </w:rPr>
        <w:t xml:space="preserve"> </w:t>
      </w:r>
      <w:r>
        <w:rPr>
          <w:b/>
          <w:bCs/>
          <w:sz w:val="24"/>
          <w:szCs w:val="24"/>
        </w:rPr>
        <w:t>Неподконтрольные расходы.</w:t>
      </w:r>
    </w:p>
    <w:p w:rsidR="00C62E6B" w:rsidRDefault="00C62E6B" w:rsidP="00C62E6B">
      <w:pPr>
        <w:ind w:firstLine="567"/>
        <w:jc w:val="both"/>
        <w:rPr>
          <w:b/>
          <w:bCs/>
          <w:i/>
          <w:sz w:val="24"/>
          <w:szCs w:val="24"/>
        </w:rPr>
      </w:pPr>
      <w:r>
        <w:rPr>
          <w:b/>
          <w:bCs/>
          <w:i/>
          <w:sz w:val="24"/>
          <w:szCs w:val="24"/>
        </w:rPr>
        <w:t>2.1. Аренда транспорта, машин и механизмов.</w:t>
      </w:r>
    </w:p>
    <w:p w:rsidR="00C62E6B" w:rsidRDefault="00C62E6B" w:rsidP="00C62E6B">
      <w:pPr>
        <w:ind w:firstLine="567"/>
        <w:jc w:val="both"/>
        <w:rPr>
          <w:bCs/>
          <w:sz w:val="24"/>
          <w:szCs w:val="24"/>
        </w:rPr>
      </w:pPr>
      <w:r>
        <w:rPr>
          <w:bCs/>
          <w:sz w:val="24"/>
          <w:szCs w:val="24"/>
        </w:rPr>
        <w:t xml:space="preserve">Департаментом исключены расходы на аренду легкового автомобиля KIA K5 GT Line+ в размере 949,3 тыс. руб. в соответствии с договором от 17.10.2022 № 372002281 с АО «АТХ» и автомобиля </w:t>
      </w:r>
      <w:r>
        <w:rPr>
          <w:bCs/>
          <w:sz w:val="24"/>
          <w:szCs w:val="24"/>
          <w:lang w:val="en-US"/>
        </w:rPr>
        <w:t>GWM</w:t>
      </w:r>
      <w:r w:rsidRPr="00C62E6B">
        <w:rPr>
          <w:bCs/>
          <w:sz w:val="24"/>
          <w:szCs w:val="24"/>
        </w:rPr>
        <w:t xml:space="preserve"> </w:t>
      </w:r>
      <w:r>
        <w:rPr>
          <w:bCs/>
          <w:sz w:val="24"/>
          <w:szCs w:val="24"/>
          <w:lang w:val="en-US"/>
        </w:rPr>
        <w:t>TANK</w:t>
      </w:r>
      <w:r>
        <w:rPr>
          <w:bCs/>
          <w:sz w:val="24"/>
          <w:szCs w:val="24"/>
        </w:rPr>
        <w:t xml:space="preserve"> 500 в соответствии с договором от 14.05.2024 № 372002902 по причине отсутствия обоснования целесообразности использования легковых автомобилей с мощностью двигателя более 150 л.с. в регулируемой деятельности по передаче электрической энергии, поскольку такая большая мощность двигателя сравнима с мощностью спецтехники.</w:t>
      </w:r>
    </w:p>
    <w:p w:rsidR="00C62E6B" w:rsidRDefault="00C62E6B" w:rsidP="00C62E6B">
      <w:pPr>
        <w:ind w:firstLine="567"/>
        <w:jc w:val="both"/>
        <w:rPr>
          <w:bCs/>
          <w:sz w:val="24"/>
          <w:szCs w:val="24"/>
        </w:rPr>
      </w:pPr>
      <w:r>
        <w:rPr>
          <w:bCs/>
          <w:sz w:val="24"/>
          <w:szCs w:val="24"/>
        </w:rPr>
        <w:t xml:space="preserve">Для обоснования заявленных расходов филиалом «Ивэнерго» в составе материалов тарифного дела (Заявления от 27.04.2024 № МР7-ИвЭ/25-2/2366, от 25.10.2024 № МР7-ИвЭ/25-2/6066) представлены документы, подтверждающие использование арендуемого автотранспорта в регулируемой деятельности по передаче электрической энергии (копии договоров аренды, актов выполненных работ, документация по проведению конкурсных процедур). </w:t>
      </w:r>
    </w:p>
    <w:p w:rsidR="00C62E6B" w:rsidRDefault="00C62E6B" w:rsidP="00C62E6B">
      <w:pPr>
        <w:ind w:firstLine="567"/>
        <w:jc w:val="both"/>
        <w:rPr>
          <w:bCs/>
          <w:sz w:val="24"/>
          <w:szCs w:val="24"/>
        </w:rPr>
      </w:pPr>
      <w:r>
        <w:rPr>
          <w:bCs/>
          <w:sz w:val="24"/>
          <w:szCs w:val="24"/>
        </w:rPr>
        <w:t xml:space="preserve">Согласно классификатору существует деление автомобилей на 9 типов: </w:t>
      </w:r>
      <w:proofErr w:type="gramStart"/>
      <w:r>
        <w:rPr>
          <w:bCs/>
          <w:sz w:val="24"/>
          <w:szCs w:val="24"/>
        </w:rPr>
        <w:t>А – мини-автомобили, В – небольшие городские автомобили, С – низший средний класс, Д – полноценный средний класс, Е – представительский или бизнес-класс и далее люксовые, внедорожники, многоцелевые, спортивные (F/J/M/S).</w:t>
      </w:r>
      <w:proofErr w:type="gramEnd"/>
      <w:r>
        <w:rPr>
          <w:bCs/>
          <w:sz w:val="24"/>
          <w:szCs w:val="24"/>
        </w:rPr>
        <w:t xml:space="preserve">  По характеристикам </w:t>
      </w:r>
      <w:r>
        <w:rPr>
          <w:bCs/>
          <w:sz w:val="24"/>
          <w:szCs w:val="24"/>
          <w:lang w:val="en-US"/>
        </w:rPr>
        <w:t>KIA</w:t>
      </w:r>
      <w:r w:rsidRPr="00C62E6B">
        <w:rPr>
          <w:bCs/>
          <w:sz w:val="24"/>
          <w:szCs w:val="24"/>
        </w:rPr>
        <w:t xml:space="preserve"> </w:t>
      </w:r>
      <w:r>
        <w:rPr>
          <w:bCs/>
          <w:sz w:val="24"/>
          <w:szCs w:val="24"/>
          <w:lang w:val="en-US"/>
        </w:rPr>
        <w:t>K</w:t>
      </w:r>
      <w:r>
        <w:rPr>
          <w:bCs/>
          <w:sz w:val="24"/>
          <w:szCs w:val="24"/>
        </w:rPr>
        <w:t xml:space="preserve">5 </w:t>
      </w:r>
      <w:r>
        <w:rPr>
          <w:bCs/>
          <w:sz w:val="24"/>
          <w:szCs w:val="24"/>
          <w:lang w:val="en-US"/>
        </w:rPr>
        <w:t>GT</w:t>
      </w:r>
      <w:r w:rsidRPr="00C62E6B">
        <w:rPr>
          <w:bCs/>
          <w:sz w:val="24"/>
          <w:szCs w:val="24"/>
        </w:rPr>
        <w:t xml:space="preserve"> </w:t>
      </w:r>
      <w:r>
        <w:rPr>
          <w:bCs/>
          <w:sz w:val="24"/>
          <w:szCs w:val="24"/>
          <w:lang w:val="en-US"/>
        </w:rPr>
        <w:t>Line</w:t>
      </w:r>
      <w:r>
        <w:rPr>
          <w:bCs/>
          <w:sz w:val="24"/>
          <w:szCs w:val="24"/>
        </w:rPr>
        <w:t xml:space="preserve">+ относится к типу D – «средний класс» или «второй средний класс», характеризующийся качеством, вместительностью. По классу идентичен Фольксваген Пассат, Опель </w:t>
      </w:r>
      <w:proofErr w:type="spellStart"/>
      <w:r>
        <w:rPr>
          <w:bCs/>
          <w:sz w:val="24"/>
          <w:szCs w:val="24"/>
        </w:rPr>
        <w:t>Вектра</w:t>
      </w:r>
      <w:proofErr w:type="spellEnd"/>
      <w:r>
        <w:rPr>
          <w:bCs/>
          <w:sz w:val="24"/>
          <w:szCs w:val="24"/>
        </w:rPr>
        <w:t>, Шкода Октавиа, Рено Лагуна и не относится к представительскому/бизнес-классу (Е).</w:t>
      </w:r>
    </w:p>
    <w:p w:rsidR="00C62E6B" w:rsidRDefault="00C62E6B" w:rsidP="00C62E6B">
      <w:pPr>
        <w:ind w:firstLine="567"/>
        <w:jc w:val="both"/>
        <w:rPr>
          <w:bCs/>
          <w:sz w:val="24"/>
          <w:szCs w:val="24"/>
        </w:rPr>
      </w:pPr>
      <w:r>
        <w:rPr>
          <w:bCs/>
          <w:sz w:val="24"/>
          <w:szCs w:val="24"/>
        </w:rPr>
        <w:t>Филиал «Ивэнерго» обращает внимание Департамента, что учитывая резкое сокращение ассортимента автомобилей на российском рынке и увеличение цен, вызванное санкциями недружественных государств на фоне проведения РФ специальной военной операции, а также затруднительное и дорогостоящее обслуживание автомобилей иностранного производства, основными поставщиками автомобильной техники в настоящий момент являются российские и китайские бренды. При этом среди отечественных марок автомобилей отсутствуют линейки конкурентоспособных и надежных моделей внедорожников, а также автомобилей данного типа (внедорожник) с мощностью менее 150 л. с.</w:t>
      </w:r>
    </w:p>
    <w:p w:rsidR="00C62E6B" w:rsidRDefault="00C62E6B" w:rsidP="00C62E6B">
      <w:pPr>
        <w:ind w:firstLine="567"/>
        <w:jc w:val="both"/>
        <w:rPr>
          <w:bCs/>
          <w:sz w:val="24"/>
          <w:szCs w:val="24"/>
        </w:rPr>
      </w:pPr>
      <w:r>
        <w:rPr>
          <w:bCs/>
          <w:sz w:val="24"/>
          <w:szCs w:val="24"/>
        </w:rPr>
        <w:t>Руководствуясь пунктом 7 Основ ценообразования филиал «Ивэнерго» считает необходимым в случае несогласия Департамента с расходами в договорах, заключенных с использованием конкурсных процедур, с учетом пункта 29 Основ ценообразования определить альтернативную величину расходов, поскольку данный автомобиль используется в рамках основного вида деятельности, расходы по уплате арендных платежей организацией производятся.</w:t>
      </w:r>
    </w:p>
    <w:p w:rsidR="00C62E6B" w:rsidRDefault="00C62E6B" w:rsidP="00C62E6B">
      <w:pPr>
        <w:ind w:firstLine="567"/>
        <w:jc w:val="both"/>
        <w:rPr>
          <w:bCs/>
          <w:sz w:val="24"/>
          <w:szCs w:val="24"/>
        </w:rPr>
      </w:pPr>
      <w:r>
        <w:rPr>
          <w:bCs/>
          <w:sz w:val="24"/>
          <w:szCs w:val="24"/>
        </w:rPr>
        <w:t xml:space="preserve">Департамент отмечает, что согласно пункту 22 Правил государственного регулирования (пересмотра, применения) цен (тарифов) в электроэнергетике (далее – Правила государственного регулирования № 1178), утвержденных постановлением Правительства РФ от 29.12.2011 № 1178, регулирующий орган проводит экспертизу предложений об установлении цен (тарифов) и (или) их </w:t>
      </w:r>
      <w:r>
        <w:rPr>
          <w:bCs/>
          <w:sz w:val="24"/>
          <w:szCs w:val="24"/>
        </w:rPr>
        <w:lastRenderedPageBreak/>
        <w:t>предельных уровней, представленных непосредственно регулируемыми организациями. При этом полномочия производить за регулируемые организации дополнительные расчеты, не представленные в материалы тарифного дела, и тем самым обосновывать заявленные данными организациями расходы, относимые на регулируемый вид деятельности, у Департамента отсутствуют.</w:t>
      </w:r>
    </w:p>
    <w:p w:rsidR="00C62E6B" w:rsidRDefault="00C62E6B" w:rsidP="00C62E6B">
      <w:pPr>
        <w:ind w:firstLine="567"/>
        <w:jc w:val="both"/>
        <w:rPr>
          <w:bCs/>
          <w:sz w:val="24"/>
          <w:szCs w:val="24"/>
        </w:rPr>
      </w:pPr>
      <w:r>
        <w:rPr>
          <w:bCs/>
          <w:sz w:val="24"/>
          <w:szCs w:val="24"/>
        </w:rPr>
        <w:t>Таким образом, Департаментом в составе данной статьи на 2025 год не принимаются расходы на аренду легкового автомобиля KIA K5 GT Line+ по аренды легковых автомобилей № 372002281 от 17.10.2022, заключенному с АО «АТХ», в сумме 949,296 тыс. руб. в год, а также легкового автомобиля GWM TANK 500 по договору аренды легкового транспортного средства повышенной проходимости без экипажа № 372002902 от 14.05.2024, заключенному с АО «АТХ», в сумме 2 113,485 тыс. руб. по причине отсутствия обоснования целесообразности использования легкового автомобиля с мощностью двигателя более 150 л.с. в регулируемой деятельности по передаче электрической энергии, поскольку такая большая мощность двигателя сравнима с мощностью спецтехники.</w:t>
      </w:r>
    </w:p>
    <w:p w:rsidR="00C62E6B" w:rsidRDefault="00C62E6B" w:rsidP="00C62E6B">
      <w:pPr>
        <w:ind w:firstLine="567"/>
        <w:jc w:val="both"/>
        <w:rPr>
          <w:b/>
          <w:bCs/>
          <w:i/>
          <w:sz w:val="24"/>
          <w:szCs w:val="24"/>
        </w:rPr>
      </w:pPr>
      <w:r>
        <w:rPr>
          <w:b/>
          <w:bCs/>
          <w:i/>
          <w:sz w:val="24"/>
          <w:szCs w:val="24"/>
        </w:rPr>
        <w:t>2.2. Транспортный налог.</w:t>
      </w:r>
    </w:p>
    <w:p w:rsidR="00C62E6B" w:rsidRDefault="00C62E6B" w:rsidP="00C62E6B">
      <w:pPr>
        <w:ind w:firstLine="567"/>
        <w:jc w:val="both"/>
        <w:rPr>
          <w:bCs/>
          <w:sz w:val="24"/>
          <w:szCs w:val="24"/>
        </w:rPr>
      </w:pPr>
      <w:r>
        <w:rPr>
          <w:bCs/>
          <w:sz w:val="24"/>
          <w:szCs w:val="24"/>
        </w:rPr>
        <w:t>Расходы на уплату транспортного налога на 2025 год приняты Департаментом в размере фактических расходов за 2023 год 885,31 тыс. руб., вместо заявленных филиалом «Ивэнерго» 1 155,28 тыс. руб.</w:t>
      </w:r>
    </w:p>
    <w:p w:rsidR="00C62E6B" w:rsidRDefault="00C62E6B" w:rsidP="00C62E6B">
      <w:pPr>
        <w:ind w:firstLine="567"/>
        <w:jc w:val="both"/>
        <w:rPr>
          <w:bCs/>
          <w:sz w:val="24"/>
          <w:szCs w:val="24"/>
        </w:rPr>
      </w:pPr>
      <w:r>
        <w:rPr>
          <w:bCs/>
          <w:sz w:val="24"/>
          <w:szCs w:val="24"/>
        </w:rPr>
        <w:t xml:space="preserve">Департамент учитывает величину транспортного налога на </w:t>
      </w:r>
      <w:proofErr w:type="gramStart"/>
      <w:r>
        <w:rPr>
          <w:bCs/>
          <w:sz w:val="24"/>
          <w:szCs w:val="24"/>
        </w:rPr>
        <w:t>уровне</w:t>
      </w:r>
      <w:proofErr w:type="gramEnd"/>
      <w:r>
        <w:rPr>
          <w:bCs/>
          <w:sz w:val="24"/>
          <w:szCs w:val="24"/>
        </w:rPr>
        <w:t xml:space="preserve"> уплаченного за 2023 год, без учета увеличения транспортного налога, заявленного филиалом «Ивэнерго» в плане на 2025 год.</w:t>
      </w:r>
    </w:p>
    <w:p w:rsidR="00C62E6B" w:rsidRDefault="00C62E6B" w:rsidP="00C62E6B">
      <w:pPr>
        <w:ind w:firstLine="567"/>
        <w:jc w:val="both"/>
        <w:rPr>
          <w:bCs/>
          <w:sz w:val="24"/>
          <w:szCs w:val="24"/>
        </w:rPr>
      </w:pPr>
      <w:r>
        <w:rPr>
          <w:bCs/>
          <w:sz w:val="24"/>
          <w:szCs w:val="24"/>
        </w:rPr>
        <w:t>Филиал «Ивэнерго» не согласен с позицией регулятора, так основной фактором роста расходов на 2024-2025гг. связан с приобретением транспортных средств по договору купли-продажи движимого имущества от 15.12.2023 № 372002734 с АО «Ивгорэлектросеть».</w:t>
      </w:r>
    </w:p>
    <w:p w:rsidR="00C62E6B" w:rsidRDefault="00C62E6B" w:rsidP="00C62E6B">
      <w:pPr>
        <w:ind w:firstLine="567"/>
        <w:jc w:val="both"/>
        <w:rPr>
          <w:bCs/>
          <w:sz w:val="24"/>
          <w:szCs w:val="24"/>
        </w:rPr>
      </w:pPr>
      <w:r>
        <w:rPr>
          <w:bCs/>
          <w:sz w:val="24"/>
          <w:szCs w:val="24"/>
        </w:rPr>
        <w:t>В соответствии со статьей 357 Налогового кодекса РФ налогоплательщиками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w:t>
      </w:r>
    </w:p>
    <w:p w:rsidR="00C62E6B" w:rsidRDefault="00C62E6B" w:rsidP="00C62E6B">
      <w:pPr>
        <w:ind w:firstLine="567"/>
        <w:jc w:val="both"/>
        <w:rPr>
          <w:bCs/>
          <w:sz w:val="24"/>
          <w:szCs w:val="24"/>
        </w:rPr>
      </w:pPr>
      <w:r>
        <w:rPr>
          <w:bCs/>
          <w:sz w:val="24"/>
          <w:szCs w:val="24"/>
        </w:rPr>
        <w:t>Статьями 358-361 Налогового кодекса РФ определены объекты налогообложения, налоговая база, период и ставки.</w:t>
      </w:r>
    </w:p>
    <w:p w:rsidR="00C62E6B" w:rsidRDefault="00C62E6B" w:rsidP="00C62E6B">
      <w:pPr>
        <w:ind w:firstLine="567"/>
        <w:jc w:val="both"/>
        <w:rPr>
          <w:bCs/>
          <w:sz w:val="24"/>
          <w:szCs w:val="24"/>
        </w:rPr>
      </w:pPr>
      <w:r>
        <w:rPr>
          <w:bCs/>
          <w:sz w:val="24"/>
          <w:szCs w:val="24"/>
        </w:rPr>
        <w:t>При этом в составе предложений на 2025 год филиалом «Ивэнерго» представлен детализированный перечень транспортных средств с данными об идентификационных номерах, марках, регистрационных знаках транспортных средств, налоговой базе и налоговой ставке.</w:t>
      </w:r>
    </w:p>
    <w:p w:rsidR="00C62E6B" w:rsidRDefault="00C62E6B" w:rsidP="00C62E6B">
      <w:pPr>
        <w:ind w:firstLine="567"/>
        <w:jc w:val="both"/>
        <w:rPr>
          <w:bCs/>
          <w:sz w:val="24"/>
          <w:szCs w:val="24"/>
        </w:rPr>
      </w:pPr>
      <w:r>
        <w:rPr>
          <w:bCs/>
          <w:sz w:val="24"/>
          <w:szCs w:val="24"/>
        </w:rPr>
        <w:t>Норма по учету величины исчисленного за налоговый период (год) налога на прибыль организаций при установлении регулируемых цен (тарифов) касается исключительно налога на прибыль организаций.</w:t>
      </w:r>
    </w:p>
    <w:p w:rsidR="00C62E6B" w:rsidRDefault="00C62E6B" w:rsidP="00C62E6B">
      <w:pPr>
        <w:ind w:firstLine="567"/>
        <w:jc w:val="both"/>
        <w:rPr>
          <w:bCs/>
          <w:sz w:val="24"/>
          <w:szCs w:val="24"/>
        </w:rPr>
      </w:pPr>
      <w:r>
        <w:rPr>
          <w:bCs/>
          <w:sz w:val="24"/>
          <w:szCs w:val="24"/>
        </w:rPr>
        <w:t>В отношении всех остальных налогов согласно статьям 18 и 28 Основ ценообразования при определении НВВ расходы определяются регулирующим органом в соответствии с Налоговым кодексом РФ.</w:t>
      </w:r>
    </w:p>
    <w:p w:rsidR="00C62E6B" w:rsidRDefault="00C62E6B" w:rsidP="00C62E6B">
      <w:pPr>
        <w:ind w:firstLine="567"/>
        <w:jc w:val="both"/>
        <w:rPr>
          <w:bCs/>
          <w:sz w:val="24"/>
          <w:szCs w:val="24"/>
        </w:rPr>
      </w:pPr>
      <w:r>
        <w:rPr>
          <w:bCs/>
          <w:sz w:val="24"/>
          <w:szCs w:val="24"/>
        </w:rPr>
        <w:t xml:space="preserve">Кроме того, филиал «Ивэнерго» отмечает отсутствие системного подхода к определению расходов по статьям налогов на плановый 2025 год: </w:t>
      </w:r>
    </w:p>
    <w:p w:rsidR="00C62E6B" w:rsidRDefault="00C62E6B" w:rsidP="00C62E6B">
      <w:pPr>
        <w:ind w:firstLine="567"/>
        <w:jc w:val="both"/>
        <w:rPr>
          <w:bCs/>
          <w:sz w:val="24"/>
          <w:szCs w:val="24"/>
        </w:rPr>
      </w:pPr>
      <w:r>
        <w:rPr>
          <w:bCs/>
          <w:sz w:val="24"/>
          <w:szCs w:val="24"/>
        </w:rPr>
        <w:t>- в отношении налога на имущество Департаментом принимается вводимая для  системообразующих территориальных сетевых организаций (далее – СТСО), территориальных сетевых организаций (далее – ТСО) с 01.01.2025г. норма по освобождению от налогообложения линий электропередачи, трансформаторных и иных подстанций, распределительных пунктов классом напряжения до 35 кВ включительно, а также кабельных линий электропередачи и оборудования, предназначенного для обеспечения электрических связей и осуществления передачи электрической энергии, вне зависимости от класса их напряжения, введенная Федеральным законом от 29.10.2024 № 362-ФЗ;</w:t>
      </w:r>
    </w:p>
    <w:p w:rsidR="00C62E6B" w:rsidRDefault="00C62E6B" w:rsidP="00C62E6B">
      <w:pPr>
        <w:ind w:firstLine="567"/>
        <w:jc w:val="both"/>
        <w:rPr>
          <w:bCs/>
          <w:sz w:val="24"/>
          <w:szCs w:val="24"/>
        </w:rPr>
      </w:pPr>
      <w:r>
        <w:rPr>
          <w:bCs/>
          <w:sz w:val="24"/>
          <w:szCs w:val="24"/>
        </w:rPr>
        <w:t>- в отношении транспортного налога – не принимается увеличение количества транспорта (подтвержденного документально, в том числе договором купли-продажи движимого имущества от 15.12.2023 № 372002734 с АО «Ивгорэлектросеть») и, соответственно, увеличение налоговой нагрузки в 2025 году.</w:t>
      </w:r>
    </w:p>
    <w:p w:rsidR="00C62E6B" w:rsidRDefault="00C62E6B" w:rsidP="00C62E6B">
      <w:pPr>
        <w:ind w:firstLine="567"/>
        <w:jc w:val="both"/>
        <w:rPr>
          <w:bCs/>
          <w:sz w:val="24"/>
          <w:szCs w:val="24"/>
        </w:rPr>
      </w:pPr>
      <w:r>
        <w:rPr>
          <w:bCs/>
          <w:sz w:val="24"/>
          <w:szCs w:val="24"/>
        </w:rPr>
        <w:t xml:space="preserve">Департамент отмечает, что по итогам заседания Правления было принято решение учесть дополнительно по статье расходов «транспортный налог» налог по транспортным средствам, </w:t>
      </w:r>
      <w:r>
        <w:rPr>
          <w:bCs/>
          <w:sz w:val="24"/>
          <w:szCs w:val="24"/>
        </w:rPr>
        <w:lastRenderedPageBreak/>
        <w:t>выкупленным у АО «Ивгорэлектросеть» в рамках договора купли-продажи движимого имущества от 15.12.2023 № 372002734 и приобретенного в рамках исполнения ИПР за 2023 год на общую сумму 238,699 тыс. руб. Итоговая величина расходов по статье «транспортный налог» на 2025 год, принятая в расчет филиала «Ивэнерго», составляет 1 124,01 тыс. руб.</w:t>
      </w:r>
    </w:p>
    <w:p w:rsidR="00C62E6B" w:rsidRDefault="00C62E6B" w:rsidP="00C62E6B">
      <w:pPr>
        <w:ind w:firstLine="567"/>
        <w:jc w:val="both"/>
        <w:rPr>
          <w:b/>
          <w:bCs/>
          <w:i/>
          <w:sz w:val="24"/>
          <w:szCs w:val="24"/>
        </w:rPr>
      </w:pPr>
      <w:r>
        <w:rPr>
          <w:b/>
          <w:bCs/>
          <w:i/>
          <w:sz w:val="24"/>
          <w:szCs w:val="24"/>
        </w:rPr>
        <w:t>2.3. Госпошлины по транспорту.</w:t>
      </w:r>
    </w:p>
    <w:p w:rsidR="00C62E6B" w:rsidRDefault="00C62E6B" w:rsidP="00C62E6B">
      <w:pPr>
        <w:ind w:firstLine="567"/>
        <w:jc w:val="both"/>
        <w:rPr>
          <w:bCs/>
          <w:sz w:val="24"/>
          <w:szCs w:val="24"/>
        </w:rPr>
      </w:pPr>
      <w:r>
        <w:rPr>
          <w:bCs/>
          <w:sz w:val="24"/>
          <w:szCs w:val="24"/>
        </w:rPr>
        <w:t>Расходы на уплату госпошлин по транспорту на 2025 год приняты Департаментом в размере фактических расходов за 2023 год 50 тыс. руб., вместо заявленных филиалом «Ивэнерго» 152,35 тыс. руб.</w:t>
      </w:r>
    </w:p>
    <w:p w:rsidR="00C62E6B" w:rsidRDefault="00C62E6B" w:rsidP="00C62E6B">
      <w:pPr>
        <w:ind w:firstLine="567"/>
        <w:jc w:val="both"/>
        <w:rPr>
          <w:bCs/>
          <w:sz w:val="24"/>
          <w:szCs w:val="24"/>
        </w:rPr>
      </w:pPr>
      <w:r>
        <w:rPr>
          <w:bCs/>
          <w:sz w:val="24"/>
          <w:szCs w:val="24"/>
        </w:rPr>
        <w:t>Позиция филиала «Ивэнерго» по данной статье аналогична позиции по статье «транспортный налог».</w:t>
      </w:r>
    </w:p>
    <w:p w:rsidR="00C62E6B" w:rsidRDefault="00C62E6B" w:rsidP="00C62E6B">
      <w:pPr>
        <w:ind w:firstLine="567"/>
        <w:jc w:val="both"/>
        <w:rPr>
          <w:bCs/>
          <w:sz w:val="24"/>
          <w:szCs w:val="24"/>
        </w:rPr>
      </w:pPr>
      <w:r>
        <w:rPr>
          <w:bCs/>
          <w:sz w:val="24"/>
          <w:szCs w:val="24"/>
        </w:rPr>
        <w:t>Департамент отмечает, что плановые расходы на 2025 год по статье «госпошлины по транспорту» приняты на уровне фактических показателей за 2023 год. План-</w:t>
      </w:r>
      <w:proofErr w:type="spellStart"/>
      <w:r>
        <w:rPr>
          <w:bCs/>
          <w:sz w:val="24"/>
          <w:szCs w:val="24"/>
        </w:rPr>
        <w:t>фактные</w:t>
      </w:r>
      <w:proofErr w:type="spellEnd"/>
      <w:r>
        <w:rPr>
          <w:bCs/>
          <w:sz w:val="24"/>
          <w:szCs w:val="24"/>
        </w:rPr>
        <w:t xml:space="preserve"> отклонения по данной статье расходов за 2025 год будут оценены Департаментом в рамках установления НВВ филиала «Ивэнерго» на 2027 год в составе корректировки неподконтрольных расходов.</w:t>
      </w:r>
    </w:p>
    <w:p w:rsidR="00C62E6B" w:rsidRDefault="00C62E6B" w:rsidP="00C62E6B">
      <w:pPr>
        <w:ind w:left="567"/>
        <w:jc w:val="both"/>
        <w:rPr>
          <w:b/>
          <w:bCs/>
          <w:i/>
          <w:sz w:val="24"/>
          <w:szCs w:val="24"/>
        </w:rPr>
      </w:pPr>
      <w:r>
        <w:rPr>
          <w:b/>
          <w:bCs/>
          <w:i/>
          <w:sz w:val="24"/>
          <w:szCs w:val="24"/>
        </w:rPr>
        <w:t>2.4. Выпадающие доходы, связанные с технологическим присоединением к электрическим сетям</w:t>
      </w:r>
    </w:p>
    <w:p w:rsidR="00C62E6B" w:rsidRDefault="00C62E6B" w:rsidP="00C62E6B">
      <w:pPr>
        <w:ind w:firstLine="567"/>
        <w:jc w:val="both"/>
        <w:rPr>
          <w:bCs/>
          <w:sz w:val="24"/>
          <w:szCs w:val="24"/>
        </w:rPr>
      </w:pPr>
      <w:r>
        <w:rPr>
          <w:bCs/>
          <w:sz w:val="24"/>
          <w:szCs w:val="24"/>
        </w:rPr>
        <w:t>При расчете плановых расходов Департаментом исключены плановые выпадающие доходы, связанные с осуществлением технологического присоединения по заключенным (неисполненным) договорам в размере 379 778,74 тыс. руб.</w:t>
      </w:r>
    </w:p>
    <w:p w:rsidR="00C62E6B" w:rsidRDefault="00C62E6B" w:rsidP="00C62E6B">
      <w:pPr>
        <w:ind w:firstLine="567"/>
        <w:jc w:val="both"/>
        <w:rPr>
          <w:bCs/>
          <w:sz w:val="24"/>
          <w:szCs w:val="24"/>
        </w:rPr>
      </w:pPr>
      <w:r>
        <w:rPr>
          <w:bCs/>
          <w:sz w:val="24"/>
          <w:szCs w:val="24"/>
        </w:rPr>
        <w:t>Данные об объеме максимальной мощности, количестве мероприятий «последней мили» и количестве точек учета электрической энергии (мощности) по договорам технологического присоединения по заключенным, но не исполненным на момент установления тарифов на очередной период регулирования договорам, должны также учитываться при определении плановых значений, что подтверждается позицией ФАС России от 24.07.2024 №СП/65228/24.</w:t>
      </w:r>
    </w:p>
    <w:p w:rsidR="00C62E6B" w:rsidRDefault="00C62E6B" w:rsidP="00C62E6B">
      <w:pPr>
        <w:ind w:firstLine="567"/>
        <w:jc w:val="both"/>
        <w:rPr>
          <w:bCs/>
          <w:sz w:val="24"/>
          <w:szCs w:val="24"/>
        </w:rPr>
      </w:pPr>
      <w:r>
        <w:rPr>
          <w:bCs/>
          <w:sz w:val="24"/>
          <w:szCs w:val="24"/>
        </w:rPr>
        <w:t>Департамент отмечает, что по статье «Выпадающие доходы по льготному технологическому присоединению»</w:t>
      </w:r>
      <w:r>
        <w:rPr>
          <w:b/>
          <w:bCs/>
          <w:sz w:val="24"/>
          <w:szCs w:val="24"/>
        </w:rPr>
        <w:t xml:space="preserve"> </w:t>
      </w:r>
      <w:r>
        <w:rPr>
          <w:bCs/>
          <w:sz w:val="24"/>
          <w:szCs w:val="24"/>
        </w:rPr>
        <w:t>на 2025 год учтены расходы в сумме 254 018,81 тыс. руб. (с ростом 467,73% к плану 2024 года), вместо заявленных организацией 407 400,85 тыс. руб. с учетом расходов на выполнение мероприятий по технологическому присоединению в рамках заключенных ранее, но не исполненных договоров.</w:t>
      </w:r>
    </w:p>
    <w:p w:rsidR="00C62E6B" w:rsidRDefault="00C62E6B" w:rsidP="00C62E6B">
      <w:pPr>
        <w:ind w:firstLine="708"/>
        <w:jc w:val="both"/>
        <w:rPr>
          <w:b/>
          <w:bCs/>
          <w:i/>
          <w:sz w:val="24"/>
          <w:szCs w:val="24"/>
        </w:rPr>
      </w:pPr>
      <w:r>
        <w:rPr>
          <w:b/>
          <w:bCs/>
          <w:i/>
          <w:sz w:val="24"/>
          <w:szCs w:val="24"/>
        </w:rPr>
        <w:t>2.5. Расходы на обслуживание заемных средств.</w:t>
      </w:r>
    </w:p>
    <w:p w:rsidR="00C62E6B" w:rsidRDefault="00C62E6B" w:rsidP="00C62E6B">
      <w:pPr>
        <w:ind w:firstLine="708"/>
        <w:jc w:val="both"/>
        <w:rPr>
          <w:bCs/>
          <w:sz w:val="24"/>
          <w:szCs w:val="24"/>
        </w:rPr>
      </w:pPr>
      <w:r>
        <w:rPr>
          <w:bCs/>
          <w:sz w:val="24"/>
          <w:szCs w:val="24"/>
        </w:rPr>
        <w:t>В материалах тарифной заявки на 2025 год была представлена информация о величине расходов на обслуживание долга кредита, относимых на филиал «Ивэнерго», по плану на 2025 год в размере 334 269,14 тыс. рублей (без учета расходов на обслуживание консолидационных кредитов), в том числе:</w:t>
      </w:r>
    </w:p>
    <w:p w:rsidR="00C62E6B" w:rsidRDefault="00C62E6B" w:rsidP="00C62E6B">
      <w:pPr>
        <w:ind w:firstLine="708"/>
        <w:jc w:val="both"/>
        <w:rPr>
          <w:bCs/>
          <w:sz w:val="24"/>
          <w:szCs w:val="24"/>
        </w:rPr>
      </w:pPr>
      <w:r>
        <w:rPr>
          <w:bCs/>
          <w:sz w:val="24"/>
          <w:szCs w:val="24"/>
        </w:rPr>
        <w:t>- процентов за кредит на оборотные цели в размере 207 813,81 тыс. рублей;</w:t>
      </w:r>
    </w:p>
    <w:p w:rsidR="00C62E6B" w:rsidRDefault="00C62E6B" w:rsidP="00C62E6B">
      <w:pPr>
        <w:ind w:firstLine="708"/>
        <w:jc w:val="both"/>
        <w:rPr>
          <w:bCs/>
          <w:sz w:val="24"/>
          <w:szCs w:val="24"/>
        </w:rPr>
      </w:pPr>
      <w:r>
        <w:rPr>
          <w:bCs/>
          <w:sz w:val="24"/>
          <w:szCs w:val="24"/>
        </w:rPr>
        <w:t>- процентов за кредит на инвестиционные цели, в размере 126 455,33 тыс. рублей.</w:t>
      </w:r>
    </w:p>
    <w:p w:rsidR="00C62E6B" w:rsidRDefault="00C62E6B" w:rsidP="00C62E6B">
      <w:pPr>
        <w:ind w:firstLine="708"/>
        <w:jc w:val="both"/>
        <w:rPr>
          <w:bCs/>
          <w:sz w:val="24"/>
          <w:szCs w:val="24"/>
        </w:rPr>
      </w:pPr>
      <w:r>
        <w:rPr>
          <w:bCs/>
          <w:sz w:val="24"/>
          <w:szCs w:val="24"/>
        </w:rPr>
        <w:t>Согласно материалам к Правлению, органом регулирования учитывается сумма расходов по данной статье в размере 184 009,10 тыс. руб. – без учета расходов на обслуживание инвестиционных кредитов.</w:t>
      </w:r>
    </w:p>
    <w:p w:rsidR="00C62E6B" w:rsidRDefault="00C62E6B" w:rsidP="00C62E6B">
      <w:pPr>
        <w:ind w:firstLine="708"/>
        <w:jc w:val="both"/>
        <w:rPr>
          <w:bCs/>
          <w:sz w:val="24"/>
          <w:szCs w:val="24"/>
        </w:rPr>
      </w:pPr>
      <w:r>
        <w:rPr>
          <w:bCs/>
          <w:sz w:val="24"/>
          <w:szCs w:val="24"/>
        </w:rPr>
        <w:t>Филиал «Ивэнерго» выражает несогласие с отказом органа регулирования в компенсации полной суммы расходов на обслуживание заемных средств.</w:t>
      </w:r>
    </w:p>
    <w:p w:rsidR="00C62E6B" w:rsidRDefault="00C62E6B" w:rsidP="00C62E6B">
      <w:pPr>
        <w:ind w:firstLine="708"/>
        <w:jc w:val="both"/>
        <w:rPr>
          <w:bCs/>
          <w:sz w:val="24"/>
          <w:szCs w:val="24"/>
        </w:rPr>
      </w:pPr>
      <w:r>
        <w:rPr>
          <w:bCs/>
          <w:sz w:val="24"/>
          <w:szCs w:val="24"/>
        </w:rPr>
        <w:t>В подтверждение предложений со стороны филиала «Ивэнерго» предоставлены следующие материалы:</w:t>
      </w:r>
    </w:p>
    <w:p w:rsidR="00C62E6B" w:rsidRDefault="00C62E6B" w:rsidP="00C62E6B">
      <w:pPr>
        <w:ind w:firstLine="708"/>
        <w:jc w:val="both"/>
        <w:rPr>
          <w:bCs/>
          <w:sz w:val="24"/>
          <w:szCs w:val="24"/>
        </w:rPr>
      </w:pPr>
      <w:r>
        <w:rPr>
          <w:bCs/>
          <w:sz w:val="24"/>
          <w:szCs w:val="24"/>
        </w:rPr>
        <w:t>- справка по величине задолженности по кредитам и займам, приходящимся на филиал «Ивэнерго»;</w:t>
      </w:r>
    </w:p>
    <w:p w:rsidR="00C62E6B" w:rsidRDefault="00C62E6B" w:rsidP="00C62E6B">
      <w:pPr>
        <w:ind w:firstLine="708"/>
        <w:jc w:val="both"/>
        <w:rPr>
          <w:bCs/>
          <w:sz w:val="24"/>
          <w:szCs w:val="24"/>
        </w:rPr>
      </w:pPr>
      <w:r>
        <w:rPr>
          <w:bCs/>
          <w:sz w:val="24"/>
          <w:szCs w:val="24"/>
        </w:rPr>
        <w:t>- копии кредитных договоров.</w:t>
      </w:r>
    </w:p>
    <w:p w:rsidR="00C62E6B" w:rsidRDefault="00C62E6B" w:rsidP="00C62E6B">
      <w:pPr>
        <w:ind w:firstLine="708"/>
        <w:jc w:val="both"/>
        <w:rPr>
          <w:bCs/>
          <w:sz w:val="24"/>
          <w:szCs w:val="24"/>
        </w:rPr>
      </w:pPr>
      <w:r>
        <w:rPr>
          <w:bCs/>
          <w:sz w:val="24"/>
          <w:szCs w:val="24"/>
        </w:rPr>
        <w:t xml:space="preserve">В соответствии с пунктом 11 Методических указаний № 98-э в состав неподконтрольных расходов включаются расходы на обслуживание долгосрочных заемных средств, в том числе, направляемые на финансирование капитальных вложений в соответствии с </w:t>
      </w:r>
      <w:hyperlink r:id="rId19" w:history="1">
        <w:r>
          <w:rPr>
            <w:rStyle w:val="ac"/>
            <w:bCs/>
            <w:sz w:val="24"/>
            <w:szCs w:val="24"/>
          </w:rPr>
          <w:t>пунктом 32</w:t>
        </w:r>
      </w:hyperlink>
      <w:r>
        <w:rPr>
          <w:bCs/>
          <w:sz w:val="24"/>
          <w:szCs w:val="24"/>
        </w:rPr>
        <w:t xml:space="preserve"> Основ ценообразования.</w:t>
      </w:r>
    </w:p>
    <w:p w:rsidR="00C62E6B" w:rsidRDefault="00C62E6B" w:rsidP="00C62E6B">
      <w:pPr>
        <w:ind w:firstLine="708"/>
        <w:jc w:val="both"/>
        <w:rPr>
          <w:bCs/>
          <w:sz w:val="24"/>
          <w:szCs w:val="24"/>
        </w:rPr>
      </w:pPr>
      <w:r>
        <w:rPr>
          <w:bCs/>
          <w:sz w:val="24"/>
          <w:szCs w:val="24"/>
        </w:rPr>
        <w:t>Согласно решению Кассационного суда от 04.10.2022 по делу №3а-21/2021, определено:</w:t>
      </w:r>
    </w:p>
    <w:p w:rsidR="00C62E6B" w:rsidRDefault="00C62E6B" w:rsidP="00C62E6B">
      <w:pPr>
        <w:ind w:firstLine="708"/>
        <w:jc w:val="both"/>
        <w:rPr>
          <w:bCs/>
          <w:sz w:val="24"/>
          <w:szCs w:val="24"/>
        </w:rPr>
      </w:pPr>
      <w:r>
        <w:rPr>
          <w:bCs/>
          <w:i/>
          <w:iCs/>
          <w:sz w:val="24"/>
          <w:szCs w:val="24"/>
        </w:rPr>
        <w:t xml:space="preserve">... покрытие дефицита денежных средств осуществляется за счет привлечения заемных средств. Вследствие чего, расходы на обслуживание заемных средств являются </w:t>
      </w:r>
      <w:r>
        <w:rPr>
          <w:b/>
          <w:bCs/>
          <w:i/>
          <w:iCs/>
          <w:sz w:val="24"/>
          <w:szCs w:val="24"/>
        </w:rPr>
        <w:t>экономически обоснованными и подлежат учету в НВВ.</w:t>
      </w:r>
    </w:p>
    <w:p w:rsidR="00C62E6B" w:rsidRDefault="00C62E6B" w:rsidP="00C62E6B">
      <w:pPr>
        <w:ind w:firstLine="708"/>
        <w:jc w:val="both"/>
        <w:rPr>
          <w:bCs/>
          <w:sz w:val="24"/>
          <w:szCs w:val="24"/>
        </w:rPr>
      </w:pPr>
      <w:r>
        <w:rPr>
          <w:bCs/>
          <w:sz w:val="24"/>
          <w:szCs w:val="24"/>
        </w:rPr>
        <w:lastRenderedPageBreak/>
        <w:t>В отношении расходов на обслуживание инвестиционных кредитов необходимо отметить следующее.</w:t>
      </w:r>
    </w:p>
    <w:p w:rsidR="00C62E6B" w:rsidRDefault="00C62E6B" w:rsidP="00C62E6B">
      <w:pPr>
        <w:ind w:firstLine="708"/>
        <w:jc w:val="both"/>
        <w:rPr>
          <w:bCs/>
          <w:sz w:val="24"/>
          <w:szCs w:val="24"/>
        </w:rPr>
      </w:pPr>
      <w:r>
        <w:rPr>
          <w:bCs/>
          <w:sz w:val="24"/>
          <w:szCs w:val="24"/>
        </w:rPr>
        <w:t xml:space="preserve">В соответствии с пунктом 11 Методических указаний № 98-э в состав неподконтрольных расходов включаются расходы на возврат и обслуживание долгосрочных заемных средств, в том числе направляемых на финансирование капитальных вложений в соответствии с </w:t>
      </w:r>
      <w:hyperlink r:id="rId20" w:history="1">
        <w:r>
          <w:rPr>
            <w:rStyle w:val="ac"/>
            <w:bCs/>
            <w:sz w:val="24"/>
            <w:szCs w:val="24"/>
          </w:rPr>
          <w:t>пунктом 32</w:t>
        </w:r>
      </w:hyperlink>
      <w:r>
        <w:rPr>
          <w:bCs/>
          <w:sz w:val="24"/>
          <w:szCs w:val="24"/>
        </w:rPr>
        <w:t xml:space="preserve"> Основ ценообразования.</w:t>
      </w:r>
    </w:p>
    <w:p w:rsidR="00C62E6B" w:rsidRDefault="00C62E6B" w:rsidP="00C62E6B">
      <w:pPr>
        <w:ind w:firstLine="708"/>
        <w:jc w:val="both"/>
        <w:rPr>
          <w:bCs/>
          <w:sz w:val="24"/>
          <w:szCs w:val="24"/>
        </w:rPr>
      </w:pPr>
      <w:r>
        <w:rPr>
          <w:bCs/>
          <w:sz w:val="24"/>
          <w:szCs w:val="24"/>
        </w:rPr>
        <w:t>Пунктом 32 Основ ценообразования установлено, что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w:t>
      </w:r>
    </w:p>
    <w:p w:rsidR="00C62E6B" w:rsidRDefault="00C62E6B" w:rsidP="00C62E6B">
      <w:pPr>
        <w:ind w:firstLine="708"/>
        <w:jc w:val="both"/>
        <w:rPr>
          <w:bCs/>
          <w:sz w:val="24"/>
          <w:szCs w:val="24"/>
        </w:rPr>
      </w:pPr>
      <w:r>
        <w:rPr>
          <w:bCs/>
          <w:sz w:val="24"/>
          <w:szCs w:val="24"/>
        </w:rPr>
        <w:t>На основании вышеизложенного, филиал «Ивэнерго» настаивает на включении расходов на обслуживание заемных средств в полном объеме в размере 334 269,14 тыс. рублей в составе неподконтрольных расходов 2025 года.</w:t>
      </w:r>
    </w:p>
    <w:p w:rsidR="00C62E6B" w:rsidRDefault="00C62E6B" w:rsidP="00C62E6B">
      <w:pPr>
        <w:ind w:firstLine="708"/>
        <w:jc w:val="both"/>
        <w:rPr>
          <w:bCs/>
          <w:sz w:val="24"/>
          <w:szCs w:val="24"/>
        </w:rPr>
      </w:pPr>
      <w:r>
        <w:rPr>
          <w:bCs/>
          <w:sz w:val="24"/>
          <w:szCs w:val="24"/>
        </w:rPr>
        <w:t>Департамент отмечает, что расходы по статье «Обслуживание заемных средств» приняты на 2025 год в размере 220 618,68</w:t>
      </w:r>
      <w:r>
        <w:rPr>
          <w:b/>
          <w:bCs/>
          <w:sz w:val="24"/>
          <w:szCs w:val="24"/>
        </w:rPr>
        <w:t xml:space="preserve"> </w:t>
      </w:r>
      <w:r>
        <w:rPr>
          <w:bCs/>
          <w:sz w:val="24"/>
          <w:szCs w:val="24"/>
        </w:rPr>
        <w:t>тыс. руб., вместо заявленных организацией 334 269,14 тыс. руб. (с ростом 204,57% к плану 2024 года), без учета расходов на обслуживание консолидационных кредитов, на основании выполненного Департаментом планового расчета дефицита средств филиала «Ивэнерго» в 2025 году и расходов на их обслуживание.</w:t>
      </w:r>
    </w:p>
    <w:p w:rsidR="00C62E6B" w:rsidRDefault="00C62E6B" w:rsidP="00C62E6B">
      <w:pPr>
        <w:ind w:firstLine="708"/>
        <w:jc w:val="both"/>
        <w:rPr>
          <w:bCs/>
          <w:sz w:val="24"/>
          <w:szCs w:val="24"/>
        </w:rPr>
      </w:pPr>
      <w:r>
        <w:rPr>
          <w:bCs/>
          <w:sz w:val="24"/>
          <w:szCs w:val="24"/>
        </w:rPr>
        <w:t>Экспертной группой проведен альтернативный плановый расчет дефицита средств филиала «Ивэнерго» на 2025 год исходя из фактического расчетного дефицита средств организации в 2023 году  в сумме 1 083 635,80 тыс. руб., за вычетом компенсации выпадающих доходов прошлых периодов в составе НВВ 2023 года в сумме 359 708,23 тыс. руб., а также с учетом определенных Экспертной группой положительных экономически обоснованных результатов деятельности филиала «Ивэнерго» за 2023 год в размере 351 107,41 тыс. руб. и составляет 1 075 034,98 тыс. руб. Средняя плановая процентная ставка в размере 20,522% принята Департаментом на уровне предложения организации.</w:t>
      </w:r>
    </w:p>
    <w:tbl>
      <w:tblPr>
        <w:tblStyle w:val="ad"/>
        <w:tblW w:w="0" w:type="auto"/>
        <w:jc w:val="center"/>
        <w:tblLayout w:type="fixed"/>
        <w:tblLook w:val="04A0" w:firstRow="1" w:lastRow="0" w:firstColumn="1" w:lastColumn="0" w:noHBand="0" w:noVBand="1"/>
      </w:tblPr>
      <w:tblGrid>
        <w:gridCol w:w="1687"/>
        <w:gridCol w:w="1815"/>
        <w:gridCol w:w="1725"/>
        <w:gridCol w:w="1542"/>
        <w:gridCol w:w="1332"/>
        <w:gridCol w:w="1667"/>
      </w:tblGrid>
      <w:tr w:rsidR="00C62E6B" w:rsidTr="00C62E6B">
        <w:trPr>
          <w:trHeight w:val="1244"/>
          <w:jc w:val="center"/>
        </w:trPr>
        <w:tc>
          <w:tcPr>
            <w:tcW w:w="1687"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pPr>
              <w:jc w:val="center"/>
              <w:rPr>
                <w:rFonts w:eastAsia="Calibri"/>
                <w:bCs/>
                <w:sz w:val="18"/>
                <w:szCs w:val="18"/>
                <w:lang w:val="ru-RU" w:eastAsia="en-US"/>
              </w:rPr>
            </w:pPr>
            <w:r w:rsidRPr="00C62E6B">
              <w:rPr>
                <w:rFonts w:eastAsia="Calibri"/>
                <w:bCs/>
                <w:sz w:val="18"/>
                <w:szCs w:val="18"/>
                <w:lang w:val="ru-RU"/>
              </w:rPr>
              <w:t>Компенсация выпадающих доходов прошлых периодов в составе НВВ филиала «Ивэнерго» 2023 года, тыс. руб.</w:t>
            </w:r>
          </w:p>
        </w:tc>
        <w:tc>
          <w:tcPr>
            <w:tcW w:w="1815"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pPr>
              <w:jc w:val="center"/>
              <w:rPr>
                <w:rFonts w:eastAsia="Calibri"/>
                <w:bCs/>
                <w:sz w:val="18"/>
                <w:szCs w:val="18"/>
                <w:lang w:val="ru-RU"/>
              </w:rPr>
            </w:pPr>
            <w:r w:rsidRPr="00C62E6B">
              <w:rPr>
                <w:rFonts w:eastAsia="Calibri"/>
                <w:bCs/>
                <w:sz w:val="18"/>
                <w:szCs w:val="18"/>
                <w:lang w:val="ru-RU"/>
              </w:rPr>
              <w:t>Экономически обоснованные результаты деятельности филиала  «Ивэнерго», определенные Экспертной группой за 2023 год, тыс. руб.</w:t>
            </w:r>
          </w:p>
        </w:tc>
        <w:tc>
          <w:tcPr>
            <w:tcW w:w="1725"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pPr>
              <w:jc w:val="center"/>
              <w:rPr>
                <w:rFonts w:eastAsia="Calibri"/>
                <w:bCs/>
                <w:sz w:val="18"/>
                <w:szCs w:val="18"/>
                <w:lang w:val="ru-RU"/>
              </w:rPr>
            </w:pPr>
            <w:r w:rsidRPr="00C62E6B">
              <w:rPr>
                <w:rFonts w:eastAsia="Calibri"/>
                <w:bCs/>
                <w:sz w:val="18"/>
                <w:szCs w:val="18"/>
                <w:lang w:val="ru-RU"/>
              </w:rPr>
              <w:t>Фактический расчетный дефицит средств филиала «Ивэнерго» в 2023 году, тыс. руб.</w:t>
            </w:r>
          </w:p>
        </w:tc>
        <w:tc>
          <w:tcPr>
            <w:tcW w:w="1542"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pPr>
              <w:jc w:val="center"/>
              <w:rPr>
                <w:rFonts w:eastAsia="Calibri"/>
                <w:bCs/>
                <w:sz w:val="18"/>
                <w:szCs w:val="18"/>
                <w:lang w:val="ru-RU"/>
              </w:rPr>
            </w:pPr>
            <w:r w:rsidRPr="00C62E6B">
              <w:rPr>
                <w:rFonts w:eastAsia="Calibri"/>
                <w:bCs/>
                <w:sz w:val="18"/>
                <w:szCs w:val="18"/>
                <w:lang w:val="ru-RU"/>
              </w:rPr>
              <w:t>Плановый расчетный дефицит средств филиала «Ивэнерго» в 2025 году, тыс. руб.</w:t>
            </w:r>
          </w:p>
        </w:tc>
        <w:tc>
          <w:tcPr>
            <w:tcW w:w="1332"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pPr>
              <w:jc w:val="center"/>
              <w:rPr>
                <w:rFonts w:eastAsia="Calibri"/>
                <w:bCs/>
                <w:sz w:val="18"/>
                <w:szCs w:val="18"/>
                <w:lang w:val="ru-RU"/>
              </w:rPr>
            </w:pPr>
            <w:r w:rsidRPr="00C62E6B">
              <w:rPr>
                <w:rFonts w:eastAsia="Calibri"/>
                <w:bCs/>
                <w:sz w:val="18"/>
                <w:szCs w:val="18"/>
                <w:lang w:val="ru-RU"/>
              </w:rPr>
              <w:t>Средняя плановая процентная ставка в 2025 году, %</w:t>
            </w:r>
          </w:p>
        </w:tc>
        <w:tc>
          <w:tcPr>
            <w:tcW w:w="1667" w:type="dxa"/>
            <w:tcBorders>
              <w:top w:val="single" w:sz="4" w:space="0" w:color="auto"/>
              <w:left w:val="single" w:sz="4" w:space="0" w:color="auto"/>
              <w:bottom w:val="single" w:sz="4" w:space="0" w:color="auto"/>
              <w:right w:val="single" w:sz="4" w:space="0" w:color="auto"/>
            </w:tcBorders>
            <w:vAlign w:val="center"/>
            <w:hideMark/>
          </w:tcPr>
          <w:p w:rsidR="00C62E6B" w:rsidRPr="00C62E6B" w:rsidRDefault="00C62E6B">
            <w:pPr>
              <w:jc w:val="center"/>
              <w:rPr>
                <w:rFonts w:eastAsia="Calibri"/>
                <w:bCs/>
                <w:sz w:val="18"/>
                <w:szCs w:val="18"/>
                <w:lang w:val="ru-RU"/>
              </w:rPr>
            </w:pPr>
            <w:r w:rsidRPr="00C62E6B">
              <w:rPr>
                <w:rFonts w:eastAsia="Calibri"/>
                <w:bCs/>
                <w:sz w:val="18"/>
                <w:szCs w:val="18"/>
                <w:lang w:val="ru-RU"/>
              </w:rPr>
              <w:t>Плановая стоимость обслуживания заемных средств в 2025 году, тыс. руб.</w:t>
            </w:r>
          </w:p>
        </w:tc>
      </w:tr>
      <w:tr w:rsidR="00C62E6B" w:rsidTr="00C62E6B">
        <w:trPr>
          <w:trHeight w:val="218"/>
          <w:jc w:val="center"/>
        </w:trPr>
        <w:tc>
          <w:tcPr>
            <w:tcW w:w="1687" w:type="dxa"/>
            <w:tcBorders>
              <w:top w:val="single" w:sz="4" w:space="0" w:color="auto"/>
              <w:left w:val="single" w:sz="4" w:space="0" w:color="auto"/>
              <w:bottom w:val="single" w:sz="4" w:space="0" w:color="auto"/>
              <w:right w:val="single" w:sz="4" w:space="0" w:color="auto"/>
            </w:tcBorders>
            <w:noWrap/>
            <w:hideMark/>
          </w:tcPr>
          <w:p w:rsidR="00C62E6B" w:rsidRDefault="00C62E6B">
            <w:pPr>
              <w:jc w:val="center"/>
              <w:rPr>
                <w:rFonts w:eastAsia="Calibri"/>
                <w:bCs/>
                <w:sz w:val="18"/>
                <w:szCs w:val="18"/>
              </w:rPr>
            </w:pPr>
            <w:r>
              <w:rPr>
                <w:rFonts w:eastAsia="Calibri"/>
                <w:bCs/>
                <w:sz w:val="18"/>
                <w:szCs w:val="18"/>
              </w:rPr>
              <w:t>359 708,23</w:t>
            </w:r>
          </w:p>
        </w:tc>
        <w:tc>
          <w:tcPr>
            <w:tcW w:w="1815" w:type="dxa"/>
            <w:tcBorders>
              <w:top w:val="single" w:sz="4" w:space="0" w:color="auto"/>
              <w:left w:val="single" w:sz="4" w:space="0" w:color="auto"/>
              <w:bottom w:val="single" w:sz="4" w:space="0" w:color="auto"/>
              <w:right w:val="single" w:sz="4" w:space="0" w:color="auto"/>
            </w:tcBorders>
            <w:noWrap/>
            <w:hideMark/>
          </w:tcPr>
          <w:p w:rsidR="00C62E6B" w:rsidRDefault="00C62E6B">
            <w:pPr>
              <w:jc w:val="center"/>
              <w:rPr>
                <w:rFonts w:eastAsia="Calibri"/>
                <w:bCs/>
                <w:color w:val="FF0000"/>
                <w:sz w:val="18"/>
                <w:szCs w:val="18"/>
              </w:rPr>
            </w:pPr>
            <w:r>
              <w:rPr>
                <w:rFonts w:eastAsia="Calibri"/>
                <w:bCs/>
                <w:sz w:val="18"/>
                <w:szCs w:val="18"/>
              </w:rPr>
              <w:t>351 107,41</w:t>
            </w:r>
          </w:p>
        </w:tc>
        <w:tc>
          <w:tcPr>
            <w:tcW w:w="1725" w:type="dxa"/>
            <w:tcBorders>
              <w:top w:val="single" w:sz="4" w:space="0" w:color="auto"/>
              <w:left w:val="single" w:sz="4" w:space="0" w:color="auto"/>
              <w:bottom w:val="single" w:sz="4" w:space="0" w:color="auto"/>
              <w:right w:val="single" w:sz="4" w:space="0" w:color="auto"/>
            </w:tcBorders>
            <w:noWrap/>
            <w:hideMark/>
          </w:tcPr>
          <w:p w:rsidR="00C62E6B" w:rsidRDefault="00C62E6B">
            <w:pPr>
              <w:jc w:val="center"/>
              <w:rPr>
                <w:rFonts w:eastAsia="Calibri"/>
                <w:bCs/>
                <w:color w:val="FF0000"/>
                <w:sz w:val="18"/>
                <w:szCs w:val="18"/>
              </w:rPr>
            </w:pPr>
            <w:r>
              <w:rPr>
                <w:rFonts w:eastAsia="Calibri"/>
                <w:bCs/>
                <w:sz w:val="18"/>
                <w:szCs w:val="18"/>
              </w:rPr>
              <w:t>1 083 635,80</w:t>
            </w:r>
          </w:p>
        </w:tc>
        <w:tc>
          <w:tcPr>
            <w:tcW w:w="1542" w:type="dxa"/>
            <w:tcBorders>
              <w:top w:val="single" w:sz="4" w:space="0" w:color="auto"/>
              <w:left w:val="single" w:sz="4" w:space="0" w:color="auto"/>
              <w:bottom w:val="single" w:sz="4" w:space="0" w:color="auto"/>
              <w:right w:val="single" w:sz="4" w:space="0" w:color="auto"/>
            </w:tcBorders>
            <w:noWrap/>
            <w:hideMark/>
          </w:tcPr>
          <w:p w:rsidR="00C62E6B" w:rsidRDefault="00C62E6B">
            <w:pPr>
              <w:jc w:val="center"/>
              <w:rPr>
                <w:rFonts w:eastAsia="Calibri"/>
                <w:bCs/>
                <w:color w:val="FF0000"/>
                <w:sz w:val="18"/>
                <w:szCs w:val="18"/>
              </w:rPr>
            </w:pPr>
            <w:r>
              <w:rPr>
                <w:rFonts w:eastAsia="Calibri"/>
                <w:bCs/>
                <w:sz w:val="18"/>
                <w:szCs w:val="18"/>
              </w:rPr>
              <w:t>1 075 034,98</w:t>
            </w:r>
          </w:p>
        </w:tc>
        <w:tc>
          <w:tcPr>
            <w:tcW w:w="1332" w:type="dxa"/>
            <w:tcBorders>
              <w:top w:val="single" w:sz="4" w:space="0" w:color="auto"/>
              <w:left w:val="single" w:sz="4" w:space="0" w:color="auto"/>
              <w:bottom w:val="single" w:sz="4" w:space="0" w:color="auto"/>
              <w:right w:val="single" w:sz="4" w:space="0" w:color="auto"/>
            </w:tcBorders>
            <w:noWrap/>
            <w:hideMark/>
          </w:tcPr>
          <w:p w:rsidR="00C62E6B" w:rsidRDefault="00C62E6B">
            <w:pPr>
              <w:jc w:val="center"/>
              <w:rPr>
                <w:rFonts w:eastAsia="Calibri"/>
                <w:bCs/>
                <w:color w:val="FF0000"/>
                <w:sz w:val="18"/>
                <w:szCs w:val="18"/>
              </w:rPr>
            </w:pPr>
            <w:r>
              <w:rPr>
                <w:rFonts w:eastAsia="Calibri"/>
                <w:bCs/>
                <w:sz w:val="18"/>
                <w:szCs w:val="18"/>
              </w:rPr>
              <w:t>20,522%</w:t>
            </w:r>
          </w:p>
        </w:tc>
        <w:tc>
          <w:tcPr>
            <w:tcW w:w="1667" w:type="dxa"/>
            <w:tcBorders>
              <w:top w:val="single" w:sz="4" w:space="0" w:color="auto"/>
              <w:left w:val="single" w:sz="4" w:space="0" w:color="auto"/>
              <w:bottom w:val="single" w:sz="4" w:space="0" w:color="auto"/>
              <w:right w:val="single" w:sz="4" w:space="0" w:color="auto"/>
            </w:tcBorders>
            <w:noWrap/>
            <w:hideMark/>
          </w:tcPr>
          <w:p w:rsidR="00C62E6B" w:rsidRDefault="00C62E6B">
            <w:pPr>
              <w:jc w:val="center"/>
              <w:rPr>
                <w:rFonts w:eastAsia="Calibri"/>
                <w:b/>
                <w:bCs/>
                <w:sz w:val="18"/>
                <w:szCs w:val="18"/>
              </w:rPr>
            </w:pPr>
            <w:r>
              <w:rPr>
                <w:rFonts w:eastAsia="Calibri"/>
                <w:b/>
                <w:bCs/>
                <w:sz w:val="18"/>
                <w:szCs w:val="18"/>
              </w:rPr>
              <w:t>220 618,68</w:t>
            </w:r>
          </w:p>
        </w:tc>
      </w:tr>
    </w:tbl>
    <w:p w:rsidR="00C62E6B" w:rsidRDefault="00C62E6B" w:rsidP="00C62E6B">
      <w:pPr>
        <w:ind w:firstLine="708"/>
        <w:jc w:val="both"/>
        <w:rPr>
          <w:bCs/>
          <w:sz w:val="24"/>
          <w:szCs w:val="24"/>
        </w:rPr>
      </w:pPr>
    </w:p>
    <w:p w:rsidR="00C62E6B" w:rsidRDefault="00C62E6B" w:rsidP="00C62E6B">
      <w:pPr>
        <w:ind w:firstLine="708"/>
        <w:jc w:val="both"/>
        <w:rPr>
          <w:b/>
          <w:bCs/>
          <w:i/>
          <w:sz w:val="24"/>
          <w:szCs w:val="24"/>
        </w:rPr>
      </w:pPr>
      <w:r>
        <w:rPr>
          <w:b/>
          <w:bCs/>
          <w:i/>
          <w:sz w:val="24"/>
          <w:szCs w:val="24"/>
        </w:rPr>
        <w:t>2.6. Дефицит средств на реализацию мероприятий по организации коммерческого учета (в соответствии с требованиями п.5 ст.37 ФЗ «Об электроэнергетике» № 35-ФЗ с учетом изменений от 27.12.2018 № 522-ФЗ).</w:t>
      </w:r>
    </w:p>
    <w:p w:rsidR="00C62E6B" w:rsidRDefault="00C62E6B" w:rsidP="00C62E6B">
      <w:pPr>
        <w:ind w:firstLine="708"/>
        <w:jc w:val="both"/>
        <w:rPr>
          <w:bCs/>
          <w:sz w:val="24"/>
          <w:szCs w:val="24"/>
        </w:rPr>
      </w:pPr>
      <w:r>
        <w:rPr>
          <w:bCs/>
          <w:sz w:val="24"/>
          <w:szCs w:val="24"/>
        </w:rPr>
        <w:t xml:space="preserve">Дефицит средств на реализацию мероприятий по организации коммерческого учета исключен Департаментом из состава неподконтрольных расходов в полном объеме </w:t>
      </w:r>
      <w:r>
        <w:rPr>
          <w:b/>
          <w:bCs/>
          <w:sz w:val="24"/>
          <w:szCs w:val="24"/>
        </w:rPr>
        <w:t>140 712,60 тыс. руб</w:t>
      </w:r>
      <w:r>
        <w:rPr>
          <w:bCs/>
          <w:sz w:val="24"/>
          <w:szCs w:val="24"/>
        </w:rPr>
        <w:t>.</w:t>
      </w:r>
    </w:p>
    <w:p w:rsidR="00C62E6B" w:rsidRDefault="00C62E6B" w:rsidP="00C62E6B">
      <w:pPr>
        <w:ind w:firstLine="708"/>
        <w:jc w:val="both"/>
        <w:rPr>
          <w:bCs/>
          <w:sz w:val="24"/>
          <w:szCs w:val="24"/>
        </w:rPr>
      </w:pPr>
      <w:r>
        <w:rPr>
          <w:bCs/>
          <w:sz w:val="24"/>
          <w:szCs w:val="24"/>
        </w:rPr>
        <w:t xml:space="preserve">Позиция Департамента основывается на том, что средства на реализацию мероприятий по организации коммерческого учета учтены в полном объеме в составе подконтрольных расходов на 2022 год по статье «Расходы, связанные с организацией коммерческого учета (в соответствии с п.5 ст.37 ФЗ «Об электроэнергетике» № 35-ФЗ с учетом изменений от 27.12.2018 № 522-ФЗ)» в размере 159 652,67 тыс. руб., а также в составе мероприятий ИПР на 2025 год. </w:t>
      </w:r>
    </w:p>
    <w:p w:rsidR="00C62E6B" w:rsidRDefault="00C62E6B" w:rsidP="00C62E6B">
      <w:pPr>
        <w:ind w:firstLine="708"/>
        <w:jc w:val="both"/>
        <w:rPr>
          <w:bCs/>
          <w:sz w:val="24"/>
          <w:szCs w:val="24"/>
        </w:rPr>
      </w:pPr>
      <w:r>
        <w:rPr>
          <w:bCs/>
          <w:sz w:val="24"/>
          <w:szCs w:val="24"/>
        </w:rPr>
        <w:t>Кроме того, действующими Методическими указаниями № 98-э не предусмотрено выделение такой статьи в составе неподконтрольных расходов, данные расходы относятся к подконтрольным расходам, а все, что не учтено в подконтрольных расходах, покрывается средствами ИПР.</w:t>
      </w:r>
    </w:p>
    <w:p w:rsidR="00C62E6B" w:rsidRDefault="00C62E6B" w:rsidP="00C62E6B">
      <w:pPr>
        <w:ind w:firstLine="708"/>
        <w:jc w:val="both"/>
        <w:rPr>
          <w:bCs/>
          <w:sz w:val="24"/>
          <w:szCs w:val="24"/>
        </w:rPr>
      </w:pPr>
      <w:r>
        <w:rPr>
          <w:bCs/>
          <w:sz w:val="24"/>
          <w:szCs w:val="24"/>
        </w:rPr>
        <w:t xml:space="preserve">Данные расходы не могут относиться к «прочим расходам, учитываемым при установлении тарифов на i-й год долгосрочного периода регулирования, в составе неподконтрольных расходов, </w:t>
      </w:r>
      <w:r>
        <w:rPr>
          <w:bCs/>
          <w:sz w:val="24"/>
          <w:szCs w:val="24"/>
        </w:rPr>
        <w:lastRenderedPageBreak/>
        <w:t>по п.11 Методических указаний № 98-э, т.к. по смыслу являются подконтрольными расходами, что определено п.12 Методических указаний № 98-э: в состав подконтрольных расходов включаются расходы, необходимые для исполнения предусмотренных п.5 ст.37 Федерального закона от 26.03.2003 № 35-ФЗ «Об электроэнергетике» обязанностей сетевой организации по обеспечению коммерческого учета ЭЭ (мощности), не относящиеся к капитальным вложениям.</w:t>
      </w:r>
    </w:p>
    <w:p w:rsidR="00C62E6B" w:rsidRDefault="00C62E6B" w:rsidP="00C62E6B">
      <w:pPr>
        <w:ind w:firstLine="708"/>
        <w:jc w:val="both"/>
        <w:rPr>
          <w:bCs/>
          <w:sz w:val="24"/>
          <w:szCs w:val="24"/>
        </w:rPr>
      </w:pPr>
      <w:r>
        <w:rPr>
          <w:bCs/>
          <w:sz w:val="24"/>
          <w:szCs w:val="24"/>
        </w:rPr>
        <w:t>Филиал «Ивэнерго» не согласен с данной позицией. Потребность в средствах на ПКУ в утвержденной (скорректированной) ИПР и в составе подконтрольных расходов на долгосрочный период регулирования 2022-2026 гг. не является исчерпывающей.</w:t>
      </w:r>
    </w:p>
    <w:p w:rsidR="00C62E6B" w:rsidRDefault="00C62E6B" w:rsidP="00C62E6B">
      <w:pPr>
        <w:ind w:firstLine="708"/>
        <w:jc w:val="both"/>
        <w:rPr>
          <w:bCs/>
          <w:sz w:val="24"/>
          <w:szCs w:val="24"/>
        </w:rPr>
      </w:pPr>
      <w:r>
        <w:rPr>
          <w:bCs/>
          <w:sz w:val="24"/>
          <w:szCs w:val="24"/>
        </w:rPr>
        <w:t xml:space="preserve">Отсылка Департамента на пункт 12 Методических указаний № 98-э некорректна, так как в состав подконтрольных расходов включаются расходы, необходимые для исполнения предусмотренных </w:t>
      </w:r>
      <w:hyperlink r:id="rId21" w:history="1">
        <w:r>
          <w:rPr>
            <w:rStyle w:val="ac"/>
            <w:bCs/>
            <w:sz w:val="24"/>
            <w:szCs w:val="24"/>
          </w:rPr>
          <w:t>пунктом 5 статьи 37</w:t>
        </w:r>
      </w:hyperlink>
      <w:r>
        <w:rPr>
          <w:bCs/>
          <w:sz w:val="24"/>
          <w:szCs w:val="24"/>
        </w:rPr>
        <w:t xml:space="preserve"> Федерального закона от 26 марта 2003 г. №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w:t>
      </w:r>
    </w:p>
    <w:p w:rsidR="00C62E6B" w:rsidRDefault="00C62E6B" w:rsidP="00C62E6B">
      <w:pPr>
        <w:ind w:firstLine="708"/>
        <w:jc w:val="both"/>
        <w:rPr>
          <w:bCs/>
          <w:sz w:val="24"/>
          <w:szCs w:val="24"/>
        </w:rPr>
      </w:pPr>
      <w:r>
        <w:rPr>
          <w:bCs/>
          <w:sz w:val="24"/>
          <w:szCs w:val="24"/>
        </w:rPr>
        <w:t>Данным пунктом предусмотрено лишь ограничение по расходам, включаемым в состав подконтрольных расходов для исполнения Федерального закона № 35-ФЗ, а не запрет на включение расходов ТСО по обеспечению коммерческого учета в состав неподконтрольных расходов.</w:t>
      </w:r>
    </w:p>
    <w:p w:rsidR="00C62E6B" w:rsidRDefault="00C62E6B" w:rsidP="00C62E6B">
      <w:pPr>
        <w:ind w:firstLine="708"/>
        <w:jc w:val="both"/>
        <w:rPr>
          <w:bCs/>
          <w:sz w:val="24"/>
          <w:szCs w:val="24"/>
        </w:rPr>
      </w:pPr>
      <w:r>
        <w:rPr>
          <w:bCs/>
          <w:sz w:val="24"/>
          <w:szCs w:val="24"/>
        </w:rPr>
        <w:t>Одновременно с этим, положениями пункта 11 Методических указаний № 98-э предусмотрено включение «прочих расходов, учитываемых при установлении тарифов на i-й год долгосрочного периода регулирования».</w:t>
      </w:r>
    </w:p>
    <w:p w:rsidR="00C62E6B" w:rsidRDefault="00C62E6B" w:rsidP="00C62E6B">
      <w:pPr>
        <w:ind w:firstLine="708"/>
        <w:jc w:val="both"/>
        <w:rPr>
          <w:bCs/>
          <w:sz w:val="24"/>
          <w:szCs w:val="24"/>
        </w:rPr>
      </w:pPr>
      <w:r>
        <w:rPr>
          <w:bCs/>
          <w:sz w:val="24"/>
          <w:szCs w:val="24"/>
        </w:rPr>
        <w:t>Поскольку Департаментом при формировании базового уровня подконтрольных расходов на 2022 год:</w:t>
      </w:r>
    </w:p>
    <w:p w:rsidR="00C62E6B" w:rsidRDefault="00C62E6B" w:rsidP="00C62E6B">
      <w:pPr>
        <w:ind w:firstLine="708"/>
        <w:jc w:val="both"/>
        <w:rPr>
          <w:bCs/>
          <w:sz w:val="24"/>
          <w:szCs w:val="24"/>
        </w:rPr>
      </w:pPr>
      <w:r>
        <w:rPr>
          <w:bCs/>
          <w:sz w:val="24"/>
          <w:szCs w:val="24"/>
        </w:rPr>
        <w:t>- не учтены необходимые объемы расходов на организацию коммерческого учета, как в количественном, так и в стоимостном выражении;</w:t>
      </w:r>
    </w:p>
    <w:p w:rsidR="00C62E6B" w:rsidRDefault="00C62E6B" w:rsidP="00C62E6B">
      <w:pPr>
        <w:ind w:firstLine="708"/>
        <w:jc w:val="both"/>
        <w:rPr>
          <w:bCs/>
          <w:sz w:val="24"/>
          <w:szCs w:val="24"/>
        </w:rPr>
      </w:pPr>
      <w:r>
        <w:rPr>
          <w:bCs/>
          <w:sz w:val="24"/>
          <w:szCs w:val="24"/>
        </w:rPr>
        <w:t>- к определенной Департаментом «экономически обоснованной» величине расходов на первый (базовый) год долгосрочного периода регулирования применен коэффициент оптимизации с учетом методики бенчмаркинга;</w:t>
      </w:r>
    </w:p>
    <w:p w:rsidR="00C62E6B" w:rsidRDefault="00C62E6B" w:rsidP="00C62E6B">
      <w:pPr>
        <w:ind w:firstLine="708"/>
        <w:jc w:val="both"/>
        <w:rPr>
          <w:bCs/>
          <w:sz w:val="24"/>
          <w:szCs w:val="24"/>
        </w:rPr>
      </w:pPr>
      <w:r>
        <w:rPr>
          <w:bCs/>
          <w:sz w:val="24"/>
          <w:szCs w:val="24"/>
        </w:rPr>
        <w:t>- при формировании тарифно-балансовых решений на 2023 год Департаментом не осуществлен пересмотр подконтрольных расходов в соответствии с постановлением Правительства РФ от 14.11.2022 № 2053 с учетом сложившейся на тот момент макроэкономической ситуации, вызванной проведением в стране специальной военной операции, нарушением логистических связей (тем самым поставив филиал «Ивэнерго» в дискриминационное положение в сравнении с другими ТСО, в отношении которых был учтен сложившийся рост цен в рамках утверждения расходов на первый (базовый) год очередного долгосрочного периода регулирования, либо проведена соответствующая корректировка подконтрольных расходов)), аккумулирующийся ежегодно дефицит средств приведет к неисполнению требований Федерального закона № 522-ФЗ и применению к филиалу «Ивэнерго» штрафных санкций.</w:t>
      </w:r>
    </w:p>
    <w:p w:rsidR="00C62E6B" w:rsidRDefault="00C62E6B" w:rsidP="00C62E6B">
      <w:pPr>
        <w:ind w:firstLine="708"/>
        <w:jc w:val="both"/>
        <w:rPr>
          <w:bCs/>
          <w:sz w:val="24"/>
          <w:szCs w:val="24"/>
        </w:rPr>
      </w:pPr>
      <w:r>
        <w:rPr>
          <w:bCs/>
          <w:sz w:val="24"/>
          <w:szCs w:val="24"/>
        </w:rPr>
        <w:t>В составе материалов тарифной заявки филиалом «Ивэнерго» предоставлены обосновывающие документы, подтверждающие факт отсутствия дублирования объектов и расходов по ним в подконтрольных расходах или в составе инвестиционной программы.</w:t>
      </w:r>
    </w:p>
    <w:p w:rsidR="00C62E6B" w:rsidRDefault="00C62E6B" w:rsidP="00C62E6B">
      <w:pPr>
        <w:ind w:firstLine="708"/>
        <w:jc w:val="both"/>
        <w:rPr>
          <w:bCs/>
          <w:sz w:val="24"/>
          <w:szCs w:val="24"/>
        </w:rPr>
      </w:pPr>
      <w:r>
        <w:rPr>
          <w:bCs/>
          <w:sz w:val="24"/>
          <w:szCs w:val="24"/>
        </w:rPr>
        <w:t>Дефицит средств по данной статье наглядно представлен в таблице ниже.</w:t>
      </w:r>
    </w:p>
    <w:p w:rsidR="00C62E6B" w:rsidRDefault="00C62E6B" w:rsidP="00C62E6B">
      <w:pPr>
        <w:jc w:val="both"/>
        <w:rPr>
          <w:bCs/>
          <w:sz w:val="24"/>
          <w:szCs w:val="24"/>
        </w:rPr>
      </w:pPr>
    </w:p>
    <w:p w:rsidR="00C62E6B" w:rsidRDefault="00C62E6B" w:rsidP="00C62E6B">
      <w:pPr>
        <w:ind w:firstLine="708"/>
        <w:jc w:val="both"/>
        <w:rPr>
          <w:bCs/>
          <w:sz w:val="24"/>
          <w:szCs w:val="24"/>
        </w:rPr>
      </w:pPr>
      <w:r>
        <w:rPr>
          <w:rFonts w:eastAsia="Calibri"/>
        </w:rPr>
        <w:t xml:space="preserve">                                                                                                                        руб. без НДС</w:t>
      </w:r>
    </w:p>
    <w:tbl>
      <w:tblPr>
        <w:tblW w:w="9503" w:type="dxa"/>
        <w:tblInd w:w="103" w:type="dxa"/>
        <w:tblLook w:val="04A0" w:firstRow="1" w:lastRow="0" w:firstColumn="1" w:lastColumn="0" w:noHBand="0" w:noVBand="1"/>
      </w:tblPr>
      <w:tblGrid>
        <w:gridCol w:w="1750"/>
        <w:gridCol w:w="1977"/>
        <w:gridCol w:w="2708"/>
        <w:gridCol w:w="1508"/>
        <w:gridCol w:w="1560"/>
      </w:tblGrid>
      <w:tr w:rsidR="00C62E6B" w:rsidTr="00C62E6B">
        <w:trPr>
          <w:trHeight w:val="660"/>
        </w:trPr>
        <w:tc>
          <w:tcPr>
            <w:tcW w:w="1750" w:type="dxa"/>
            <w:vMerge w:val="restart"/>
            <w:tcBorders>
              <w:top w:val="single" w:sz="4" w:space="0" w:color="auto"/>
              <w:left w:val="single" w:sz="4" w:space="0" w:color="auto"/>
              <w:bottom w:val="single" w:sz="4" w:space="0" w:color="auto"/>
              <w:right w:val="single" w:sz="4" w:space="0" w:color="auto"/>
            </w:tcBorders>
            <w:vAlign w:val="center"/>
            <w:hideMark/>
          </w:tcPr>
          <w:p w:rsidR="00C62E6B" w:rsidRDefault="00C62E6B">
            <w:pPr>
              <w:jc w:val="center"/>
              <w:rPr>
                <w:color w:val="000000"/>
                <w:sz w:val="18"/>
                <w:szCs w:val="18"/>
              </w:rPr>
            </w:pPr>
            <w:r>
              <w:rPr>
                <w:color w:val="000000"/>
                <w:sz w:val="18"/>
                <w:szCs w:val="18"/>
              </w:rPr>
              <w:t>Тип средства коммерческого учета электрической энергии</w:t>
            </w:r>
          </w:p>
        </w:tc>
        <w:tc>
          <w:tcPr>
            <w:tcW w:w="1977" w:type="dxa"/>
            <w:vMerge w:val="restart"/>
            <w:tcBorders>
              <w:top w:val="single" w:sz="4" w:space="0" w:color="auto"/>
              <w:left w:val="nil"/>
              <w:bottom w:val="single" w:sz="4" w:space="0" w:color="auto"/>
              <w:right w:val="single" w:sz="4" w:space="0" w:color="auto"/>
            </w:tcBorders>
            <w:vAlign w:val="center"/>
            <w:hideMark/>
          </w:tcPr>
          <w:p w:rsidR="00C62E6B" w:rsidRDefault="00C62E6B">
            <w:pPr>
              <w:jc w:val="center"/>
              <w:rPr>
                <w:color w:val="000000"/>
                <w:sz w:val="18"/>
                <w:szCs w:val="18"/>
              </w:rPr>
            </w:pPr>
            <w:r>
              <w:rPr>
                <w:color w:val="000000"/>
                <w:sz w:val="18"/>
                <w:szCs w:val="18"/>
              </w:rPr>
              <w:t>Стоимость  в подконтрольных расходах филиала «Ивэнерго» на 2025 год</w:t>
            </w:r>
          </w:p>
        </w:tc>
        <w:tc>
          <w:tcPr>
            <w:tcW w:w="2708" w:type="dxa"/>
            <w:vMerge w:val="restart"/>
            <w:tcBorders>
              <w:top w:val="single" w:sz="4" w:space="0" w:color="auto"/>
              <w:left w:val="nil"/>
              <w:bottom w:val="single" w:sz="4" w:space="0" w:color="auto"/>
              <w:right w:val="single" w:sz="4" w:space="0" w:color="auto"/>
            </w:tcBorders>
            <w:vAlign w:val="center"/>
            <w:hideMark/>
          </w:tcPr>
          <w:p w:rsidR="00C62E6B" w:rsidRDefault="00C62E6B">
            <w:pPr>
              <w:jc w:val="center"/>
              <w:rPr>
                <w:color w:val="000000"/>
                <w:sz w:val="18"/>
                <w:szCs w:val="18"/>
              </w:rPr>
            </w:pPr>
            <w:r>
              <w:rPr>
                <w:color w:val="000000"/>
                <w:sz w:val="18"/>
                <w:szCs w:val="18"/>
              </w:rPr>
              <w:t>Стоимость в стандартизированных тарифных ставках за ТП к электрическим сетям ТСО на 2025 год</w:t>
            </w:r>
          </w:p>
        </w:tc>
        <w:tc>
          <w:tcPr>
            <w:tcW w:w="3068" w:type="dxa"/>
            <w:gridSpan w:val="2"/>
            <w:tcBorders>
              <w:top w:val="single" w:sz="4" w:space="0" w:color="auto"/>
              <w:left w:val="nil"/>
              <w:bottom w:val="single" w:sz="4" w:space="0" w:color="auto"/>
              <w:right w:val="single" w:sz="4" w:space="0" w:color="auto"/>
            </w:tcBorders>
            <w:vAlign w:val="center"/>
            <w:hideMark/>
          </w:tcPr>
          <w:p w:rsidR="00C62E6B" w:rsidRDefault="00C62E6B">
            <w:pPr>
              <w:jc w:val="center"/>
              <w:rPr>
                <w:color w:val="000000"/>
                <w:sz w:val="18"/>
                <w:szCs w:val="18"/>
              </w:rPr>
            </w:pPr>
            <w:r>
              <w:rPr>
                <w:color w:val="000000"/>
                <w:sz w:val="18"/>
                <w:szCs w:val="18"/>
              </w:rPr>
              <w:t>Отклонение</w:t>
            </w:r>
          </w:p>
        </w:tc>
      </w:tr>
      <w:tr w:rsidR="00C62E6B" w:rsidTr="00C62E6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Default="00C62E6B">
            <w:pPr>
              <w:rPr>
                <w:color w:val="00000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C62E6B" w:rsidRDefault="00C62E6B">
            <w:pPr>
              <w:rPr>
                <w:color w:val="000000"/>
                <w:sz w:val="18"/>
                <w:szCs w:val="18"/>
              </w:rPr>
            </w:pPr>
          </w:p>
        </w:tc>
        <w:tc>
          <w:tcPr>
            <w:tcW w:w="0" w:type="auto"/>
            <w:vMerge/>
            <w:tcBorders>
              <w:top w:val="single" w:sz="4" w:space="0" w:color="auto"/>
              <w:left w:val="nil"/>
              <w:bottom w:val="single" w:sz="4" w:space="0" w:color="auto"/>
              <w:right w:val="single" w:sz="4" w:space="0" w:color="auto"/>
            </w:tcBorders>
            <w:vAlign w:val="center"/>
            <w:hideMark/>
          </w:tcPr>
          <w:p w:rsidR="00C62E6B" w:rsidRDefault="00C62E6B">
            <w:pPr>
              <w:rPr>
                <w:color w:val="000000"/>
                <w:sz w:val="18"/>
                <w:szCs w:val="18"/>
              </w:rPr>
            </w:pPr>
          </w:p>
        </w:tc>
        <w:tc>
          <w:tcPr>
            <w:tcW w:w="1508" w:type="dxa"/>
            <w:tcBorders>
              <w:top w:val="single" w:sz="4" w:space="0" w:color="auto"/>
              <w:left w:val="nil"/>
              <w:bottom w:val="single" w:sz="4" w:space="0" w:color="auto"/>
              <w:right w:val="single" w:sz="4" w:space="0" w:color="auto"/>
            </w:tcBorders>
            <w:vAlign w:val="center"/>
            <w:hideMark/>
          </w:tcPr>
          <w:p w:rsidR="00C62E6B" w:rsidRDefault="00C62E6B">
            <w:pPr>
              <w:jc w:val="center"/>
              <w:rPr>
                <w:color w:val="000000"/>
                <w:sz w:val="18"/>
                <w:szCs w:val="18"/>
              </w:rPr>
            </w:pPr>
            <w:r>
              <w:rPr>
                <w:color w:val="000000"/>
                <w:sz w:val="18"/>
                <w:szCs w:val="18"/>
              </w:rPr>
              <w:t>%</w:t>
            </w:r>
          </w:p>
        </w:tc>
        <w:tc>
          <w:tcPr>
            <w:tcW w:w="1560" w:type="dxa"/>
            <w:tcBorders>
              <w:top w:val="single" w:sz="4" w:space="0" w:color="auto"/>
              <w:left w:val="nil"/>
              <w:bottom w:val="single" w:sz="4" w:space="0" w:color="auto"/>
              <w:right w:val="single" w:sz="4" w:space="0" w:color="auto"/>
            </w:tcBorders>
            <w:vAlign w:val="center"/>
            <w:hideMark/>
          </w:tcPr>
          <w:p w:rsidR="00C62E6B" w:rsidRDefault="00C62E6B">
            <w:pPr>
              <w:jc w:val="center"/>
              <w:rPr>
                <w:color w:val="000000"/>
                <w:sz w:val="18"/>
                <w:szCs w:val="18"/>
              </w:rPr>
            </w:pPr>
            <w:r>
              <w:rPr>
                <w:color w:val="000000"/>
                <w:sz w:val="18"/>
                <w:szCs w:val="18"/>
              </w:rPr>
              <w:t>руб.</w:t>
            </w:r>
          </w:p>
        </w:tc>
      </w:tr>
      <w:tr w:rsidR="00C62E6B" w:rsidTr="00C62E6B">
        <w:trPr>
          <w:trHeight w:val="315"/>
        </w:trPr>
        <w:tc>
          <w:tcPr>
            <w:tcW w:w="1750" w:type="dxa"/>
            <w:tcBorders>
              <w:top w:val="nil"/>
              <w:left w:val="single" w:sz="4" w:space="0" w:color="auto"/>
              <w:bottom w:val="single" w:sz="4" w:space="0" w:color="auto"/>
              <w:right w:val="single" w:sz="4" w:space="0" w:color="auto"/>
            </w:tcBorders>
            <w:noWrap/>
            <w:vAlign w:val="bottom"/>
            <w:hideMark/>
          </w:tcPr>
          <w:p w:rsidR="00C62E6B" w:rsidRDefault="00C62E6B">
            <w:pPr>
              <w:rPr>
                <w:color w:val="000000"/>
                <w:sz w:val="18"/>
                <w:szCs w:val="18"/>
              </w:rPr>
            </w:pPr>
            <w:r>
              <w:rPr>
                <w:color w:val="000000"/>
                <w:sz w:val="18"/>
                <w:szCs w:val="18"/>
              </w:rPr>
              <w:t>Однофазный прямого включения</w:t>
            </w:r>
          </w:p>
        </w:tc>
        <w:tc>
          <w:tcPr>
            <w:tcW w:w="1977" w:type="dxa"/>
            <w:tcBorders>
              <w:top w:val="nil"/>
              <w:left w:val="nil"/>
              <w:bottom w:val="single" w:sz="4" w:space="0" w:color="auto"/>
              <w:right w:val="single" w:sz="4" w:space="0" w:color="auto"/>
            </w:tcBorders>
            <w:noWrap/>
            <w:vAlign w:val="center"/>
            <w:hideMark/>
          </w:tcPr>
          <w:p w:rsidR="00C62E6B" w:rsidRDefault="00C62E6B">
            <w:pPr>
              <w:jc w:val="center"/>
              <w:rPr>
                <w:color w:val="000000"/>
                <w:sz w:val="18"/>
                <w:szCs w:val="18"/>
              </w:rPr>
            </w:pPr>
            <w:r>
              <w:rPr>
                <w:color w:val="000000"/>
                <w:sz w:val="18"/>
                <w:szCs w:val="18"/>
              </w:rPr>
              <w:t>12 828,52</w:t>
            </w:r>
          </w:p>
        </w:tc>
        <w:tc>
          <w:tcPr>
            <w:tcW w:w="2708" w:type="dxa"/>
            <w:tcBorders>
              <w:top w:val="nil"/>
              <w:left w:val="nil"/>
              <w:bottom w:val="single" w:sz="4" w:space="0" w:color="auto"/>
              <w:right w:val="single" w:sz="4" w:space="0" w:color="auto"/>
            </w:tcBorders>
            <w:noWrap/>
            <w:vAlign w:val="center"/>
            <w:hideMark/>
          </w:tcPr>
          <w:p w:rsidR="00C62E6B" w:rsidRDefault="00C62E6B">
            <w:pPr>
              <w:jc w:val="center"/>
              <w:rPr>
                <w:color w:val="000000"/>
                <w:sz w:val="18"/>
                <w:szCs w:val="18"/>
              </w:rPr>
            </w:pPr>
            <w:r>
              <w:rPr>
                <w:color w:val="000000"/>
                <w:sz w:val="18"/>
                <w:szCs w:val="18"/>
              </w:rPr>
              <w:t>20 675,32</w:t>
            </w:r>
          </w:p>
        </w:tc>
        <w:tc>
          <w:tcPr>
            <w:tcW w:w="1508" w:type="dxa"/>
            <w:tcBorders>
              <w:top w:val="nil"/>
              <w:left w:val="nil"/>
              <w:bottom w:val="single" w:sz="4" w:space="0" w:color="auto"/>
              <w:right w:val="single" w:sz="4" w:space="0" w:color="auto"/>
            </w:tcBorders>
            <w:noWrap/>
            <w:vAlign w:val="center"/>
            <w:hideMark/>
          </w:tcPr>
          <w:p w:rsidR="00C62E6B" w:rsidRDefault="00C62E6B">
            <w:pPr>
              <w:jc w:val="center"/>
              <w:rPr>
                <w:b/>
                <w:color w:val="000000"/>
                <w:sz w:val="18"/>
                <w:szCs w:val="18"/>
              </w:rPr>
            </w:pPr>
            <w:r>
              <w:rPr>
                <w:b/>
                <w:color w:val="000000"/>
                <w:sz w:val="18"/>
                <w:szCs w:val="18"/>
              </w:rPr>
              <w:t>161,17%</w:t>
            </w:r>
          </w:p>
        </w:tc>
        <w:tc>
          <w:tcPr>
            <w:tcW w:w="1560" w:type="dxa"/>
            <w:tcBorders>
              <w:top w:val="nil"/>
              <w:left w:val="nil"/>
              <w:bottom w:val="single" w:sz="4" w:space="0" w:color="auto"/>
              <w:right w:val="single" w:sz="4" w:space="0" w:color="auto"/>
            </w:tcBorders>
            <w:noWrap/>
            <w:vAlign w:val="center"/>
            <w:hideMark/>
          </w:tcPr>
          <w:p w:rsidR="00C62E6B" w:rsidRDefault="00C62E6B">
            <w:pPr>
              <w:jc w:val="center"/>
              <w:rPr>
                <w:b/>
                <w:color w:val="000000"/>
                <w:sz w:val="18"/>
                <w:szCs w:val="18"/>
              </w:rPr>
            </w:pPr>
            <w:r>
              <w:rPr>
                <w:b/>
                <w:color w:val="000000"/>
                <w:sz w:val="18"/>
                <w:szCs w:val="18"/>
              </w:rPr>
              <w:t>7 846,80</w:t>
            </w:r>
          </w:p>
        </w:tc>
      </w:tr>
      <w:tr w:rsidR="00C62E6B" w:rsidTr="00C62E6B">
        <w:trPr>
          <w:trHeight w:val="315"/>
        </w:trPr>
        <w:tc>
          <w:tcPr>
            <w:tcW w:w="1750" w:type="dxa"/>
            <w:tcBorders>
              <w:top w:val="nil"/>
              <w:left w:val="single" w:sz="4" w:space="0" w:color="auto"/>
              <w:bottom w:val="single" w:sz="4" w:space="0" w:color="auto"/>
              <w:right w:val="single" w:sz="4" w:space="0" w:color="auto"/>
            </w:tcBorders>
            <w:noWrap/>
            <w:vAlign w:val="bottom"/>
            <w:hideMark/>
          </w:tcPr>
          <w:p w:rsidR="00C62E6B" w:rsidRDefault="00C62E6B">
            <w:pPr>
              <w:rPr>
                <w:color w:val="000000"/>
                <w:sz w:val="18"/>
                <w:szCs w:val="18"/>
              </w:rPr>
            </w:pPr>
            <w:r>
              <w:rPr>
                <w:color w:val="000000"/>
                <w:sz w:val="18"/>
                <w:szCs w:val="18"/>
              </w:rPr>
              <w:t>Трехфазный прямого включения</w:t>
            </w:r>
          </w:p>
        </w:tc>
        <w:tc>
          <w:tcPr>
            <w:tcW w:w="1977" w:type="dxa"/>
            <w:tcBorders>
              <w:top w:val="nil"/>
              <w:left w:val="nil"/>
              <w:bottom w:val="single" w:sz="4" w:space="0" w:color="auto"/>
              <w:right w:val="single" w:sz="4" w:space="0" w:color="auto"/>
            </w:tcBorders>
            <w:noWrap/>
            <w:vAlign w:val="center"/>
            <w:hideMark/>
          </w:tcPr>
          <w:p w:rsidR="00C62E6B" w:rsidRDefault="00C62E6B">
            <w:pPr>
              <w:jc w:val="center"/>
              <w:rPr>
                <w:color w:val="000000"/>
                <w:sz w:val="18"/>
                <w:szCs w:val="18"/>
              </w:rPr>
            </w:pPr>
            <w:r>
              <w:rPr>
                <w:color w:val="000000"/>
                <w:sz w:val="18"/>
                <w:szCs w:val="18"/>
              </w:rPr>
              <w:t>16 988,53</w:t>
            </w:r>
          </w:p>
        </w:tc>
        <w:tc>
          <w:tcPr>
            <w:tcW w:w="2708" w:type="dxa"/>
            <w:tcBorders>
              <w:top w:val="nil"/>
              <w:left w:val="nil"/>
              <w:bottom w:val="single" w:sz="4" w:space="0" w:color="auto"/>
              <w:right w:val="single" w:sz="4" w:space="0" w:color="auto"/>
            </w:tcBorders>
            <w:noWrap/>
            <w:vAlign w:val="center"/>
            <w:hideMark/>
          </w:tcPr>
          <w:p w:rsidR="00C62E6B" w:rsidRDefault="00C62E6B">
            <w:pPr>
              <w:jc w:val="center"/>
              <w:rPr>
                <w:color w:val="000000"/>
                <w:sz w:val="18"/>
                <w:szCs w:val="18"/>
              </w:rPr>
            </w:pPr>
            <w:r>
              <w:rPr>
                <w:color w:val="000000"/>
                <w:sz w:val="18"/>
                <w:szCs w:val="18"/>
              </w:rPr>
              <w:t>34 475,21</w:t>
            </w:r>
          </w:p>
        </w:tc>
        <w:tc>
          <w:tcPr>
            <w:tcW w:w="1508" w:type="dxa"/>
            <w:tcBorders>
              <w:top w:val="nil"/>
              <w:left w:val="nil"/>
              <w:bottom w:val="single" w:sz="4" w:space="0" w:color="auto"/>
              <w:right w:val="single" w:sz="4" w:space="0" w:color="auto"/>
            </w:tcBorders>
            <w:noWrap/>
            <w:vAlign w:val="center"/>
            <w:hideMark/>
          </w:tcPr>
          <w:p w:rsidR="00C62E6B" w:rsidRDefault="00C62E6B">
            <w:pPr>
              <w:jc w:val="center"/>
              <w:rPr>
                <w:b/>
                <w:color w:val="000000"/>
                <w:sz w:val="18"/>
                <w:szCs w:val="18"/>
              </w:rPr>
            </w:pPr>
            <w:r>
              <w:rPr>
                <w:b/>
                <w:color w:val="000000"/>
                <w:sz w:val="18"/>
                <w:szCs w:val="18"/>
              </w:rPr>
              <w:t>202,93%</w:t>
            </w:r>
          </w:p>
        </w:tc>
        <w:tc>
          <w:tcPr>
            <w:tcW w:w="1560" w:type="dxa"/>
            <w:tcBorders>
              <w:top w:val="nil"/>
              <w:left w:val="nil"/>
              <w:bottom w:val="single" w:sz="4" w:space="0" w:color="auto"/>
              <w:right w:val="single" w:sz="4" w:space="0" w:color="auto"/>
            </w:tcBorders>
            <w:noWrap/>
            <w:vAlign w:val="center"/>
            <w:hideMark/>
          </w:tcPr>
          <w:p w:rsidR="00C62E6B" w:rsidRDefault="00C62E6B">
            <w:pPr>
              <w:jc w:val="center"/>
              <w:rPr>
                <w:b/>
                <w:color w:val="000000"/>
                <w:sz w:val="18"/>
                <w:szCs w:val="18"/>
              </w:rPr>
            </w:pPr>
            <w:r>
              <w:rPr>
                <w:b/>
                <w:color w:val="000000"/>
                <w:sz w:val="18"/>
                <w:szCs w:val="18"/>
              </w:rPr>
              <w:t>17 486,68</w:t>
            </w:r>
          </w:p>
        </w:tc>
      </w:tr>
      <w:tr w:rsidR="00C62E6B" w:rsidTr="00C62E6B">
        <w:trPr>
          <w:trHeight w:val="315"/>
        </w:trPr>
        <w:tc>
          <w:tcPr>
            <w:tcW w:w="1750" w:type="dxa"/>
            <w:tcBorders>
              <w:top w:val="nil"/>
              <w:left w:val="single" w:sz="4" w:space="0" w:color="auto"/>
              <w:bottom w:val="single" w:sz="4" w:space="0" w:color="auto"/>
              <w:right w:val="single" w:sz="4" w:space="0" w:color="auto"/>
            </w:tcBorders>
            <w:noWrap/>
            <w:vAlign w:val="bottom"/>
            <w:hideMark/>
          </w:tcPr>
          <w:p w:rsidR="00C62E6B" w:rsidRDefault="00C62E6B">
            <w:pPr>
              <w:rPr>
                <w:color w:val="000000"/>
                <w:sz w:val="18"/>
                <w:szCs w:val="18"/>
              </w:rPr>
            </w:pPr>
            <w:r>
              <w:rPr>
                <w:color w:val="000000"/>
                <w:sz w:val="18"/>
                <w:szCs w:val="18"/>
              </w:rPr>
              <w:t>Трехфазный полукосвенного включения</w:t>
            </w:r>
          </w:p>
        </w:tc>
        <w:tc>
          <w:tcPr>
            <w:tcW w:w="1977" w:type="dxa"/>
            <w:tcBorders>
              <w:top w:val="nil"/>
              <w:left w:val="nil"/>
              <w:bottom w:val="single" w:sz="4" w:space="0" w:color="auto"/>
              <w:right w:val="single" w:sz="4" w:space="0" w:color="auto"/>
            </w:tcBorders>
            <w:noWrap/>
            <w:vAlign w:val="center"/>
            <w:hideMark/>
          </w:tcPr>
          <w:p w:rsidR="00C62E6B" w:rsidRDefault="00C62E6B">
            <w:pPr>
              <w:jc w:val="center"/>
              <w:rPr>
                <w:color w:val="000000"/>
                <w:sz w:val="18"/>
                <w:szCs w:val="18"/>
              </w:rPr>
            </w:pPr>
            <w:r>
              <w:rPr>
                <w:color w:val="000000"/>
                <w:sz w:val="18"/>
                <w:szCs w:val="18"/>
              </w:rPr>
              <w:t>22 083,66</w:t>
            </w:r>
          </w:p>
        </w:tc>
        <w:tc>
          <w:tcPr>
            <w:tcW w:w="2708" w:type="dxa"/>
            <w:tcBorders>
              <w:top w:val="nil"/>
              <w:left w:val="nil"/>
              <w:bottom w:val="single" w:sz="4" w:space="0" w:color="auto"/>
              <w:right w:val="single" w:sz="4" w:space="0" w:color="auto"/>
            </w:tcBorders>
            <w:noWrap/>
            <w:vAlign w:val="center"/>
            <w:hideMark/>
          </w:tcPr>
          <w:p w:rsidR="00C62E6B" w:rsidRDefault="00C62E6B">
            <w:pPr>
              <w:jc w:val="center"/>
              <w:rPr>
                <w:color w:val="000000"/>
                <w:sz w:val="18"/>
                <w:szCs w:val="18"/>
              </w:rPr>
            </w:pPr>
            <w:r>
              <w:rPr>
                <w:color w:val="000000"/>
                <w:sz w:val="18"/>
                <w:szCs w:val="18"/>
              </w:rPr>
              <w:t>50 684,14</w:t>
            </w:r>
          </w:p>
        </w:tc>
        <w:tc>
          <w:tcPr>
            <w:tcW w:w="1508" w:type="dxa"/>
            <w:tcBorders>
              <w:top w:val="nil"/>
              <w:left w:val="nil"/>
              <w:bottom w:val="single" w:sz="4" w:space="0" w:color="auto"/>
              <w:right w:val="single" w:sz="4" w:space="0" w:color="auto"/>
            </w:tcBorders>
            <w:noWrap/>
            <w:vAlign w:val="center"/>
            <w:hideMark/>
          </w:tcPr>
          <w:p w:rsidR="00C62E6B" w:rsidRDefault="00C62E6B">
            <w:pPr>
              <w:jc w:val="center"/>
              <w:rPr>
                <w:b/>
                <w:color w:val="000000"/>
                <w:sz w:val="18"/>
                <w:szCs w:val="18"/>
              </w:rPr>
            </w:pPr>
            <w:r>
              <w:rPr>
                <w:b/>
                <w:color w:val="000000"/>
                <w:sz w:val="18"/>
                <w:szCs w:val="18"/>
              </w:rPr>
              <w:t>229,51%</w:t>
            </w:r>
          </w:p>
        </w:tc>
        <w:tc>
          <w:tcPr>
            <w:tcW w:w="1560" w:type="dxa"/>
            <w:tcBorders>
              <w:top w:val="nil"/>
              <w:left w:val="nil"/>
              <w:bottom w:val="single" w:sz="4" w:space="0" w:color="auto"/>
              <w:right w:val="single" w:sz="4" w:space="0" w:color="auto"/>
            </w:tcBorders>
            <w:noWrap/>
            <w:vAlign w:val="center"/>
            <w:hideMark/>
          </w:tcPr>
          <w:p w:rsidR="00C62E6B" w:rsidRDefault="00C62E6B">
            <w:pPr>
              <w:jc w:val="center"/>
              <w:rPr>
                <w:b/>
                <w:color w:val="000000"/>
                <w:sz w:val="18"/>
                <w:szCs w:val="18"/>
              </w:rPr>
            </w:pPr>
            <w:r>
              <w:rPr>
                <w:b/>
                <w:color w:val="000000"/>
                <w:sz w:val="18"/>
                <w:szCs w:val="18"/>
              </w:rPr>
              <w:t>28 600,48</w:t>
            </w:r>
          </w:p>
        </w:tc>
      </w:tr>
    </w:tbl>
    <w:p w:rsidR="00C62E6B" w:rsidRDefault="00C62E6B" w:rsidP="00C62E6B">
      <w:pPr>
        <w:ind w:firstLine="708"/>
        <w:jc w:val="both"/>
        <w:rPr>
          <w:b/>
          <w:bCs/>
          <w:sz w:val="24"/>
          <w:szCs w:val="24"/>
        </w:rPr>
      </w:pPr>
    </w:p>
    <w:p w:rsidR="00C62E6B" w:rsidRDefault="00C62E6B" w:rsidP="00C62E6B">
      <w:pPr>
        <w:ind w:firstLine="708"/>
        <w:jc w:val="both"/>
        <w:rPr>
          <w:bCs/>
          <w:sz w:val="24"/>
          <w:szCs w:val="24"/>
        </w:rPr>
      </w:pPr>
      <w:r>
        <w:rPr>
          <w:bCs/>
          <w:sz w:val="24"/>
          <w:szCs w:val="24"/>
        </w:rPr>
        <w:t xml:space="preserve">В соответствии с п. 87 Основ ценообразования при определении размера </w:t>
      </w:r>
      <w:r>
        <w:rPr>
          <w:bCs/>
          <w:sz w:val="24"/>
          <w:szCs w:val="24"/>
        </w:rPr>
        <w:lastRenderedPageBreak/>
        <w:t>стандартизированной тарифной ставки на покрытие расходов на обеспечение средствами коммерческого учета электрической энергии (мощности) учитываются (без учета налога на добавленную стоимость):</w:t>
      </w:r>
    </w:p>
    <w:p w:rsidR="00C62E6B" w:rsidRDefault="00C62E6B" w:rsidP="00C62E6B">
      <w:pPr>
        <w:ind w:firstLine="708"/>
        <w:jc w:val="both"/>
        <w:rPr>
          <w:bCs/>
          <w:sz w:val="24"/>
          <w:szCs w:val="24"/>
        </w:rPr>
      </w:pPr>
      <w:r>
        <w:rPr>
          <w:bCs/>
          <w:sz w:val="24"/>
          <w:szCs w:val="24"/>
        </w:rPr>
        <w:t>- стоимость прибора учета электрической энергии, включая дистанционный модуль отображения информации (пульт дистанционного управления) при его наличии;</w:t>
      </w:r>
    </w:p>
    <w:p w:rsidR="00C62E6B" w:rsidRDefault="00C62E6B" w:rsidP="00C62E6B">
      <w:pPr>
        <w:ind w:firstLine="708"/>
        <w:jc w:val="both"/>
        <w:rPr>
          <w:bCs/>
          <w:sz w:val="24"/>
          <w:szCs w:val="24"/>
        </w:rPr>
      </w:pPr>
      <w:r>
        <w:rPr>
          <w:bCs/>
          <w:sz w:val="24"/>
          <w:szCs w:val="24"/>
        </w:rPr>
        <w:t>- стоимость иного оборудования, которое используется для коммерческого учета электрической энергии (мощности), как измерительные трансформаторы (за исключением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розничных рынках, приобретение, установка, замена, эксплуатация и поверка которых осуществляются собственником (владельцем) соответствующих подстанций, объектов по производству электрической энергии (мощности) на розничных рынках), коммутационное оборудование (автоматические выключатели, разъединители, рубильники) и оборудование защиты прибора учета электрической энергии от токов короткого замыкания, в том числе предохранители и плавкие вставки, защиты от перенапряжений, материалы и оборудование для монтажа прибора учета электрической энергии (измерительного комплекса) в месте его установки (шкафы (щиты) учета, трубостойки, испытательные клеммные коробки, устройства заземления), материалы и оборудование для организации вторичных цепей измерительного комплекса;</w:t>
      </w:r>
    </w:p>
    <w:p w:rsidR="00C62E6B" w:rsidRDefault="00C62E6B" w:rsidP="00C62E6B">
      <w:pPr>
        <w:ind w:firstLine="708"/>
        <w:jc w:val="both"/>
        <w:rPr>
          <w:bCs/>
          <w:sz w:val="24"/>
          <w:szCs w:val="24"/>
        </w:rPr>
      </w:pPr>
      <w:r>
        <w:rPr>
          <w:bCs/>
          <w:sz w:val="24"/>
          <w:szCs w:val="24"/>
        </w:rPr>
        <w:t>- стоимость монтажных работ по установке прибора учета электрической энергии и иного оборудования, которое используется для коммерческого учета электрической энергии (мощности), в том числе для демонтажа существующего оборудования;</w:t>
      </w:r>
    </w:p>
    <w:p w:rsidR="00C62E6B" w:rsidRDefault="00C62E6B" w:rsidP="00C62E6B">
      <w:pPr>
        <w:ind w:firstLine="708"/>
        <w:jc w:val="both"/>
        <w:rPr>
          <w:bCs/>
          <w:sz w:val="24"/>
          <w:szCs w:val="24"/>
        </w:rPr>
      </w:pPr>
      <w:r>
        <w:rPr>
          <w:bCs/>
          <w:sz w:val="24"/>
          <w:szCs w:val="24"/>
        </w:rPr>
        <w:t>- затраты на пусконаладочные работы, командировочные расходы рабочих, затраты на перевозку рабочих, дополнительные затраты на производство работ в зимнее время, затраты на выполнение работ в условиях, усложняющих производство таких работ, затраты на составление паспорта-протокола измерительного комплекса для точек присоединения к объектам электросетевого хозяйства напряжением свыше 1 кВ.</w:t>
      </w:r>
    </w:p>
    <w:p w:rsidR="00C62E6B" w:rsidRDefault="00C62E6B" w:rsidP="00C62E6B">
      <w:pPr>
        <w:ind w:firstLine="708"/>
        <w:jc w:val="both"/>
        <w:rPr>
          <w:bCs/>
          <w:sz w:val="24"/>
          <w:szCs w:val="24"/>
        </w:rPr>
      </w:pPr>
      <w:r>
        <w:rPr>
          <w:bCs/>
          <w:sz w:val="24"/>
          <w:szCs w:val="24"/>
        </w:rPr>
        <w:t>Указанные выше расходы при формировании расходов по статье «коммерческий учет» в составе базового уровня подконтрольных расходов на 2022 год были учтены не в полном объеме.</w:t>
      </w:r>
    </w:p>
    <w:p w:rsidR="00C62E6B" w:rsidRDefault="00C62E6B" w:rsidP="00C62E6B">
      <w:pPr>
        <w:tabs>
          <w:tab w:val="left" w:pos="8415"/>
        </w:tabs>
        <w:ind w:firstLine="567"/>
        <w:jc w:val="both"/>
        <w:rPr>
          <w:bCs/>
          <w:sz w:val="24"/>
          <w:szCs w:val="24"/>
        </w:rPr>
      </w:pPr>
      <w:r>
        <w:rPr>
          <w:bCs/>
          <w:sz w:val="24"/>
          <w:szCs w:val="24"/>
        </w:rPr>
        <w:t>Департамент по вышеперечисленным доводам филиала «Ивэнерго» отмечает следующее.</w:t>
      </w:r>
      <w:r>
        <w:rPr>
          <w:bCs/>
          <w:sz w:val="24"/>
          <w:szCs w:val="24"/>
        </w:rPr>
        <w:tab/>
      </w:r>
    </w:p>
    <w:p w:rsidR="00C62E6B" w:rsidRDefault="00C62E6B" w:rsidP="00C62E6B">
      <w:pPr>
        <w:tabs>
          <w:tab w:val="left" w:pos="8415"/>
        </w:tabs>
        <w:ind w:firstLine="567"/>
        <w:jc w:val="both"/>
        <w:rPr>
          <w:bCs/>
          <w:sz w:val="24"/>
          <w:szCs w:val="24"/>
        </w:rPr>
      </w:pPr>
      <w:r>
        <w:rPr>
          <w:bCs/>
          <w:sz w:val="24"/>
          <w:szCs w:val="24"/>
        </w:rPr>
        <w:t xml:space="preserve">Средства на реализацию мероприятий по организации коммерческого учета (в соответствии с 522-ФЗ от 27.12.2018) в размере 159 652,67 тыс. руб. (с учетом применения метода сравнения аналогов) учтены в составе базового уровня подконтрольных расходов филиала «Ивэнерго» на 2022 год по статье «Расходы, связанные с организацией коммерческого учета (в соответствии с п. 5 ст. 37 ФЗ «Об электроэнергетике» № 35-ФЗ с учетом изменений от 27.12.2018 № 522-ФЗ)», а также в составе мероприятий инвестиционной программы на 2025 год с источником финансирования – амортизация. </w:t>
      </w:r>
    </w:p>
    <w:p w:rsidR="00C62E6B" w:rsidRDefault="00C62E6B" w:rsidP="00C62E6B">
      <w:pPr>
        <w:tabs>
          <w:tab w:val="left" w:pos="8415"/>
        </w:tabs>
        <w:ind w:firstLine="567"/>
        <w:jc w:val="both"/>
        <w:rPr>
          <w:bCs/>
          <w:sz w:val="24"/>
          <w:szCs w:val="24"/>
        </w:rPr>
      </w:pPr>
      <w:r>
        <w:rPr>
          <w:bCs/>
          <w:sz w:val="24"/>
          <w:szCs w:val="24"/>
        </w:rPr>
        <w:t xml:space="preserve">Пунктом 12 Методических указаний № 98-э определено, что в состав подконтрольных расходов включаются, в том числе, расходы, необходимые для исполнения предусмотренных </w:t>
      </w:r>
      <w:hyperlink r:id="rId22" w:history="1">
        <w:r>
          <w:rPr>
            <w:rStyle w:val="ac"/>
            <w:bCs/>
            <w:sz w:val="24"/>
            <w:szCs w:val="24"/>
          </w:rPr>
          <w:t>пунктом 5 статьи 37</w:t>
        </w:r>
      </w:hyperlink>
      <w:r>
        <w:rPr>
          <w:bCs/>
          <w:sz w:val="24"/>
          <w:szCs w:val="24"/>
        </w:rPr>
        <w:t xml:space="preserve"> Федерального закона от 26.03.2003 № 35-ФЗ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Следовательно, заявленные по данной статье филиалом «Ивэнерго» расходы по смыслу относятся именно к подконтрольным расходам. Расходы на реализацию мероприятий по организации коммерческого учета, не учтенные в составе подконтрольных, необходимо финансировать за счет источников утвержденной в установленном порядке инвестиционной программы.</w:t>
      </w:r>
    </w:p>
    <w:p w:rsidR="00C62E6B" w:rsidRDefault="00C62E6B" w:rsidP="00C62E6B">
      <w:pPr>
        <w:tabs>
          <w:tab w:val="left" w:pos="8415"/>
        </w:tabs>
        <w:ind w:firstLine="567"/>
        <w:jc w:val="both"/>
        <w:rPr>
          <w:bCs/>
          <w:sz w:val="24"/>
          <w:szCs w:val="24"/>
        </w:rPr>
      </w:pPr>
      <w:r>
        <w:rPr>
          <w:b/>
          <w:bCs/>
          <w:i/>
          <w:sz w:val="24"/>
          <w:szCs w:val="24"/>
        </w:rPr>
        <w:t>2.7.</w:t>
      </w:r>
      <w:r>
        <w:rPr>
          <w:bCs/>
          <w:sz w:val="24"/>
          <w:szCs w:val="24"/>
        </w:rPr>
        <w:t xml:space="preserve"> </w:t>
      </w:r>
      <w:r>
        <w:rPr>
          <w:b/>
          <w:bCs/>
          <w:i/>
          <w:sz w:val="24"/>
          <w:szCs w:val="24"/>
        </w:rPr>
        <w:t>Расходы на импортозамещение ИТ.</w:t>
      </w:r>
    </w:p>
    <w:p w:rsidR="00C62E6B" w:rsidRDefault="00C62E6B" w:rsidP="00C62E6B">
      <w:pPr>
        <w:tabs>
          <w:tab w:val="left" w:pos="8415"/>
        </w:tabs>
        <w:ind w:firstLine="567"/>
        <w:jc w:val="both"/>
        <w:rPr>
          <w:bCs/>
          <w:sz w:val="24"/>
          <w:szCs w:val="24"/>
        </w:rPr>
      </w:pPr>
      <w:r>
        <w:rPr>
          <w:bCs/>
          <w:sz w:val="24"/>
          <w:szCs w:val="24"/>
        </w:rPr>
        <w:t>Департаментом расходы на импортозамещение исключены в полном объеме 3 310,69 тыс. руб. Данные расходы не учитывались в составе утвержденного базового уровня подконтрольных расходов 2022 года, поскольку необходимость осуществления расходов возникла в 2022 году в связи с проведением в стране специальной военной операции. Необходимость включения затрат в подконтрольные расходы подтверждается позицией Департамента о том, что данные расходы по смыслу и содержанию относятся к подконтрольным расходам.</w:t>
      </w:r>
    </w:p>
    <w:p w:rsidR="00C62E6B" w:rsidRDefault="00C62E6B" w:rsidP="00C62E6B">
      <w:pPr>
        <w:tabs>
          <w:tab w:val="left" w:pos="8415"/>
        </w:tabs>
        <w:ind w:firstLine="567"/>
        <w:jc w:val="both"/>
        <w:rPr>
          <w:bCs/>
          <w:sz w:val="24"/>
          <w:szCs w:val="24"/>
        </w:rPr>
      </w:pPr>
      <w:r>
        <w:rPr>
          <w:bCs/>
          <w:sz w:val="24"/>
          <w:szCs w:val="24"/>
        </w:rPr>
        <w:lastRenderedPageBreak/>
        <w:t>В отсутствие обновления используемых программных продуктов, частичный запрет на использование возможностей данных продуктов, а также полный запрет на использование некоторых функций большинства программных комплексов, снижает производительность труда на предприятии, в том числе оперативность предоставления информации по запросам органов исполнительной власти.</w:t>
      </w:r>
    </w:p>
    <w:p w:rsidR="00C62E6B" w:rsidRDefault="00C62E6B" w:rsidP="00C62E6B">
      <w:pPr>
        <w:tabs>
          <w:tab w:val="left" w:pos="8415"/>
        </w:tabs>
        <w:ind w:firstLine="567"/>
        <w:jc w:val="both"/>
        <w:rPr>
          <w:bCs/>
          <w:sz w:val="24"/>
          <w:szCs w:val="24"/>
        </w:rPr>
      </w:pPr>
      <w:r>
        <w:rPr>
          <w:bCs/>
          <w:sz w:val="24"/>
          <w:szCs w:val="24"/>
        </w:rPr>
        <w:t>Поскольку государственная политика по импортозамещению направлена на полный запрет использования иностранного программного обеспечения, возникающие вследствие этого у филиала «Ивэнерго» дополнительные расходы обусловлены причинами, независящими от организации.</w:t>
      </w:r>
    </w:p>
    <w:p w:rsidR="00C62E6B" w:rsidRDefault="00C62E6B" w:rsidP="00C62E6B">
      <w:pPr>
        <w:tabs>
          <w:tab w:val="left" w:pos="8415"/>
        </w:tabs>
        <w:ind w:firstLine="567"/>
        <w:jc w:val="both"/>
        <w:rPr>
          <w:bCs/>
          <w:sz w:val="24"/>
          <w:szCs w:val="24"/>
        </w:rPr>
      </w:pPr>
      <w:r>
        <w:rPr>
          <w:bCs/>
          <w:sz w:val="24"/>
          <w:szCs w:val="24"/>
        </w:rPr>
        <w:t>Письмом от 20.11.2024 № ГМ/106077/24 (прилагается) ФАС России направлены разъяснения, в связи с принятием Правительством РФ постановлений от 19 ноября 2024 г. № 1581, № 1582, № 1583, № 1584, которые вступают в законную силу со дня их официального опубликования, в том числе о необходимости учета расходов территориальных сетевых организаций, связанных с реализацией Указа Президента Российской Федерации от 30 марта 2022 г. № 166 «О мерах по обеспечению технологической независимости и безопасности критической информационной инфраструктуры Российской Федерации» и принятых в соответствии с ним подзаконных актов (в том числе расходов на программное обеспечение, приобретение лицензий и сертифицированных программно-аппаратных комплексов, техническую поддержку информационных систем).</w:t>
      </w:r>
    </w:p>
    <w:p w:rsidR="00C62E6B" w:rsidRDefault="00C62E6B" w:rsidP="00C62E6B">
      <w:pPr>
        <w:tabs>
          <w:tab w:val="left" w:pos="8415"/>
        </w:tabs>
        <w:ind w:firstLine="567"/>
        <w:jc w:val="both"/>
        <w:rPr>
          <w:bCs/>
          <w:sz w:val="24"/>
          <w:szCs w:val="24"/>
        </w:rPr>
      </w:pPr>
      <w:r>
        <w:rPr>
          <w:bCs/>
          <w:sz w:val="24"/>
          <w:szCs w:val="24"/>
        </w:rPr>
        <w:t>Департамент отмечает, что согласно изменениям, внесенным постановлением Правительства РФ от 19.11.2024 № 1583 в пункт 38 Основ ценообразования, перед началом каждого года долгосрочного периода регулирования определяются планируемые значения параметров расчета тарифов, в том числе, величина расходов, связанных с исполнением Указа Президента РФ от 30.03.2022 № 166 «О мерах по обеспечению технологической независимости и безопасности критической информационной инфраструктуры Российской Федерации» и требований принятых в соответствии с Указом Президента РФ от 30.03.2022 № 166 нормативных правовых актов Правительства РФ, не относящихся к капитальным вложениям, до начала очередного долгосрочного периода регулирования.</w:t>
      </w:r>
    </w:p>
    <w:p w:rsidR="00C62E6B" w:rsidRDefault="00C62E6B" w:rsidP="00C62E6B">
      <w:pPr>
        <w:tabs>
          <w:tab w:val="left" w:pos="8415"/>
        </w:tabs>
        <w:ind w:firstLine="567"/>
        <w:jc w:val="both"/>
        <w:rPr>
          <w:bCs/>
          <w:sz w:val="24"/>
          <w:szCs w:val="24"/>
        </w:rPr>
      </w:pPr>
      <w:r>
        <w:rPr>
          <w:bCs/>
          <w:sz w:val="24"/>
          <w:szCs w:val="24"/>
        </w:rPr>
        <w:t>Учитывая изложенное, плановая величина расходов по статье «Импортозамещение ИТ» в сумме 1 405,16 тыс. руб. сформирована Департаментом на основании действующего договора возмездного оказания услуг № 002001145 от 05.11.2024, заключенного с АО «МЭК «Информационные технологии», в части расходов, относящихся к 2025 году (услуги по технической поддержке оперативно-информационного комплекса и вычислительного комплекса для нужд ПАО «Россети Центр и Приволжье»).</w:t>
      </w:r>
    </w:p>
    <w:p w:rsidR="00C62E6B" w:rsidRDefault="00C62E6B" w:rsidP="00C62E6B">
      <w:pPr>
        <w:tabs>
          <w:tab w:val="left" w:pos="8415"/>
        </w:tabs>
        <w:ind w:firstLine="567"/>
        <w:jc w:val="both"/>
        <w:rPr>
          <w:b/>
          <w:bCs/>
          <w:i/>
          <w:sz w:val="24"/>
          <w:szCs w:val="24"/>
        </w:rPr>
      </w:pPr>
      <w:r>
        <w:rPr>
          <w:b/>
          <w:bCs/>
          <w:i/>
          <w:sz w:val="24"/>
          <w:szCs w:val="24"/>
        </w:rPr>
        <w:t>2.8.</w:t>
      </w:r>
      <w:r>
        <w:rPr>
          <w:bCs/>
          <w:sz w:val="24"/>
          <w:szCs w:val="24"/>
        </w:rPr>
        <w:t xml:space="preserve"> </w:t>
      </w:r>
      <w:r>
        <w:rPr>
          <w:b/>
          <w:bCs/>
          <w:i/>
          <w:sz w:val="24"/>
          <w:szCs w:val="24"/>
        </w:rPr>
        <w:t>Расходы на оплату нагрузочных потерь электрической энергии в сетях Ивановской энергосистемы, обусловленных перетоком электрической энергии из генерирующего объекта – энергоблока Ивановских ПГУ АО «Интер РАО - Электрогенерация» – в сети энергосистем иных субъектов РФ.</w:t>
      </w:r>
    </w:p>
    <w:p w:rsidR="00C62E6B" w:rsidRDefault="00C62E6B" w:rsidP="00C62E6B">
      <w:pPr>
        <w:tabs>
          <w:tab w:val="left" w:pos="8415"/>
        </w:tabs>
        <w:ind w:firstLine="567"/>
        <w:jc w:val="both"/>
        <w:rPr>
          <w:bCs/>
          <w:sz w:val="24"/>
          <w:szCs w:val="24"/>
        </w:rPr>
      </w:pPr>
    </w:p>
    <w:p w:rsidR="00C62E6B" w:rsidRDefault="00C62E6B" w:rsidP="00C62E6B">
      <w:pPr>
        <w:tabs>
          <w:tab w:val="left" w:pos="8415"/>
        </w:tabs>
        <w:ind w:firstLine="567"/>
        <w:jc w:val="both"/>
        <w:rPr>
          <w:bCs/>
          <w:sz w:val="24"/>
          <w:szCs w:val="24"/>
        </w:rPr>
      </w:pPr>
      <w:r>
        <w:rPr>
          <w:bCs/>
          <w:sz w:val="24"/>
          <w:szCs w:val="24"/>
        </w:rPr>
        <w:t>Заявленные филиалом «Ивэнерго» расходы по данной статье в размере 276 440,55 тыс. руб. исключены в полном объеме.</w:t>
      </w:r>
    </w:p>
    <w:p w:rsidR="00C62E6B" w:rsidRDefault="00C62E6B" w:rsidP="00C62E6B">
      <w:pPr>
        <w:tabs>
          <w:tab w:val="left" w:pos="8415"/>
        </w:tabs>
        <w:ind w:firstLine="567"/>
        <w:jc w:val="both"/>
        <w:rPr>
          <w:bCs/>
          <w:sz w:val="24"/>
          <w:szCs w:val="24"/>
        </w:rPr>
      </w:pPr>
      <w:r>
        <w:rPr>
          <w:bCs/>
          <w:sz w:val="24"/>
          <w:szCs w:val="24"/>
        </w:rPr>
        <w:t>Позиция Департамента о не включении данных расходов в необходимую валовую выручку на 2025 год следующая.</w:t>
      </w:r>
    </w:p>
    <w:p w:rsidR="00C62E6B" w:rsidRDefault="00C62E6B" w:rsidP="00C62E6B">
      <w:pPr>
        <w:tabs>
          <w:tab w:val="left" w:pos="8415"/>
        </w:tabs>
        <w:ind w:firstLine="567"/>
        <w:jc w:val="both"/>
        <w:rPr>
          <w:bCs/>
          <w:sz w:val="24"/>
          <w:szCs w:val="24"/>
        </w:rPr>
      </w:pPr>
      <w:r>
        <w:rPr>
          <w:bCs/>
          <w:sz w:val="24"/>
          <w:szCs w:val="24"/>
        </w:rPr>
        <w:t>Заявленные расходы по данной статье не относятся к неподконтрольным расходам в составе необходимой валовой выручки на содержание, а относятся к необходимой валовой выручке на потери. Новые генераторные мощности Ивановских ПГУ увеличили только транзитный переток в электрической сети 110 кВ филиала «Ивэнерго», а конечные потребители данной электроэнергии на территории Ивановской области отсутствуют.</w:t>
      </w:r>
    </w:p>
    <w:p w:rsidR="00C62E6B" w:rsidRDefault="00C62E6B" w:rsidP="00C62E6B">
      <w:pPr>
        <w:tabs>
          <w:tab w:val="left" w:pos="8415"/>
        </w:tabs>
        <w:ind w:firstLine="567"/>
        <w:jc w:val="both"/>
        <w:rPr>
          <w:bCs/>
          <w:sz w:val="24"/>
          <w:szCs w:val="24"/>
        </w:rPr>
      </w:pPr>
      <w:r>
        <w:rPr>
          <w:bCs/>
          <w:sz w:val="24"/>
          <w:szCs w:val="24"/>
        </w:rPr>
        <w:t>Филиал «Ивэнерго» не согласен с позицией Департамента.</w:t>
      </w:r>
    </w:p>
    <w:p w:rsidR="00C62E6B" w:rsidRDefault="00C62E6B" w:rsidP="00C62E6B">
      <w:pPr>
        <w:tabs>
          <w:tab w:val="left" w:pos="8415"/>
        </w:tabs>
        <w:ind w:firstLine="567"/>
        <w:jc w:val="both"/>
        <w:rPr>
          <w:bCs/>
          <w:sz w:val="24"/>
          <w:szCs w:val="24"/>
        </w:rPr>
      </w:pPr>
      <w:r>
        <w:rPr>
          <w:bCs/>
          <w:sz w:val="24"/>
          <w:szCs w:val="24"/>
        </w:rPr>
        <w:t xml:space="preserve">Расходы на оплату потерь электрической энергии, обусловленные началом производственной деятельности по выработке электроэнергии нового энергоблока Ивановских ПГУ АО «Интер РАО - Электрогенерация» мощностью 364,5 МВт, технологическое присоединение которого завершено 24.06.2024 (материалы по технологическому присоединению приложены к документам в составе тарифной заявки на 2025 год), образуются по независящим от </w:t>
      </w:r>
      <w:r>
        <w:rPr>
          <w:bCs/>
          <w:sz w:val="24"/>
          <w:szCs w:val="24"/>
        </w:rPr>
        <w:lastRenderedPageBreak/>
        <w:t xml:space="preserve">филиала «Ивэнерго» причинам.     </w:t>
      </w:r>
    </w:p>
    <w:p w:rsidR="00C62E6B" w:rsidRDefault="00C62E6B" w:rsidP="00C62E6B">
      <w:pPr>
        <w:tabs>
          <w:tab w:val="left" w:pos="8415"/>
        </w:tabs>
        <w:ind w:firstLine="567"/>
        <w:jc w:val="both"/>
        <w:rPr>
          <w:bCs/>
          <w:sz w:val="24"/>
          <w:szCs w:val="24"/>
        </w:rPr>
      </w:pPr>
      <w:r>
        <w:rPr>
          <w:bCs/>
          <w:sz w:val="24"/>
          <w:szCs w:val="24"/>
        </w:rPr>
        <w:t>Новые генераторные мощности Ивановских ПГУ, введенные в эксплуатацию в марте 2024 года, значительно увеличили транзитный переток в электрической сети 110 кВ филиала «Ивэнерго».</w:t>
      </w:r>
    </w:p>
    <w:p w:rsidR="00C62E6B" w:rsidRDefault="00C62E6B" w:rsidP="00C62E6B">
      <w:pPr>
        <w:tabs>
          <w:tab w:val="left" w:pos="8415"/>
        </w:tabs>
        <w:ind w:firstLine="567"/>
        <w:jc w:val="both"/>
        <w:rPr>
          <w:bCs/>
          <w:sz w:val="24"/>
          <w:szCs w:val="24"/>
        </w:rPr>
      </w:pPr>
      <w:r>
        <w:rPr>
          <w:bCs/>
          <w:sz w:val="24"/>
          <w:szCs w:val="24"/>
        </w:rPr>
        <w:t>Электрическая энергия, полученная от нового энергоблока Ивановских ПГУ, распределяется внутри Ивановской области через сети филиала «Ивэнерго» и транспортируется в смежные регионы (Костромская область, Нижегородская область, Владимирская область) / в сети ПАО «ФСК ЕЭС». Конечные потребители данной электроэнергии на территории Ивановской области отсутствуют. Нормальная однолинейная схема Ивановских ПГУ с прилегающей электрической сетью 110 кВ и выше также приложены к документам в составе тарифной заявки на 2025 год.</w:t>
      </w:r>
    </w:p>
    <w:p w:rsidR="00C62E6B" w:rsidRDefault="00C62E6B" w:rsidP="00C62E6B">
      <w:pPr>
        <w:tabs>
          <w:tab w:val="left" w:pos="8415"/>
        </w:tabs>
        <w:ind w:firstLine="567"/>
        <w:jc w:val="both"/>
        <w:rPr>
          <w:bCs/>
          <w:sz w:val="24"/>
          <w:szCs w:val="24"/>
        </w:rPr>
      </w:pPr>
      <w:r>
        <w:rPr>
          <w:bCs/>
          <w:sz w:val="24"/>
          <w:szCs w:val="24"/>
        </w:rPr>
        <w:t>При этом происходит резкое увеличение поступления электрической энергии в сети филиала «Ивэнерго» от смежных субъектов и отпуска электрической энергии из сетей филиала «Ивэнерго» в сети смежных субъектов (филиал «Костромаэнерго» ПАО «Россети Центр», филиалы «Владимирэнерго» и «Нижновэнерго» ПАО «Россети Центр и Приволжье», ПАО «ФСК ЕЭС» и Владимирский филиал ПАО «Т Плюс»):</w:t>
      </w:r>
    </w:p>
    <w:p w:rsidR="00C62E6B" w:rsidRDefault="00C62E6B" w:rsidP="00C62E6B">
      <w:pPr>
        <w:tabs>
          <w:tab w:val="left" w:pos="8415"/>
        </w:tabs>
        <w:ind w:firstLine="567"/>
        <w:jc w:val="both"/>
        <w:rPr>
          <w:bCs/>
          <w:sz w:val="24"/>
          <w:szCs w:val="24"/>
        </w:rPr>
      </w:pPr>
      <w:r>
        <w:rPr>
          <w:bCs/>
          <w:sz w:val="24"/>
          <w:szCs w:val="24"/>
        </w:rPr>
        <w:t xml:space="preserve">                                                                                                                                       млн. кВтч</w:t>
      </w:r>
    </w:p>
    <w:tbl>
      <w:tblPr>
        <w:tblW w:w="10250" w:type="dxa"/>
        <w:tblInd w:w="-176" w:type="dxa"/>
        <w:tblLayout w:type="fixed"/>
        <w:tblLook w:val="04A0" w:firstRow="1" w:lastRow="0" w:firstColumn="1" w:lastColumn="0" w:noHBand="0" w:noVBand="1"/>
      </w:tblPr>
      <w:tblGrid>
        <w:gridCol w:w="880"/>
        <w:gridCol w:w="688"/>
        <w:gridCol w:w="825"/>
        <w:gridCol w:w="729"/>
        <w:gridCol w:w="686"/>
        <w:gridCol w:w="785"/>
        <w:gridCol w:w="728"/>
        <w:gridCol w:w="686"/>
        <w:gridCol w:w="687"/>
        <w:gridCol w:w="687"/>
        <w:gridCol w:w="687"/>
        <w:gridCol w:w="667"/>
        <w:gridCol w:w="774"/>
        <w:gridCol w:w="741"/>
      </w:tblGrid>
      <w:tr w:rsidR="00C62E6B" w:rsidTr="00C62E6B">
        <w:trPr>
          <w:trHeight w:val="208"/>
          <w:tblHeader/>
        </w:trPr>
        <w:tc>
          <w:tcPr>
            <w:tcW w:w="880" w:type="dxa"/>
            <w:tcBorders>
              <w:top w:val="single" w:sz="4" w:space="0" w:color="auto"/>
              <w:left w:val="single" w:sz="4" w:space="0" w:color="auto"/>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Период</w:t>
            </w:r>
          </w:p>
        </w:tc>
        <w:tc>
          <w:tcPr>
            <w:tcW w:w="68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январь</w:t>
            </w:r>
          </w:p>
        </w:tc>
        <w:tc>
          <w:tcPr>
            <w:tcW w:w="825"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февраль</w:t>
            </w:r>
          </w:p>
        </w:tc>
        <w:tc>
          <w:tcPr>
            <w:tcW w:w="729"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март</w:t>
            </w:r>
          </w:p>
        </w:tc>
        <w:tc>
          <w:tcPr>
            <w:tcW w:w="686"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111" w:right="-135"/>
              <w:jc w:val="center"/>
              <w:rPr>
                <w:b/>
                <w:sz w:val="14"/>
                <w:szCs w:val="14"/>
              </w:rPr>
            </w:pPr>
            <w:r>
              <w:rPr>
                <w:b/>
                <w:sz w:val="14"/>
                <w:szCs w:val="14"/>
              </w:rPr>
              <w:t>апрель</w:t>
            </w:r>
          </w:p>
        </w:tc>
        <w:tc>
          <w:tcPr>
            <w:tcW w:w="785"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май</w:t>
            </w:r>
          </w:p>
        </w:tc>
        <w:tc>
          <w:tcPr>
            <w:tcW w:w="72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июнь</w:t>
            </w:r>
          </w:p>
        </w:tc>
        <w:tc>
          <w:tcPr>
            <w:tcW w:w="686"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июль</w:t>
            </w:r>
          </w:p>
        </w:tc>
        <w:tc>
          <w:tcPr>
            <w:tcW w:w="687"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август</w:t>
            </w:r>
          </w:p>
        </w:tc>
        <w:tc>
          <w:tcPr>
            <w:tcW w:w="687"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93" w:right="-137"/>
              <w:rPr>
                <w:b/>
                <w:sz w:val="14"/>
                <w:szCs w:val="14"/>
              </w:rPr>
            </w:pPr>
            <w:r>
              <w:rPr>
                <w:b/>
                <w:sz w:val="14"/>
                <w:szCs w:val="14"/>
              </w:rPr>
              <w:t>сентябрь</w:t>
            </w:r>
          </w:p>
        </w:tc>
        <w:tc>
          <w:tcPr>
            <w:tcW w:w="687"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77" w:right="-19"/>
              <w:jc w:val="center"/>
              <w:rPr>
                <w:b/>
                <w:sz w:val="14"/>
                <w:szCs w:val="14"/>
              </w:rPr>
            </w:pPr>
            <w:r>
              <w:rPr>
                <w:b/>
                <w:sz w:val="14"/>
                <w:szCs w:val="14"/>
              </w:rPr>
              <w:t>октябрь</w:t>
            </w:r>
          </w:p>
        </w:tc>
        <w:tc>
          <w:tcPr>
            <w:tcW w:w="667"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80" w:right="-18"/>
              <w:jc w:val="center"/>
              <w:rPr>
                <w:b/>
                <w:sz w:val="14"/>
                <w:szCs w:val="14"/>
              </w:rPr>
            </w:pPr>
            <w:r>
              <w:rPr>
                <w:b/>
                <w:sz w:val="14"/>
                <w:szCs w:val="14"/>
              </w:rPr>
              <w:t>ноябрь</w:t>
            </w:r>
          </w:p>
        </w:tc>
        <w:tc>
          <w:tcPr>
            <w:tcW w:w="774"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декабрь</w:t>
            </w:r>
          </w:p>
        </w:tc>
        <w:tc>
          <w:tcPr>
            <w:tcW w:w="741"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Итого</w:t>
            </w:r>
          </w:p>
        </w:tc>
      </w:tr>
      <w:tr w:rsidR="00C62E6B" w:rsidTr="00C62E6B">
        <w:trPr>
          <w:trHeight w:val="376"/>
        </w:trPr>
        <w:tc>
          <w:tcPr>
            <w:tcW w:w="880"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2023 год прием в сеть</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350,9</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324,8</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334,9</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275,7</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277,8</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260,5</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286,4</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291,3</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292,6</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320,5</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339,8</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368,7</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3 723,7</w:t>
            </w:r>
          </w:p>
        </w:tc>
      </w:tr>
      <w:tr w:rsidR="00C62E6B" w:rsidTr="00C62E6B">
        <w:trPr>
          <w:trHeight w:val="376"/>
        </w:trPr>
        <w:tc>
          <w:tcPr>
            <w:tcW w:w="880"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2023 год отдача из сети</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56,0</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60,3</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57,6</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37,1</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52,0</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52,5</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73,2</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66,3</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69,7</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55,6</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65,9</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61,7</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707,9</w:t>
            </w:r>
          </w:p>
        </w:tc>
      </w:tr>
      <w:tr w:rsidR="00C62E6B" w:rsidTr="00C62E6B">
        <w:trPr>
          <w:trHeight w:val="376"/>
        </w:trPr>
        <w:tc>
          <w:tcPr>
            <w:tcW w:w="880"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2023 год отпуск в сеть (сальдо)</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295,0</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264,5</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277,2</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238,7</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225,8</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208,0</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213,2</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225,0</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222,9</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264,8</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273,9</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306,9</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3 015,8</w:t>
            </w:r>
          </w:p>
        </w:tc>
      </w:tr>
      <w:tr w:rsidR="00C62E6B" w:rsidTr="00C62E6B">
        <w:trPr>
          <w:trHeight w:val="376"/>
        </w:trPr>
        <w:tc>
          <w:tcPr>
            <w:tcW w:w="880"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2024 год прием в сеть</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375,6</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355,0</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388,0</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325,9</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318,4</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337,1</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402,9</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369,6</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426,1</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473,6</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491,8</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535,7</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4 799,7</w:t>
            </w:r>
          </w:p>
        </w:tc>
      </w:tr>
      <w:tr w:rsidR="00C62E6B" w:rsidTr="00C62E6B">
        <w:trPr>
          <w:trHeight w:val="376"/>
        </w:trPr>
        <w:tc>
          <w:tcPr>
            <w:tcW w:w="880"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2024 год отдача из сети</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61,4</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66,3</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102,9</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77,4</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82,5</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118,5</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173,0</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141,3</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198,1</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202,2</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211,6</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222,3</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1 657,4</w:t>
            </w:r>
          </w:p>
        </w:tc>
      </w:tr>
      <w:tr w:rsidR="00C62E6B" w:rsidTr="00C62E6B">
        <w:trPr>
          <w:trHeight w:val="376"/>
        </w:trPr>
        <w:tc>
          <w:tcPr>
            <w:tcW w:w="880" w:type="dxa"/>
            <w:vMerge w:val="restart"/>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2024 год отпуск в сеть (сальдо)</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314,3</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288,7</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285,1</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248,5</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235,9</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218,6</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229,9</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228,3</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228,0</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271,3</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280,2</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313,3</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3 142,3</w:t>
            </w:r>
          </w:p>
        </w:tc>
      </w:tr>
      <w:tr w:rsidR="00C62E6B" w:rsidTr="00C62E6B">
        <w:trPr>
          <w:trHeight w:val="325"/>
        </w:trPr>
        <w:tc>
          <w:tcPr>
            <w:tcW w:w="880" w:type="dxa"/>
            <w:vMerge/>
            <w:tcBorders>
              <w:top w:val="nil"/>
              <w:left w:val="single" w:sz="4" w:space="0" w:color="auto"/>
              <w:bottom w:val="single" w:sz="4" w:space="0" w:color="auto"/>
              <w:right w:val="single" w:sz="4" w:space="0" w:color="auto"/>
            </w:tcBorders>
            <w:vAlign w:val="center"/>
            <w:hideMark/>
          </w:tcPr>
          <w:p w:rsidR="00C62E6B" w:rsidRDefault="00C62E6B">
            <w:pPr>
              <w:rPr>
                <w:sz w:val="14"/>
                <w:szCs w:val="14"/>
              </w:rPr>
            </w:pP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ind w:left="-77"/>
              <w:jc w:val="center"/>
              <w:rPr>
                <w:i/>
                <w:iCs/>
                <w:sz w:val="16"/>
                <w:szCs w:val="16"/>
              </w:rPr>
            </w:pPr>
            <w:r>
              <w:rPr>
                <w:i/>
                <w:iCs/>
                <w:sz w:val="16"/>
                <w:szCs w:val="16"/>
              </w:rPr>
              <w:t>прогноз</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ind w:left="-80"/>
              <w:jc w:val="center"/>
              <w:rPr>
                <w:i/>
                <w:iCs/>
                <w:sz w:val="16"/>
                <w:szCs w:val="16"/>
              </w:rPr>
            </w:pPr>
            <w:r>
              <w:rPr>
                <w:i/>
                <w:iCs/>
                <w:sz w:val="16"/>
                <w:szCs w:val="16"/>
              </w:rPr>
              <w:t>прогноз</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ind w:left="-54"/>
              <w:jc w:val="center"/>
              <w:rPr>
                <w:i/>
                <w:iCs/>
                <w:sz w:val="16"/>
                <w:szCs w:val="16"/>
              </w:rPr>
            </w:pPr>
            <w:r>
              <w:rPr>
                <w:i/>
                <w:iCs/>
                <w:sz w:val="16"/>
                <w:szCs w:val="16"/>
              </w:rPr>
              <w:t>прогноз</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rPr>
                <w:i/>
                <w:iCs/>
                <w:sz w:val="16"/>
                <w:szCs w:val="16"/>
              </w:rPr>
            </w:pPr>
            <w:r>
              <w:rPr>
                <w:i/>
                <w:iCs/>
                <w:sz w:val="16"/>
                <w:szCs w:val="16"/>
              </w:rPr>
              <w:t>прогноз</w:t>
            </w:r>
          </w:p>
        </w:tc>
      </w:tr>
      <w:tr w:rsidR="00C62E6B" w:rsidTr="00C62E6B">
        <w:trPr>
          <w:trHeight w:val="277"/>
        </w:trPr>
        <w:tc>
          <w:tcPr>
            <w:tcW w:w="880" w:type="dxa"/>
            <w:vMerge w:val="restart"/>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2024-2023 прием в сеть</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24,7</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30,2</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53,1</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50,2</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40,7</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76,6</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116,6</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78,3</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133,5</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153,1</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152,0</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167,0</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1 076,0</w:t>
            </w:r>
          </w:p>
        </w:tc>
      </w:tr>
      <w:tr w:rsidR="00C62E6B" w:rsidTr="00C62E6B">
        <w:trPr>
          <w:trHeight w:val="298"/>
        </w:trPr>
        <w:tc>
          <w:tcPr>
            <w:tcW w:w="880" w:type="dxa"/>
            <w:vMerge/>
            <w:tcBorders>
              <w:top w:val="nil"/>
              <w:left w:val="single" w:sz="4" w:space="0" w:color="auto"/>
              <w:bottom w:val="single" w:sz="4" w:space="0" w:color="auto"/>
              <w:right w:val="single" w:sz="4" w:space="0" w:color="auto"/>
            </w:tcBorders>
            <w:vAlign w:val="center"/>
            <w:hideMark/>
          </w:tcPr>
          <w:p w:rsidR="00C62E6B" w:rsidRDefault="00C62E6B">
            <w:pPr>
              <w:rPr>
                <w:sz w:val="14"/>
                <w:szCs w:val="14"/>
              </w:rPr>
            </w:pP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7,0%</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9,3%</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15,9%</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18,2%</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14,6%</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29,4%</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40,7%</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26,9%</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45,6%</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47,8%</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44,7%</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45,3%</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sz w:val="16"/>
                <w:szCs w:val="16"/>
              </w:rPr>
            </w:pPr>
            <w:r>
              <w:rPr>
                <w:b/>
                <w:sz w:val="16"/>
                <w:szCs w:val="16"/>
              </w:rPr>
              <w:t>28,9%</w:t>
            </w:r>
          </w:p>
        </w:tc>
      </w:tr>
      <w:tr w:rsidR="00C62E6B" w:rsidTr="00C62E6B">
        <w:trPr>
          <w:trHeight w:val="376"/>
        </w:trPr>
        <w:tc>
          <w:tcPr>
            <w:tcW w:w="880"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2024-2023 отдача из сети</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5,4</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6,0</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45,2</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40,4</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30,5</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65,9</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99,8</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75,0</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128,3</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146,6</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145,7</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160,6</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949,5</w:t>
            </w:r>
          </w:p>
        </w:tc>
      </w:tr>
      <w:tr w:rsidR="00C62E6B" w:rsidTr="00C62E6B">
        <w:trPr>
          <w:trHeight w:val="376"/>
        </w:trPr>
        <w:tc>
          <w:tcPr>
            <w:tcW w:w="880"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2024-2023 отпуск в сеть (сальдо)</w:t>
            </w:r>
          </w:p>
        </w:tc>
        <w:tc>
          <w:tcPr>
            <w:tcW w:w="68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19,3</w:t>
            </w:r>
          </w:p>
        </w:tc>
        <w:tc>
          <w:tcPr>
            <w:tcW w:w="82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24,2</w:t>
            </w:r>
          </w:p>
        </w:tc>
        <w:tc>
          <w:tcPr>
            <w:tcW w:w="72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7,9</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9,8</w:t>
            </w:r>
          </w:p>
        </w:tc>
        <w:tc>
          <w:tcPr>
            <w:tcW w:w="785"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10,2</w:t>
            </w:r>
          </w:p>
        </w:tc>
        <w:tc>
          <w:tcPr>
            <w:tcW w:w="72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10,7</w:t>
            </w:r>
          </w:p>
        </w:tc>
        <w:tc>
          <w:tcPr>
            <w:tcW w:w="68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16,8</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3,3</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5,1</w:t>
            </w:r>
          </w:p>
        </w:tc>
        <w:tc>
          <w:tcPr>
            <w:tcW w:w="68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6,5</w:t>
            </w:r>
          </w:p>
        </w:tc>
        <w:tc>
          <w:tcPr>
            <w:tcW w:w="66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6,3</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6,4</w:t>
            </w:r>
          </w:p>
        </w:tc>
        <w:tc>
          <w:tcPr>
            <w:tcW w:w="741"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126,5</w:t>
            </w:r>
          </w:p>
        </w:tc>
      </w:tr>
    </w:tbl>
    <w:p w:rsidR="00C62E6B" w:rsidRDefault="00C62E6B" w:rsidP="00C62E6B">
      <w:pPr>
        <w:tabs>
          <w:tab w:val="left" w:pos="8415"/>
        </w:tabs>
        <w:ind w:firstLine="567"/>
        <w:jc w:val="both"/>
        <w:rPr>
          <w:bCs/>
          <w:sz w:val="24"/>
          <w:szCs w:val="24"/>
        </w:rPr>
      </w:pPr>
    </w:p>
    <w:p w:rsidR="00C62E6B" w:rsidRDefault="00C62E6B" w:rsidP="00C62E6B">
      <w:pPr>
        <w:tabs>
          <w:tab w:val="left" w:pos="8415"/>
        </w:tabs>
        <w:ind w:firstLine="567"/>
        <w:jc w:val="both"/>
        <w:rPr>
          <w:bCs/>
          <w:sz w:val="24"/>
          <w:szCs w:val="24"/>
        </w:rPr>
      </w:pPr>
      <w:r>
        <w:rPr>
          <w:bCs/>
          <w:sz w:val="24"/>
          <w:szCs w:val="24"/>
        </w:rPr>
        <w:t xml:space="preserve">В указанных условиях, дополнительная выработка электроэнергии Ивановских ПГУ значительно увеличила технологические потери электроэнергии в сети 110 кВ филиала «Ивэнерго». </w:t>
      </w:r>
    </w:p>
    <w:p w:rsidR="00C62E6B" w:rsidRDefault="00C62E6B" w:rsidP="00C62E6B">
      <w:pPr>
        <w:tabs>
          <w:tab w:val="left" w:pos="8415"/>
        </w:tabs>
        <w:ind w:firstLine="567"/>
        <w:jc w:val="both"/>
        <w:rPr>
          <w:bCs/>
          <w:sz w:val="24"/>
          <w:szCs w:val="24"/>
        </w:rPr>
      </w:pPr>
    </w:p>
    <w:p w:rsidR="00C62E6B" w:rsidRDefault="00C62E6B" w:rsidP="00C62E6B">
      <w:pPr>
        <w:tabs>
          <w:tab w:val="left" w:pos="8415"/>
        </w:tabs>
        <w:ind w:firstLine="567"/>
        <w:jc w:val="both"/>
        <w:rPr>
          <w:bCs/>
          <w:sz w:val="24"/>
          <w:szCs w:val="24"/>
        </w:rPr>
      </w:pPr>
      <w:r>
        <w:rPr>
          <w:bCs/>
          <w:sz w:val="24"/>
          <w:szCs w:val="24"/>
        </w:rPr>
        <w:t>Динамика выработки э/э (млн. кВтч) Ивановских ПГУ:</w:t>
      </w:r>
    </w:p>
    <w:tbl>
      <w:tblPr>
        <w:tblW w:w="10650" w:type="dxa"/>
        <w:tblInd w:w="-572" w:type="dxa"/>
        <w:tblLayout w:type="fixed"/>
        <w:tblLook w:val="04A0" w:firstRow="1" w:lastRow="0" w:firstColumn="1" w:lastColumn="0" w:noHBand="0" w:noVBand="1"/>
      </w:tblPr>
      <w:tblGrid>
        <w:gridCol w:w="991"/>
        <w:gridCol w:w="708"/>
        <w:gridCol w:w="848"/>
        <w:gridCol w:w="709"/>
        <w:gridCol w:w="850"/>
        <w:gridCol w:w="708"/>
        <w:gridCol w:w="640"/>
        <w:gridCol w:w="617"/>
        <w:gridCol w:w="636"/>
        <w:gridCol w:w="843"/>
        <w:gridCol w:w="774"/>
        <w:gridCol w:w="764"/>
        <w:gridCol w:w="798"/>
        <w:gridCol w:w="764"/>
      </w:tblGrid>
      <w:tr w:rsidR="00C62E6B" w:rsidTr="00C62E6B">
        <w:trPr>
          <w:trHeight w:val="216"/>
        </w:trPr>
        <w:tc>
          <w:tcPr>
            <w:tcW w:w="991" w:type="dxa"/>
            <w:tcBorders>
              <w:top w:val="single" w:sz="4" w:space="0" w:color="auto"/>
              <w:left w:val="single" w:sz="4" w:space="0" w:color="auto"/>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Период</w:t>
            </w:r>
          </w:p>
        </w:tc>
        <w:tc>
          <w:tcPr>
            <w:tcW w:w="70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январь</w:t>
            </w:r>
          </w:p>
        </w:tc>
        <w:tc>
          <w:tcPr>
            <w:tcW w:w="84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февраль</w:t>
            </w:r>
          </w:p>
        </w:tc>
        <w:tc>
          <w:tcPr>
            <w:tcW w:w="709"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март</w:t>
            </w:r>
          </w:p>
        </w:tc>
        <w:tc>
          <w:tcPr>
            <w:tcW w:w="850"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апрель</w:t>
            </w:r>
          </w:p>
        </w:tc>
        <w:tc>
          <w:tcPr>
            <w:tcW w:w="70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май</w:t>
            </w:r>
          </w:p>
        </w:tc>
        <w:tc>
          <w:tcPr>
            <w:tcW w:w="640"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июнь</w:t>
            </w:r>
          </w:p>
        </w:tc>
        <w:tc>
          <w:tcPr>
            <w:tcW w:w="617"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июль</w:t>
            </w:r>
          </w:p>
        </w:tc>
        <w:tc>
          <w:tcPr>
            <w:tcW w:w="636"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август</w:t>
            </w:r>
          </w:p>
        </w:tc>
        <w:tc>
          <w:tcPr>
            <w:tcW w:w="843"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сентябрь</w:t>
            </w:r>
          </w:p>
        </w:tc>
        <w:tc>
          <w:tcPr>
            <w:tcW w:w="774"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октябрь</w:t>
            </w:r>
          </w:p>
        </w:tc>
        <w:tc>
          <w:tcPr>
            <w:tcW w:w="764"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ноябрь</w:t>
            </w:r>
          </w:p>
        </w:tc>
        <w:tc>
          <w:tcPr>
            <w:tcW w:w="79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декабрь</w:t>
            </w:r>
          </w:p>
        </w:tc>
        <w:tc>
          <w:tcPr>
            <w:tcW w:w="764"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Итого</w:t>
            </w:r>
          </w:p>
        </w:tc>
      </w:tr>
      <w:tr w:rsidR="00C62E6B" w:rsidTr="00C62E6B">
        <w:trPr>
          <w:trHeight w:val="391"/>
        </w:trPr>
        <w:tc>
          <w:tcPr>
            <w:tcW w:w="991"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2023 год</w:t>
            </w: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27,8 </w:t>
            </w:r>
          </w:p>
        </w:tc>
        <w:tc>
          <w:tcPr>
            <w:tcW w:w="84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26,3 </w:t>
            </w:r>
          </w:p>
        </w:tc>
        <w:tc>
          <w:tcPr>
            <w:tcW w:w="70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32,3 </w:t>
            </w:r>
          </w:p>
        </w:tc>
        <w:tc>
          <w:tcPr>
            <w:tcW w:w="85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28,6 </w:t>
            </w: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31,4 </w:t>
            </w:r>
          </w:p>
        </w:tc>
        <w:tc>
          <w:tcPr>
            <w:tcW w:w="64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30,2 </w:t>
            </w:r>
          </w:p>
        </w:tc>
        <w:tc>
          <w:tcPr>
            <w:tcW w:w="61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19,8 </w:t>
            </w:r>
          </w:p>
        </w:tc>
        <w:tc>
          <w:tcPr>
            <w:tcW w:w="63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33,5 </w:t>
            </w:r>
          </w:p>
        </w:tc>
        <w:tc>
          <w:tcPr>
            <w:tcW w:w="843"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45,3 </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35,0 </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30,0 </w:t>
            </w:r>
          </w:p>
        </w:tc>
        <w:tc>
          <w:tcPr>
            <w:tcW w:w="79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21,1 </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bCs/>
                <w:sz w:val="16"/>
                <w:szCs w:val="16"/>
              </w:rPr>
            </w:pPr>
            <w:r>
              <w:rPr>
                <w:b/>
                <w:bCs/>
                <w:sz w:val="16"/>
                <w:szCs w:val="16"/>
              </w:rPr>
              <w:t xml:space="preserve">361,2 </w:t>
            </w:r>
          </w:p>
        </w:tc>
      </w:tr>
      <w:tr w:rsidR="00C62E6B" w:rsidTr="00C62E6B">
        <w:trPr>
          <w:trHeight w:val="391"/>
        </w:trPr>
        <w:tc>
          <w:tcPr>
            <w:tcW w:w="991" w:type="dxa"/>
            <w:vMerge w:val="restart"/>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2024 год</w:t>
            </w: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26,1 </w:t>
            </w:r>
          </w:p>
        </w:tc>
        <w:tc>
          <w:tcPr>
            <w:tcW w:w="84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34,8 </w:t>
            </w:r>
          </w:p>
        </w:tc>
        <w:tc>
          <w:tcPr>
            <w:tcW w:w="70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60,9 </w:t>
            </w:r>
          </w:p>
        </w:tc>
        <w:tc>
          <w:tcPr>
            <w:tcW w:w="85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47,6 </w:t>
            </w: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54,5 </w:t>
            </w:r>
          </w:p>
        </w:tc>
        <w:tc>
          <w:tcPr>
            <w:tcW w:w="64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88,2 </w:t>
            </w:r>
          </w:p>
        </w:tc>
        <w:tc>
          <w:tcPr>
            <w:tcW w:w="61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114,5 </w:t>
            </w:r>
          </w:p>
        </w:tc>
        <w:tc>
          <w:tcPr>
            <w:tcW w:w="63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81,0 </w:t>
            </w:r>
          </w:p>
        </w:tc>
        <w:tc>
          <w:tcPr>
            <w:tcW w:w="843"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156,2 </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188,1 </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182,0 </w:t>
            </w:r>
          </w:p>
        </w:tc>
        <w:tc>
          <w:tcPr>
            <w:tcW w:w="79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188,1 </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bCs/>
                <w:sz w:val="16"/>
                <w:szCs w:val="16"/>
              </w:rPr>
            </w:pPr>
            <w:r>
              <w:rPr>
                <w:b/>
                <w:bCs/>
                <w:sz w:val="16"/>
                <w:szCs w:val="16"/>
              </w:rPr>
              <w:t xml:space="preserve">1 221,9 </w:t>
            </w:r>
          </w:p>
        </w:tc>
      </w:tr>
      <w:tr w:rsidR="00C62E6B" w:rsidTr="00C62E6B">
        <w:trPr>
          <w:trHeight w:val="338"/>
        </w:trPr>
        <w:tc>
          <w:tcPr>
            <w:tcW w:w="991" w:type="dxa"/>
            <w:vMerge/>
            <w:tcBorders>
              <w:top w:val="nil"/>
              <w:left w:val="single" w:sz="4" w:space="0" w:color="auto"/>
              <w:bottom w:val="single" w:sz="4" w:space="0" w:color="auto"/>
              <w:right w:val="single" w:sz="4" w:space="0" w:color="auto"/>
            </w:tcBorders>
            <w:vAlign w:val="center"/>
            <w:hideMark/>
          </w:tcPr>
          <w:p w:rsidR="00C62E6B" w:rsidRDefault="00C62E6B">
            <w:pPr>
              <w:rPr>
                <w:sz w:val="14"/>
                <w:szCs w:val="14"/>
              </w:rPr>
            </w:pP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84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70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85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4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1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63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843"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факт</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прогноз</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прогноз</w:t>
            </w:r>
          </w:p>
        </w:tc>
        <w:tc>
          <w:tcPr>
            <w:tcW w:w="79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прогноз</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i/>
                <w:iCs/>
                <w:sz w:val="16"/>
                <w:szCs w:val="16"/>
              </w:rPr>
            </w:pPr>
            <w:r>
              <w:rPr>
                <w:i/>
                <w:iCs/>
                <w:sz w:val="16"/>
                <w:szCs w:val="16"/>
              </w:rPr>
              <w:t>прогноз</w:t>
            </w:r>
          </w:p>
        </w:tc>
      </w:tr>
      <w:tr w:rsidR="00C62E6B" w:rsidTr="00C62E6B">
        <w:trPr>
          <w:trHeight w:val="411"/>
        </w:trPr>
        <w:tc>
          <w:tcPr>
            <w:tcW w:w="991"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Динамика</w:t>
            </w: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-1,7 </w:t>
            </w:r>
          </w:p>
        </w:tc>
        <w:tc>
          <w:tcPr>
            <w:tcW w:w="84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8,5 </w:t>
            </w:r>
          </w:p>
        </w:tc>
        <w:tc>
          <w:tcPr>
            <w:tcW w:w="709"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28,6 </w:t>
            </w:r>
          </w:p>
        </w:tc>
        <w:tc>
          <w:tcPr>
            <w:tcW w:w="85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19,0 </w:t>
            </w:r>
          </w:p>
        </w:tc>
        <w:tc>
          <w:tcPr>
            <w:tcW w:w="70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23,1 </w:t>
            </w:r>
          </w:p>
        </w:tc>
        <w:tc>
          <w:tcPr>
            <w:tcW w:w="640"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58,0 </w:t>
            </w:r>
          </w:p>
        </w:tc>
        <w:tc>
          <w:tcPr>
            <w:tcW w:w="617"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94,7 </w:t>
            </w:r>
          </w:p>
        </w:tc>
        <w:tc>
          <w:tcPr>
            <w:tcW w:w="636"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47,5 </w:t>
            </w:r>
          </w:p>
        </w:tc>
        <w:tc>
          <w:tcPr>
            <w:tcW w:w="843"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110,9 </w:t>
            </w:r>
          </w:p>
        </w:tc>
        <w:tc>
          <w:tcPr>
            <w:tcW w:w="77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153,1 </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152,0 </w:t>
            </w:r>
          </w:p>
        </w:tc>
        <w:tc>
          <w:tcPr>
            <w:tcW w:w="798"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167,0 </w:t>
            </w:r>
          </w:p>
        </w:tc>
        <w:tc>
          <w:tcPr>
            <w:tcW w:w="764" w:type="dxa"/>
            <w:tcBorders>
              <w:top w:val="nil"/>
              <w:left w:val="nil"/>
              <w:bottom w:val="single" w:sz="4" w:space="0" w:color="auto"/>
              <w:right w:val="single" w:sz="4" w:space="0" w:color="auto"/>
            </w:tcBorders>
            <w:noWrap/>
            <w:vAlign w:val="center"/>
            <w:hideMark/>
          </w:tcPr>
          <w:p w:rsidR="00C62E6B" w:rsidRDefault="00C62E6B">
            <w:pPr>
              <w:spacing w:line="276" w:lineRule="auto"/>
              <w:jc w:val="center"/>
              <w:rPr>
                <w:b/>
                <w:bCs/>
                <w:sz w:val="16"/>
                <w:szCs w:val="16"/>
              </w:rPr>
            </w:pPr>
            <w:r>
              <w:rPr>
                <w:b/>
                <w:bCs/>
                <w:sz w:val="16"/>
                <w:szCs w:val="16"/>
              </w:rPr>
              <w:t xml:space="preserve">860,7 </w:t>
            </w:r>
          </w:p>
        </w:tc>
      </w:tr>
      <w:tr w:rsidR="00C62E6B" w:rsidTr="00C62E6B">
        <w:trPr>
          <w:trHeight w:val="205"/>
        </w:trPr>
        <w:tc>
          <w:tcPr>
            <w:tcW w:w="991" w:type="dxa"/>
            <w:tcBorders>
              <w:top w:val="single" w:sz="4" w:space="0" w:color="auto"/>
              <w:left w:val="single" w:sz="4" w:space="0" w:color="auto"/>
              <w:bottom w:val="single" w:sz="4" w:space="0" w:color="auto"/>
              <w:right w:val="single" w:sz="4" w:space="0" w:color="auto"/>
            </w:tcBorders>
            <w:vAlign w:val="center"/>
            <w:hideMark/>
          </w:tcPr>
          <w:p w:rsidR="00C62E6B" w:rsidRDefault="00C62E6B">
            <w:pPr>
              <w:spacing w:line="276" w:lineRule="auto"/>
              <w:jc w:val="center"/>
              <w:rPr>
                <w:sz w:val="14"/>
                <w:szCs w:val="14"/>
              </w:rPr>
            </w:pPr>
            <w:r>
              <w:rPr>
                <w:sz w:val="14"/>
                <w:szCs w:val="14"/>
              </w:rPr>
              <w:t>Рост нагрузочных потерь в 2024 году</w:t>
            </w:r>
          </w:p>
        </w:tc>
        <w:tc>
          <w:tcPr>
            <w:tcW w:w="70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0 </w:t>
            </w:r>
          </w:p>
        </w:tc>
        <w:tc>
          <w:tcPr>
            <w:tcW w:w="84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0,3 </w:t>
            </w:r>
          </w:p>
        </w:tc>
        <w:tc>
          <w:tcPr>
            <w:tcW w:w="709"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1,2 </w:t>
            </w:r>
          </w:p>
        </w:tc>
        <w:tc>
          <w:tcPr>
            <w:tcW w:w="850"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0,9 </w:t>
            </w:r>
          </w:p>
        </w:tc>
        <w:tc>
          <w:tcPr>
            <w:tcW w:w="70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1,0 </w:t>
            </w:r>
          </w:p>
        </w:tc>
        <w:tc>
          <w:tcPr>
            <w:tcW w:w="640"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1,7 </w:t>
            </w:r>
          </w:p>
        </w:tc>
        <w:tc>
          <w:tcPr>
            <w:tcW w:w="617"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3,8 </w:t>
            </w:r>
          </w:p>
        </w:tc>
        <w:tc>
          <w:tcPr>
            <w:tcW w:w="636"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2,8 </w:t>
            </w:r>
          </w:p>
        </w:tc>
        <w:tc>
          <w:tcPr>
            <w:tcW w:w="843"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5,3 </w:t>
            </w:r>
          </w:p>
        </w:tc>
        <w:tc>
          <w:tcPr>
            <w:tcW w:w="774"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6,5 </w:t>
            </w:r>
          </w:p>
        </w:tc>
        <w:tc>
          <w:tcPr>
            <w:tcW w:w="764"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6,3 </w:t>
            </w:r>
          </w:p>
        </w:tc>
        <w:tc>
          <w:tcPr>
            <w:tcW w:w="79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sz w:val="16"/>
                <w:szCs w:val="16"/>
              </w:rPr>
              <w:t xml:space="preserve">6,4 </w:t>
            </w:r>
          </w:p>
        </w:tc>
        <w:tc>
          <w:tcPr>
            <w:tcW w:w="764"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sz w:val="16"/>
                <w:szCs w:val="16"/>
              </w:rPr>
            </w:pPr>
            <w:r>
              <w:rPr>
                <w:b/>
                <w:bCs/>
                <w:sz w:val="16"/>
                <w:szCs w:val="16"/>
              </w:rPr>
              <w:t xml:space="preserve">36,1 </w:t>
            </w:r>
          </w:p>
        </w:tc>
      </w:tr>
    </w:tbl>
    <w:p w:rsidR="00C62E6B" w:rsidRDefault="00C62E6B" w:rsidP="00C62E6B">
      <w:pPr>
        <w:tabs>
          <w:tab w:val="left" w:pos="8415"/>
        </w:tabs>
        <w:ind w:firstLine="567"/>
        <w:jc w:val="both"/>
        <w:rPr>
          <w:bCs/>
          <w:sz w:val="24"/>
          <w:szCs w:val="24"/>
        </w:rPr>
      </w:pPr>
    </w:p>
    <w:p w:rsidR="00C62E6B" w:rsidRDefault="00C62E6B" w:rsidP="00C62E6B">
      <w:pPr>
        <w:tabs>
          <w:tab w:val="left" w:pos="8415"/>
        </w:tabs>
        <w:ind w:firstLine="567"/>
        <w:jc w:val="both"/>
        <w:rPr>
          <w:bCs/>
          <w:sz w:val="24"/>
          <w:szCs w:val="24"/>
        </w:rPr>
      </w:pPr>
      <w:r>
        <w:rPr>
          <w:bCs/>
          <w:sz w:val="24"/>
          <w:szCs w:val="24"/>
        </w:rPr>
        <w:t xml:space="preserve">По итогам 2024 года ожидаемая величина транзита электроэнергии по сетям филиала </w:t>
      </w:r>
      <w:r>
        <w:rPr>
          <w:bCs/>
          <w:sz w:val="24"/>
          <w:szCs w:val="24"/>
        </w:rPr>
        <w:lastRenderedPageBreak/>
        <w:t>возрастет на 860,7 млн кВтч.</w:t>
      </w:r>
    </w:p>
    <w:p w:rsidR="00C62E6B" w:rsidRDefault="00C62E6B" w:rsidP="00C62E6B">
      <w:pPr>
        <w:tabs>
          <w:tab w:val="left" w:pos="8415"/>
        </w:tabs>
        <w:ind w:firstLine="567"/>
        <w:jc w:val="both"/>
        <w:rPr>
          <w:bCs/>
          <w:sz w:val="24"/>
          <w:szCs w:val="24"/>
        </w:rPr>
      </w:pPr>
      <w:r>
        <w:rPr>
          <w:bCs/>
          <w:sz w:val="24"/>
          <w:szCs w:val="24"/>
        </w:rPr>
        <w:t>Расчет нагрузочных потерь в линиях 110 кВ сетей филиала «Ивэнерго», имеющих технологическое присоединение к сетям Ивановских ПГУ, произведен в соответствии с Методами расчета нагрузочных потерь электроэнергии, изложенными в п. III Приложения 1 к Приказу министерства энергетики РФ от 30.12.2008 № 326, на основании почасовых выгрузок мощности из системы АСКУЭ филиала «Ивэнерго» с марта по сентябрь 2023-2024 гг. (приложен к документам в составе тарифной заявки).</w:t>
      </w:r>
    </w:p>
    <w:p w:rsidR="00C62E6B" w:rsidRDefault="00C62E6B" w:rsidP="00C62E6B">
      <w:pPr>
        <w:tabs>
          <w:tab w:val="left" w:pos="8415"/>
        </w:tabs>
        <w:ind w:firstLine="567"/>
        <w:jc w:val="both"/>
        <w:rPr>
          <w:bCs/>
          <w:sz w:val="24"/>
          <w:szCs w:val="24"/>
        </w:rPr>
      </w:pPr>
      <w:r>
        <w:rPr>
          <w:bCs/>
          <w:sz w:val="24"/>
          <w:szCs w:val="24"/>
        </w:rPr>
        <w:t xml:space="preserve">По данным представителей Ивановских ПГУ, ввиду технологических особенностей работы нового энергоблока, обусловленных в том числе нехваткой охлаждающих мощностей, в зимние месяцы произойдет существенный рост выработки электроэнергии в сеть, что приведет к дополнительному росту уровня потерь в сети 110 кВ филиала «Ивэнерго». </w:t>
      </w:r>
    </w:p>
    <w:p w:rsidR="00C62E6B" w:rsidRDefault="00C62E6B" w:rsidP="00C62E6B">
      <w:pPr>
        <w:tabs>
          <w:tab w:val="left" w:pos="8415"/>
        </w:tabs>
        <w:ind w:firstLine="567"/>
        <w:jc w:val="both"/>
        <w:rPr>
          <w:bCs/>
          <w:sz w:val="24"/>
          <w:szCs w:val="24"/>
        </w:rPr>
      </w:pPr>
      <w:r>
        <w:rPr>
          <w:bCs/>
          <w:sz w:val="24"/>
          <w:szCs w:val="24"/>
        </w:rPr>
        <w:t>С учетом выхода Ивановских ПГУ на стабильную генерацию со 2 полугодия 2024 года и ожидаемой динамики выработки на 2025 год, прогнозируется рост технологических потерь в объеме 63,2 млн кВтч относительно показателей 2023 года.</w:t>
      </w:r>
    </w:p>
    <w:p w:rsidR="00C62E6B" w:rsidRDefault="00C62E6B" w:rsidP="00C62E6B">
      <w:pPr>
        <w:tabs>
          <w:tab w:val="left" w:pos="8415"/>
        </w:tabs>
        <w:ind w:firstLine="567"/>
        <w:jc w:val="both"/>
        <w:rPr>
          <w:bCs/>
          <w:sz w:val="24"/>
          <w:szCs w:val="24"/>
        </w:rPr>
      </w:pPr>
      <w:r>
        <w:rPr>
          <w:bCs/>
          <w:sz w:val="24"/>
          <w:szCs w:val="24"/>
        </w:rPr>
        <w:t xml:space="preserve">                                                                                                                             млн. кВтч</w:t>
      </w:r>
    </w:p>
    <w:tbl>
      <w:tblPr>
        <w:tblW w:w="9483" w:type="dxa"/>
        <w:tblLook w:val="04A0" w:firstRow="1" w:lastRow="0" w:firstColumn="1" w:lastColumn="0" w:noHBand="0" w:noVBand="1"/>
      </w:tblPr>
      <w:tblGrid>
        <w:gridCol w:w="1101"/>
        <w:gridCol w:w="707"/>
        <w:gridCol w:w="739"/>
        <w:gridCol w:w="581"/>
        <w:gridCol w:w="711"/>
        <w:gridCol w:w="581"/>
        <w:gridCol w:w="592"/>
        <w:gridCol w:w="589"/>
        <w:gridCol w:w="631"/>
        <w:gridCol w:w="722"/>
        <w:gridCol w:w="641"/>
        <w:gridCol w:w="581"/>
        <w:gridCol w:w="652"/>
        <w:gridCol w:w="699"/>
      </w:tblGrid>
      <w:tr w:rsidR="00C62E6B" w:rsidTr="00C62E6B">
        <w:trPr>
          <w:trHeight w:val="315"/>
        </w:trPr>
        <w:tc>
          <w:tcPr>
            <w:tcW w:w="1101" w:type="dxa"/>
            <w:tcBorders>
              <w:top w:val="single" w:sz="4" w:space="0" w:color="auto"/>
              <w:left w:val="single" w:sz="4" w:space="0" w:color="auto"/>
              <w:bottom w:val="single" w:sz="4" w:space="0" w:color="auto"/>
              <w:right w:val="single" w:sz="4" w:space="0" w:color="auto"/>
            </w:tcBorders>
            <w:noWrap/>
            <w:vAlign w:val="center"/>
            <w:hideMark/>
          </w:tcPr>
          <w:p w:rsidR="00C62E6B" w:rsidRDefault="00C62E6B">
            <w:pPr>
              <w:spacing w:line="276" w:lineRule="auto"/>
              <w:jc w:val="both"/>
              <w:rPr>
                <w:b/>
                <w:sz w:val="14"/>
                <w:szCs w:val="14"/>
              </w:rPr>
            </w:pPr>
            <w:r>
              <w:rPr>
                <w:b/>
                <w:sz w:val="14"/>
                <w:szCs w:val="14"/>
              </w:rPr>
              <w:t>Период</w:t>
            </w:r>
          </w:p>
        </w:tc>
        <w:tc>
          <w:tcPr>
            <w:tcW w:w="707"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январь</w:t>
            </w:r>
          </w:p>
        </w:tc>
        <w:tc>
          <w:tcPr>
            <w:tcW w:w="739"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73"/>
              <w:jc w:val="center"/>
              <w:rPr>
                <w:b/>
                <w:sz w:val="14"/>
                <w:szCs w:val="14"/>
              </w:rPr>
            </w:pPr>
            <w:r>
              <w:rPr>
                <w:b/>
                <w:sz w:val="14"/>
                <w:szCs w:val="14"/>
              </w:rPr>
              <w:t>февраль</w:t>
            </w:r>
          </w:p>
        </w:tc>
        <w:tc>
          <w:tcPr>
            <w:tcW w:w="581"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март</w:t>
            </w:r>
          </w:p>
        </w:tc>
        <w:tc>
          <w:tcPr>
            <w:tcW w:w="711"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апрель</w:t>
            </w:r>
          </w:p>
        </w:tc>
        <w:tc>
          <w:tcPr>
            <w:tcW w:w="581"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май</w:t>
            </w:r>
          </w:p>
        </w:tc>
        <w:tc>
          <w:tcPr>
            <w:tcW w:w="592"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июнь</w:t>
            </w:r>
          </w:p>
        </w:tc>
        <w:tc>
          <w:tcPr>
            <w:tcW w:w="589"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center"/>
              <w:rPr>
                <w:b/>
                <w:sz w:val="14"/>
                <w:szCs w:val="14"/>
              </w:rPr>
            </w:pPr>
            <w:r>
              <w:rPr>
                <w:b/>
                <w:sz w:val="14"/>
                <w:szCs w:val="14"/>
              </w:rPr>
              <w:t>июль</w:t>
            </w:r>
          </w:p>
        </w:tc>
        <w:tc>
          <w:tcPr>
            <w:tcW w:w="631"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183" w:right="-112"/>
              <w:jc w:val="center"/>
              <w:rPr>
                <w:b/>
                <w:sz w:val="14"/>
                <w:szCs w:val="14"/>
              </w:rPr>
            </w:pPr>
            <w:r>
              <w:rPr>
                <w:b/>
                <w:sz w:val="14"/>
                <w:szCs w:val="14"/>
              </w:rPr>
              <w:t>август</w:t>
            </w:r>
          </w:p>
        </w:tc>
        <w:tc>
          <w:tcPr>
            <w:tcW w:w="722"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121" w:right="-92"/>
              <w:jc w:val="center"/>
              <w:rPr>
                <w:b/>
                <w:sz w:val="14"/>
                <w:szCs w:val="14"/>
              </w:rPr>
            </w:pPr>
            <w:r>
              <w:rPr>
                <w:b/>
                <w:sz w:val="14"/>
                <w:szCs w:val="14"/>
              </w:rPr>
              <w:t>сентябрь</w:t>
            </w:r>
          </w:p>
        </w:tc>
        <w:tc>
          <w:tcPr>
            <w:tcW w:w="641"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133" w:right="-165"/>
              <w:jc w:val="center"/>
              <w:rPr>
                <w:b/>
                <w:sz w:val="14"/>
                <w:szCs w:val="14"/>
              </w:rPr>
            </w:pPr>
            <w:r>
              <w:rPr>
                <w:b/>
                <w:sz w:val="14"/>
                <w:szCs w:val="14"/>
              </w:rPr>
              <w:t>октябрь</w:t>
            </w:r>
          </w:p>
        </w:tc>
        <w:tc>
          <w:tcPr>
            <w:tcW w:w="581"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205" w:right="-153"/>
              <w:jc w:val="center"/>
              <w:rPr>
                <w:b/>
                <w:sz w:val="14"/>
                <w:szCs w:val="14"/>
              </w:rPr>
            </w:pPr>
            <w:r>
              <w:rPr>
                <w:b/>
                <w:sz w:val="14"/>
                <w:szCs w:val="14"/>
              </w:rPr>
              <w:t>ноябрь</w:t>
            </w:r>
          </w:p>
        </w:tc>
        <w:tc>
          <w:tcPr>
            <w:tcW w:w="608"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ind w:left="-61" w:right="-9"/>
              <w:jc w:val="center"/>
              <w:rPr>
                <w:b/>
                <w:sz w:val="14"/>
                <w:szCs w:val="14"/>
              </w:rPr>
            </w:pPr>
            <w:r>
              <w:rPr>
                <w:b/>
                <w:sz w:val="14"/>
                <w:szCs w:val="14"/>
              </w:rPr>
              <w:t>декабрь</w:t>
            </w:r>
          </w:p>
        </w:tc>
        <w:tc>
          <w:tcPr>
            <w:tcW w:w="699" w:type="dxa"/>
            <w:tcBorders>
              <w:top w:val="single" w:sz="4" w:space="0" w:color="auto"/>
              <w:left w:val="nil"/>
              <w:bottom w:val="single" w:sz="4" w:space="0" w:color="auto"/>
              <w:right w:val="single" w:sz="4" w:space="0" w:color="auto"/>
            </w:tcBorders>
            <w:noWrap/>
            <w:vAlign w:val="center"/>
            <w:hideMark/>
          </w:tcPr>
          <w:p w:rsidR="00C62E6B" w:rsidRDefault="00C62E6B">
            <w:pPr>
              <w:spacing w:line="276" w:lineRule="auto"/>
              <w:jc w:val="both"/>
              <w:rPr>
                <w:b/>
                <w:sz w:val="14"/>
                <w:szCs w:val="14"/>
              </w:rPr>
            </w:pPr>
            <w:r>
              <w:rPr>
                <w:b/>
                <w:sz w:val="14"/>
                <w:szCs w:val="14"/>
              </w:rPr>
              <w:t>Итого</w:t>
            </w:r>
          </w:p>
        </w:tc>
      </w:tr>
      <w:tr w:rsidR="00C62E6B" w:rsidTr="00C62E6B">
        <w:trPr>
          <w:trHeight w:val="570"/>
        </w:trPr>
        <w:tc>
          <w:tcPr>
            <w:tcW w:w="1101"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ind w:firstLine="33"/>
              <w:jc w:val="both"/>
              <w:rPr>
                <w:sz w:val="14"/>
                <w:szCs w:val="14"/>
              </w:rPr>
            </w:pPr>
            <w:r>
              <w:rPr>
                <w:sz w:val="14"/>
                <w:szCs w:val="14"/>
              </w:rPr>
              <w:t>Ожидаемый объем выработки в 2025г</w:t>
            </w:r>
          </w:p>
        </w:tc>
        <w:tc>
          <w:tcPr>
            <w:tcW w:w="707"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188,1</w:t>
            </w:r>
          </w:p>
        </w:tc>
        <w:tc>
          <w:tcPr>
            <w:tcW w:w="73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169,9</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188,1</w:t>
            </w:r>
          </w:p>
        </w:tc>
        <w:tc>
          <w:tcPr>
            <w:tcW w:w="71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156,2</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130,0</w:t>
            </w:r>
          </w:p>
        </w:tc>
        <w:tc>
          <w:tcPr>
            <w:tcW w:w="592"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100,0</w:t>
            </w:r>
          </w:p>
        </w:tc>
        <w:tc>
          <w:tcPr>
            <w:tcW w:w="58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114,5</w:t>
            </w:r>
          </w:p>
        </w:tc>
        <w:tc>
          <w:tcPr>
            <w:tcW w:w="63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81,0 </w:t>
            </w:r>
          </w:p>
        </w:tc>
        <w:tc>
          <w:tcPr>
            <w:tcW w:w="722"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156,2 </w:t>
            </w:r>
          </w:p>
        </w:tc>
        <w:tc>
          <w:tcPr>
            <w:tcW w:w="64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188,1 </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182,0 </w:t>
            </w:r>
          </w:p>
        </w:tc>
        <w:tc>
          <w:tcPr>
            <w:tcW w:w="608"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188,1 </w:t>
            </w:r>
          </w:p>
        </w:tc>
        <w:tc>
          <w:tcPr>
            <w:tcW w:w="69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b/>
                <w:bCs/>
                <w:sz w:val="16"/>
                <w:szCs w:val="16"/>
              </w:rPr>
            </w:pPr>
            <w:r>
              <w:rPr>
                <w:b/>
                <w:bCs/>
                <w:sz w:val="16"/>
                <w:szCs w:val="16"/>
              </w:rPr>
              <w:t xml:space="preserve">1 842,0 </w:t>
            </w:r>
          </w:p>
        </w:tc>
      </w:tr>
      <w:tr w:rsidR="00C62E6B" w:rsidTr="00C62E6B">
        <w:trPr>
          <w:trHeight w:val="570"/>
        </w:trPr>
        <w:tc>
          <w:tcPr>
            <w:tcW w:w="1101"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both"/>
              <w:rPr>
                <w:sz w:val="14"/>
                <w:szCs w:val="14"/>
              </w:rPr>
            </w:pPr>
            <w:r>
              <w:rPr>
                <w:sz w:val="14"/>
                <w:szCs w:val="14"/>
              </w:rPr>
              <w:t>Динамика 2025-2023</w:t>
            </w:r>
          </w:p>
        </w:tc>
        <w:tc>
          <w:tcPr>
            <w:tcW w:w="707"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160,3</w:t>
            </w:r>
          </w:p>
        </w:tc>
        <w:tc>
          <w:tcPr>
            <w:tcW w:w="73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143,5</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155,8</w:t>
            </w:r>
          </w:p>
        </w:tc>
        <w:tc>
          <w:tcPr>
            <w:tcW w:w="71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127,6</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98,6</w:t>
            </w:r>
          </w:p>
        </w:tc>
        <w:tc>
          <w:tcPr>
            <w:tcW w:w="592"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69,8</w:t>
            </w:r>
          </w:p>
        </w:tc>
        <w:tc>
          <w:tcPr>
            <w:tcW w:w="58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94,7</w:t>
            </w:r>
          </w:p>
        </w:tc>
        <w:tc>
          <w:tcPr>
            <w:tcW w:w="63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47,5 </w:t>
            </w:r>
          </w:p>
        </w:tc>
        <w:tc>
          <w:tcPr>
            <w:tcW w:w="722"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110,9 </w:t>
            </w:r>
          </w:p>
        </w:tc>
        <w:tc>
          <w:tcPr>
            <w:tcW w:w="64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153,1 </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152,0 </w:t>
            </w:r>
          </w:p>
        </w:tc>
        <w:tc>
          <w:tcPr>
            <w:tcW w:w="608"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167,0 </w:t>
            </w:r>
          </w:p>
        </w:tc>
        <w:tc>
          <w:tcPr>
            <w:tcW w:w="69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b/>
                <w:bCs/>
                <w:sz w:val="16"/>
                <w:szCs w:val="16"/>
              </w:rPr>
            </w:pPr>
            <w:r>
              <w:rPr>
                <w:b/>
                <w:bCs/>
                <w:sz w:val="16"/>
                <w:szCs w:val="16"/>
              </w:rPr>
              <w:t xml:space="preserve">1 480,8 </w:t>
            </w:r>
          </w:p>
        </w:tc>
      </w:tr>
      <w:tr w:rsidR="00C62E6B" w:rsidTr="00C62E6B">
        <w:trPr>
          <w:trHeight w:val="779"/>
        </w:trPr>
        <w:tc>
          <w:tcPr>
            <w:tcW w:w="1101" w:type="dxa"/>
            <w:tcBorders>
              <w:top w:val="nil"/>
              <w:left w:val="single" w:sz="4" w:space="0" w:color="auto"/>
              <w:bottom w:val="single" w:sz="4" w:space="0" w:color="auto"/>
              <w:right w:val="single" w:sz="4" w:space="0" w:color="auto"/>
            </w:tcBorders>
            <w:vAlign w:val="center"/>
            <w:hideMark/>
          </w:tcPr>
          <w:p w:rsidR="00C62E6B" w:rsidRDefault="00C62E6B">
            <w:pPr>
              <w:spacing w:line="276" w:lineRule="auto"/>
              <w:jc w:val="both"/>
              <w:rPr>
                <w:sz w:val="14"/>
                <w:szCs w:val="14"/>
              </w:rPr>
            </w:pPr>
            <w:r>
              <w:rPr>
                <w:sz w:val="14"/>
                <w:szCs w:val="14"/>
              </w:rPr>
              <w:t>Ожидаемый рост нагрузочных потерь от 2023г, млн кВтч</w:t>
            </w:r>
          </w:p>
        </w:tc>
        <w:tc>
          <w:tcPr>
            <w:tcW w:w="707"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6,5</w:t>
            </w:r>
          </w:p>
        </w:tc>
        <w:tc>
          <w:tcPr>
            <w:tcW w:w="73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5,8</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6,5</w:t>
            </w:r>
          </w:p>
        </w:tc>
        <w:tc>
          <w:tcPr>
            <w:tcW w:w="71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5,4</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4,5</w:t>
            </w:r>
          </w:p>
        </w:tc>
        <w:tc>
          <w:tcPr>
            <w:tcW w:w="592"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3,4</w:t>
            </w:r>
          </w:p>
        </w:tc>
        <w:tc>
          <w:tcPr>
            <w:tcW w:w="58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3,8</w:t>
            </w:r>
          </w:p>
        </w:tc>
        <w:tc>
          <w:tcPr>
            <w:tcW w:w="63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2,8 </w:t>
            </w:r>
          </w:p>
        </w:tc>
        <w:tc>
          <w:tcPr>
            <w:tcW w:w="722"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5,4 </w:t>
            </w:r>
          </w:p>
        </w:tc>
        <w:tc>
          <w:tcPr>
            <w:tcW w:w="64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6,5 </w:t>
            </w:r>
          </w:p>
        </w:tc>
        <w:tc>
          <w:tcPr>
            <w:tcW w:w="581"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6,3 </w:t>
            </w:r>
          </w:p>
        </w:tc>
        <w:tc>
          <w:tcPr>
            <w:tcW w:w="608"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sz w:val="16"/>
                <w:szCs w:val="16"/>
              </w:rPr>
            </w:pPr>
            <w:r>
              <w:rPr>
                <w:sz w:val="16"/>
                <w:szCs w:val="16"/>
              </w:rPr>
              <w:t xml:space="preserve">6,4 </w:t>
            </w:r>
          </w:p>
        </w:tc>
        <w:tc>
          <w:tcPr>
            <w:tcW w:w="699" w:type="dxa"/>
            <w:tcBorders>
              <w:top w:val="nil"/>
              <w:left w:val="nil"/>
              <w:bottom w:val="single" w:sz="4" w:space="0" w:color="auto"/>
              <w:right w:val="single" w:sz="4" w:space="0" w:color="auto"/>
            </w:tcBorders>
            <w:noWrap/>
            <w:vAlign w:val="center"/>
            <w:hideMark/>
          </w:tcPr>
          <w:p w:rsidR="00C62E6B" w:rsidRDefault="00C62E6B">
            <w:pPr>
              <w:spacing w:line="276" w:lineRule="auto"/>
              <w:jc w:val="right"/>
              <w:rPr>
                <w:b/>
                <w:bCs/>
                <w:sz w:val="16"/>
                <w:szCs w:val="16"/>
              </w:rPr>
            </w:pPr>
            <w:r>
              <w:rPr>
                <w:b/>
                <w:bCs/>
                <w:sz w:val="16"/>
                <w:szCs w:val="16"/>
              </w:rPr>
              <w:t xml:space="preserve">63,2 </w:t>
            </w:r>
          </w:p>
        </w:tc>
      </w:tr>
    </w:tbl>
    <w:p w:rsidR="00C62E6B" w:rsidRDefault="00C62E6B" w:rsidP="00C62E6B">
      <w:pPr>
        <w:tabs>
          <w:tab w:val="left" w:pos="8415"/>
        </w:tabs>
        <w:ind w:firstLine="567"/>
        <w:jc w:val="both"/>
        <w:rPr>
          <w:bCs/>
          <w:sz w:val="24"/>
          <w:szCs w:val="24"/>
        </w:rPr>
      </w:pPr>
    </w:p>
    <w:p w:rsidR="00C62E6B" w:rsidRDefault="00C62E6B" w:rsidP="00C62E6B">
      <w:pPr>
        <w:tabs>
          <w:tab w:val="left" w:pos="8415"/>
        </w:tabs>
        <w:ind w:firstLine="567"/>
        <w:jc w:val="both"/>
        <w:rPr>
          <w:bCs/>
          <w:sz w:val="24"/>
          <w:szCs w:val="24"/>
        </w:rPr>
      </w:pPr>
      <w:r>
        <w:rPr>
          <w:bCs/>
          <w:sz w:val="24"/>
          <w:szCs w:val="24"/>
        </w:rPr>
        <w:t>При этом согласно пункту 12 Основ ценообразования долгосрочные параметры регулирования (к которым относится уровень потерь) не пересматриваются в течение долгосрочного периода регулирования, за исключением определенных данным пунктом случаев, не относящихся к описанной выше ситуации.</w:t>
      </w:r>
    </w:p>
    <w:p w:rsidR="00C62E6B" w:rsidRDefault="00C62E6B" w:rsidP="00C62E6B">
      <w:pPr>
        <w:tabs>
          <w:tab w:val="left" w:pos="8415"/>
        </w:tabs>
        <w:ind w:firstLine="567"/>
        <w:jc w:val="both"/>
        <w:rPr>
          <w:bCs/>
          <w:sz w:val="24"/>
          <w:szCs w:val="24"/>
        </w:rPr>
      </w:pPr>
      <w:r>
        <w:rPr>
          <w:bCs/>
          <w:sz w:val="24"/>
          <w:szCs w:val="24"/>
        </w:rPr>
        <w:t xml:space="preserve">Установленный для филиала «Ивэнерго» на долгосрочный период регулирования норматив потерь (7,96%) не учитывает последствия от дополнительной выработки электроэнергии новым энергоблоком Ивановских ПГУ. В этой связи, филиал «Ивэнерго» как владелец объектов электросетевого хозяйства, к которым подключен энергоблок ПГУ, несет расходы на оплату образующихся нагрузочных потерь при перетоке электрической энергии в сети энергосистем иных субъектов РФ, что приводит к значительным некомпенсированным расходам. </w:t>
      </w:r>
    </w:p>
    <w:p w:rsidR="00C62E6B" w:rsidRDefault="00C62E6B" w:rsidP="00C62E6B">
      <w:pPr>
        <w:tabs>
          <w:tab w:val="left" w:pos="8415"/>
        </w:tabs>
        <w:ind w:firstLine="567"/>
        <w:jc w:val="both"/>
        <w:rPr>
          <w:bCs/>
          <w:sz w:val="24"/>
          <w:szCs w:val="24"/>
        </w:rPr>
      </w:pPr>
      <w:r>
        <w:rPr>
          <w:bCs/>
          <w:sz w:val="24"/>
          <w:szCs w:val="24"/>
        </w:rPr>
        <w:t xml:space="preserve">В соответствии с пунктом 7 Основ ценообразования, 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w:t>
      </w:r>
    </w:p>
    <w:p w:rsidR="00C62E6B" w:rsidRDefault="00C62E6B" w:rsidP="00C62E6B">
      <w:pPr>
        <w:tabs>
          <w:tab w:val="left" w:pos="8415"/>
        </w:tabs>
        <w:ind w:firstLine="567"/>
        <w:jc w:val="both"/>
        <w:rPr>
          <w:bCs/>
          <w:sz w:val="24"/>
          <w:szCs w:val="24"/>
        </w:rPr>
      </w:pPr>
      <w:r>
        <w:rPr>
          <w:bCs/>
          <w:sz w:val="24"/>
          <w:szCs w:val="24"/>
        </w:rPr>
        <w:t>Учитывая размер ежегодных расходов по оплате потерь вследствие увеличения выработки электроэнергии новым энергоблоком Ивановских ПГУ, начиная с 2024 года, у филиала «Ивэнерго» начинает аккумулироваться значительный дефицит оборотных средств.</w:t>
      </w:r>
    </w:p>
    <w:p w:rsidR="00C62E6B" w:rsidRDefault="00C62E6B" w:rsidP="00C62E6B">
      <w:pPr>
        <w:tabs>
          <w:tab w:val="left" w:pos="8415"/>
        </w:tabs>
        <w:ind w:firstLine="567"/>
        <w:jc w:val="both"/>
        <w:rPr>
          <w:bCs/>
          <w:sz w:val="24"/>
          <w:szCs w:val="24"/>
        </w:rPr>
      </w:pPr>
      <w:r>
        <w:rPr>
          <w:bCs/>
          <w:sz w:val="24"/>
          <w:szCs w:val="24"/>
        </w:rPr>
        <w:t>Объекты электроэнергетики Ивановской области входят в Единую энергетическую систему России, в связи с чем, позиция Департамента о нецелесообразности распределения нагрузки по оплате потерь электрической энергии, вызванных транзитом электроэнергии для других регионов, на потребителей Ивановской области не обоснована. Потребители других регионов в составе тарифов на электрическую энергию также оплачивают расходы на оплату потерь, вызванных транзитными перетоками электроэнергии, в том числе, в Ивановский регион.</w:t>
      </w:r>
    </w:p>
    <w:p w:rsidR="00C62E6B" w:rsidRDefault="00C62E6B" w:rsidP="00C62E6B">
      <w:pPr>
        <w:tabs>
          <w:tab w:val="left" w:pos="8415"/>
        </w:tabs>
        <w:ind w:firstLine="567"/>
        <w:jc w:val="both"/>
        <w:rPr>
          <w:bCs/>
          <w:sz w:val="24"/>
          <w:szCs w:val="24"/>
        </w:rPr>
      </w:pPr>
      <w:r>
        <w:rPr>
          <w:bCs/>
          <w:sz w:val="24"/>
          <w:szCs w:val="24"/>
        </w:rPr>
        <w:lastRenderedPageBreak/>
        <w:t>Департамент по вышеперечисленным доводам филиала «Ивэнерго» отмечает следующее.</w:t>
      </w:r>
      <w:r>
        <w:rPr>
          <w:bCs/>
          <w:sz w:val="24"/>
          <w:szCs w:val="24"/>
        </w:rPr>
        <w:tab/>
      </w:r>
    </w:p>
    <w:p w:rsidR="00C62E6B" w:rsidRDefault="00C62E6B" w:rsidP="00C62E6B">
      <w:pPr>
        <w:tabs>
          <w:tab w:val="left" w:pos="8415"/>
        </w:tabs>
        <w:ind w:firstLine="567"/>
        <w:jc w:val="both"/>
        <w:rPr>
          <w:bCs/>
          <w:sz w:val="24"/>
          <w:szCs w:val="24"/>
        </w:rPr>
      </w:pPr>
      <w:r>
        <w:rPr>
          <w:bCs/>
          <w:sz w:val="24"/>
          <w:szCs w:val="24"/>
        </w:rPr>
        <w:t>По мнению Департамента, все плановые экономически обоснованные расходы филиала «Ивэнерго» на покупку электрической энергии в целях компенсации потерь учтены в составе НВВ на потери на 2025 год. Отклонение фактических значений от плановых параметров учитывается ежегодно в составе корректировки сетевой организации с учетом изменения полезного отпуска и цен на электрическую энергию (по формуле 9.9 Методических указаний № 98-э).</w:t>
      </w:r>
    </w:p>
    <w:p w:rsidR="00C62E6B" w:rsidRDefault="00C62E6B" w:rsidP="00C62E6B">
      <w:pPr>
        <w:tabs>
          <w:tab w:val="left" w:pos="8415"/>
        </w:tabs>
        <w:ind w:firstLine="567"/>
        <w:jc w:val="both"/>
        <w:rPr>
          <w:bCs/>
          <w:sz w:val="24"/>
          <w:szCs w:val="24"/>
        </w:rPr>
      </w:pPr>
    </w:p>
    <w:p w:rsidR="00C62E6B" w:rsidRDefault="00C62E6B" w:rsidP="00C62E6B">
      <w:pPr>
        <w:tabs>
          <w:tab w:val="left" w:pos="8415"/>
        </w:tabs>
        <w:ind w:firstLine="567"/>
        <w:jc w:val="both"/>
        <w:rPr>
          <w:bCs/>
          <w:sz w:val="24"/>
          <w:szCs w:val="24"/>
        </w:rPr>
      </w:pPr>
      <w:r>
        <w:rPr>
          <w:b/>
          <w:bCs/>
          <w:sz w:val="24"/>
          <w:szCs w:val="24"/>
        </w:rPr>
        <w:t>3.</w:t>
      </w:r>
      <w:r>
        <w:rPr>
          <w:bCs/>
          <w:sz w:val="24"/>
          <w:szCs w:val="24"/>
        </w:rPr>
        <w:t xml:space="preserve"> </w:t>
      </w:r>
      <w:r>
        <w:rPr>
          <w:b/>
          <w:bCs/>
          <w:sz w:val="24"/>
          <w:szCs w:val="24"/>
        </w:rPr>
        <w:t>Корректировка подконтрольных расходов.</w:t>
      </w:r>
    </w:p>
    <w:p w:rsidR="00C62E6B" w:rsidRDefault="00C62E6B" w:rsidP="00C62E6B">
      <w:pPr>
        <w:tabs>
          <w:tab w:val="left" w:pos="8415"/>
        </w:tabs>
        <w:ind w:firstLine="567"/>
        <w:jc w:val="both"/>
        <w:rPr>
          <w:bCs/>
          <w:sz w:val="24"/>
          <w:szCs w:val="24"/>
        </w:rPr>
      </w:pPr>
      <w:r>
        <w:rPr>
          <w:bCs/>
          <w:sz w:val="24"/>
          <w:szCs w:val="24"/>
        </w:rPr>
        <w:t>Корректировка, определенная Департаментом 2 120,97 тыс. руб. без ИПЦ, 2 423,50 тыс. руб. с учетом ИПЦ.</w:t>
      </w:r>
    </w:p>
    <w:p w:rsidR="00C62E6B" w:rsidRDefault="00C62E6B" w:rsidP="00C62E6B">
      <w:pPr>
        <w:tabs>
          <w:tab w:val="left" w:pos="8415"/>
        </w:tabs>
        <w:ind w:firstLine="567"/>
        <w:jc w:val="both"/>
        <w:rPr>
          <w:bCs/>
          <w:sz w:val="24"/>
          <w:szCs w:val="24"/>
        </w:rPr>
      </w:pPr>
      <w:r>
        <w:rPr>
          <w:bCs/>
          <w:sz w:val="24"/>
          <w:szCs w:val="24"/>
        </w:rPr>
        <w:t>Департаментом при расчете данной корректировки не учитываются положения приказа ФАС России от 20.11.2024 № 878/24 «О внесении изменений в приказы ФСТ России от 17 февраля 2012 г. № 98-э, от 30 марта 2012 г. № 228-э и приказ ФАС России от 22 февраля 2022 г. № 141/22», в соответствии с которыми величина корректировки составляет 247 587,23 тыс. руб.</w:t>
      </w:r>
    </w:p>
    <w:p w:rsidR="00C62E6B" w:rsidRDefault="00C62E6B" w:rsidP="00C62E6B">
      <w:pPr>
        <w:tabs>
          <w:tab w:val="left" w:pos="8415"/>
        </w:tabs>
        <w:ind w:firstLine="567"/>
        <w:jc w:val="both"/>
        <w:rPr>
          <w:bCs/>
          <w:sz w:val="24"/>
          <w:szCs w:val="24"/>
        </w:rPr>
      </w:pPr>
      <w:r>
        <w:rPr>
          <w:bCs/>
          <w:sz w:val="24"/>
          <w:szCs w:val="24"/>
        </w:rPr>
        <w:t>При этом положения данного приказа вступают в силу до начала очередного периода регулирования и действия тарифных решений, принимаемых Департаментом на 2025 год.</w:t>
      </w:r>
    </w:p>
    <w:p w:rsidR="00C62E6B" w:rsidRDefault="00C62E6B" w:rsidP="00C62E6B">
      <w:pPr>
        <w:tabs>
          <w:tab w:val="left" w:pos="8415"/>
        </w:tabs>
        <w:ind w:firstLine="567"/>
        <w:jc w:val="both"/>
        <w:rPr>
          <w:bCs/>
          <w:sz w:val="24"/>
          <w:szCs w:val="24"/>
        </w:rPr>
      </w:pPr>
      <w:r>
        <w:rPr>
          <w:bCs/>
          <w:sz w:val="24"/>
          <w:szCs w:val="24"/>
        </w:rPr>
        <w:t xml:space="preserve">Департамент отмечает, что корректировка подконтрольных расходов 2023 года в связи с изменением планируемых параметров расчета тарифов в соответствии с формулой 9.13 Методических указаний № 98-э (в ред. приказа ФАС России от 20.11.2024 № 878/24) определена Департаментом в размере </w:t>
      </w:r>
      <w:r>
        <w:rPr>
          <w:bCs/>
          <w:iCs/>
          <w:sz w:val="24"/>
          <w:szCs w:val="24"/>
        </w:rPr>
        <w:t>179 230,95</w:t>
      </w:r>
      <w:r>
        <w:rPr>
          <w:bCs/>
          <w:sz w:val="24"/>
          <w:szCs w:val="24"/>
        </w:rPr>
        <w:t xml:space="preserve"> тыс. руб.:</w:t>
      </w:r>
    </w:p>
    <w:p w:rsidR="00C62E6B" w:rsidRDefault="00C62E6B" w:rsidP="00C62E6B">
      <w:pPr>
        <w:tabs>
          <w:tab w:val="left" w:pos="8415"/>
        </w:tabs>
        <w:ind w:firstLine="567"/>
        <w:jc w:val="both"/>
        <w:rPr>
          <w:bCs/>
          <w:sz w:val="24"/>
          <w:szCs w:val="24"/>
        </w:rPr>
      </w:pPr>
      <w:r>
        <w:rPr>
          <w:noProof/>
          <w:sz w:val="24"/>
          <w:szCs w:val="24"/>
        </w:rPr>
        <w:drawing>
          <wp:inline distT="0" distB="0" distL="0" distR="0" wp14:anchorId="59D64CC4" wp14:editId="2AED2022">
            <wp:extent cx="3260725" cy="673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60725" cy="673100"/>
                    </a:xfrm>
                    <a:prstGeom prst="rect">
                      <a:avLst/>
                    </a:prstGeom>
                    <a:noFill/>
                    <a:ln>
                      <a:noFill/>
                    </a:ln>
                  </pic:spPr>
                </pic:pic>
              </a:graphicData>
            </a:graphic>
          </wp:inline>
        </w:drawing>
      </w:r>
    </w:p>
    <w:p w:rsidR="00C62E6B" w:rsidRDefault="00C62E6B" w:rsidP="00C62E6B">
      <w:pPr>
        <w:tabs>
          <w:tab w:val="left" w:pos="8415"/>
        </w:tabs>
        <w:ind w:firstLine="567"/>
        <w:jc w:val="both"/>
        <w:rPr>
          <w:bCs/>
          <w:sz w:val="24"/>
          <w:szCs w:val="24"/>
        </w:rPr>
      </w:pPr>
      <w:r>
        <w:rPr>
          <w:bCs/>
          <w:sz w:val="24"/>
          <w:szCs w:val="24"/>
        </w:rPr>
        <w:t>= (1 652 300,41 * (1 + 13,8%) / (1 + 4,3%) * 1,045532) - 1 728 025,76 = 156 856,89 тыс. руб.</w:t>
      </w:r>
    </w:p>
    <w:p w:rsidR="00C62E6B" w:rsidRDefault="00C62E6B" w:rsidP="00C62E6B">
      <w:pPr>
        <w:tabs>
          <w:tab w:val="left" w:pos="8415"/>
        </w:tabs>
        <w:ind w:firstLine="567"/>
        <w:jc w:val="both"/>
        <w:rPr>
          <w:bCs/>
          <w:sz w:val="24"/>
          <w:szCs w:val="24"/>
        </w:rPr>
      </w:pPr>
    </w:p>
    <w:p w:rsidR="00C62E6B" w:rsidRDefault="00C62E6B" w:rsidP="00C62E6B">
      <w:pPr>
        <w:tabs>
          <w:tab w:val="left" w:pos="8415"/>
        </w:tabs>
        <w:ind w:firstLine="567"/>
        <w:jc w:val="both"/>
        <w:rPr>
          <w:bCs/>
          <w:sz w:val="24"/>
          <w:szCs w:val="24"/>
        </w:rPr>
      </w:pPr>
      <w:r>
        <w:rPr>
          <w:bCs/>
          <w:sz w:val="24"/>
          <w:szCs w:val="24"/>
        </w:rPr>
        <w:t>С учетом индексов потребительских цен на 2024-2025 годы, предусмотренных формулой 3 Методических указаний № 98-э, величина корректировки подконтрольных расходов 2023 года в связи с изменением планируемых параметров расчета тарифов составляет:</w:t>
      </w:r>
    </w:p>
    <w:p w:rsidR="00C62E6B" w:rsidRDefault="00C62E6B" w:rsidP="00C62E6B">
      <w:pPr>
        <w:tabs>
          <w:tab w:val="left" w:pos="8415"/>
        </w:tabs>
        <w:ind w:firstLine="567"/>
        <w:jc w:val="both"/>
        <w:rPr>
          <w:bCs/>
          <w:i/>
          <w:iCs/>
          <w:sz w:val="24"/>
          <w:szCs w:val="24"/>
        </w:rPr>
      </w:pPr>
      <w:r>
        <w:rPr>
          <w:bCs/>
          <w:iCs/>
          <w:sz w:val="24"/>
          <w:szCs w:val="24"/>
        </w:rPr>
        <w:t>156 856,89</w:t>
      </w:r>
      <w:r>
        <w:rPr>
          <w:bCs/>
          <w:sz w:val="24"/>
          <w:szCs w:val="24"/>
        </w:rPr>
        <w:t xml:space="preserve"> тыс. руб. * 1,080 * 1,058 = </w:t>
      </w:r>
      <w:r>
        <w:rPr>
          <w:bCs/>
          <w:iCs/>
          <w:sz w:val="24"/>
          <w:szCs w:val="24"/>
        </w:rPr>
        <w:t>179 230,95</w:t>
      </w:r>
      <w:r>
        <w:rPr>
          <w:bCs/>
          <w:i/>
          <w:iCs/>
          <w:sz w:val="24"/>
          <w:szCs w:val="24"/>
        </w:rPr>
        <w:t xml:space="preserve"> </w:t>
      </w:r>
      <w:r>
        <w:rPr>
          <w:bCs/>
          <w:sz w:val="24"/>
          <w:szCs w:val="24"/>
        </w:rPr>
        <w:t>тыс. руб.</w:t>
      </w:r>
    </w:p>
    <w:p w:rsidR="00C62E6B" w:rsidRDefault="00C62E6B" w:rsidP="00C62E6B">
      <w:pPr>
        <w:tabs>
          <w:tab w:val="left" w:pos="8415"/>
        </w:tabs>
        <w:jc w:val="both"/>
        <w:rPr>
          <w:bCs/>
          <w:sz w:val="24"/>
          <w:szCs w:val="24"/>
        </w:rPr>
      </w:pPr>
    </w:p>
    <w:p w:rsidR="00C62E6B" w:rsidRDefault="00C62E6B" w:rsidP="00C62E6B">
      <w:pPr>
        <w:tabs>
          <w:tab w:val="left" w:pos="8415"/>
        </w:tabs>
        <w:ind w:firstLine="567"/>
        <w:jc w:val="both"/>
        <w:rPr>
          <w:b/>
          <w:bCs/>
          <w:sz w:val="24"/>
          <w:szCs w:val="24"/>
        </w:rPr>
      </w:pPr>
      <w:r>
        <w:rPr>
          <w:b/>
          <w:bCs/>
          <w:sz w:val="24"/>
          <w:szCs w:val="24"/>
        </w:rPr>
        <w:t>4.</w:t>
      </w:r>
      <w:r>
        <w:rPr>
          <w:bCs/>
          <w:sz w:val="24"/>
          <w:szCs w:val="24"/>
        </w:rPr>
        <w:t xml:space="preserve"> </w:t>
      </w:r>
      <w:r>
        <w:rPr>
          <w:b/>
          <w:bCs/>
          <w:sz w:val="24"/>
          <w:szCs w:val="24"/>
        </w:rPr>
        <w:t>Корректировка неподконтрольных расходов (в части ряда статей) (формула 7.1 Методических указаний № 98-э)</w:t>
      </w:r>
    </w:p>
    <w:p w:rsidR="00C62E6B" w:rsidRDefault="00C62E6B" w:rsidP="00C62E6B">
      <w:pPr>
        <w:tabs>
          <w:tab w:val="left" w:pos="8415"/>
        </w:tabs>
        <w:ind w:firstLine="567"/>
        <w:jc w:val="both"/>
        <w:rPr>
          <w:b/>
          <w:bCs/>
          <w:i/>
          <w:sz w:val="24"/>
          <w:szCs w:val="24"/>
        </w:rPr>
      </w:pPr>
      <w:r>
        <w:rPr>
          <w:b/>
          <w:bCs/>
          <w:i/>
          <w:sz w:val="24"/>
          <w:szCs w:val="24"/>
        </w:rPr>
        <w:t>4.1. Аренда транспорта, машин и механизмов.</w:t>
      </w:r>
    </w:p>
    <w:p w:rsidR="00C62E6B" w:rsidRDefault="00C62E6B" w:rsidP="00C62E6B">
      <w:pPr>
        <w:tabs>
          <w:tab w:val="left" w:pos="8415"/>
        </w:tabs>
        <w:ind w:firstLine="567"/>
        <w:jc w:val="both"/>
        <w:rPr>
          <w:b/>
          <w:bCs/>
          <w:i/>
          <w:sz w:val="24"/>
          <w:szCs w:val="24"/>
        </w:rPr>
      </w:pPr>
    </w:p>
    <w:p w:rsidR="00C62E6B" w:rsidRDefault="00C62E6B" w:rsidP="00C62E6B">
      <w:pPr>
        <w:tabs>
          <w:tab w:val="left" w:pos="8415"/>
        </w:tabs>
        <w:ind w:firstLine="567"/>
        <w:jc w:val="both"/>
        <w:rPr>
          <w:bCs/>
          <w:sz w:val="24"/>
          <w:szCs w:val="24"/>
        </w:rPr>
      </w:pPr>
      <w:r>
        <w:rPr>
          <w:bCs/>
          <w:sz w:val="24"/>
          <w:szCs w:val="24"/>
        </w:rPr>
        <w:t>Департаментом исключены расходы на аренду легкового автомобиля KIA K5 GT Line+ в размере 949,3 тыс. руб. в соответствии с договором от 17.10.2022 № 372002281 с АО «АТХ» по причине отсутствия обоснования целесообразности использования легковых автомобилей с мощностью двигателя более 150 л.с. в регулируемой деятельности по передаче электрической энергии, поскольку такая большая мощность двигателя сравнима с мощностью спецтехники.</w:t>
      </w:r>
    </w:p>
    <w:p w:rsidR="00C62E6B" w:rsidRDefault="00C62E6B" w:rsidP="00C62E6B">
      <w:pPr>
        <w:tabs>
          <w:tab w:val="left" w:pos="8415"/>
        </w:tabs>
        <w:ind w:firstLine="567"/>
        <w:jc w:val="both"/>
        <w:rPr>
          <w:bCs/>
          <w:sz w:val="24"/>
          <w:szCs w:val="24"/>
        </w:rPr>
      </w:pPr>
      <w:r>
        <w:rPr>
          <w:bCs/>
          <w:sz w:val="24"/>
          <w:szCs w:val="24"/>
        </w:rPr>
        <w:t xml:space="preserve">Для обоснования заявленных расходов филиалом «Ивэнерго» в составе материалов тарифного дела (Заявления от 27.04.2024 № МР7-ИвЭ/25-2/2366, от 25.10.2024 № МР7-ИвЭ/25-2/6066) представлены документы, подтверждающие использование арендуемого автотранспорта в регулируемой деятельности по передаче электрической энергии (копии договоров аренды, актов выполненных работ, документация по проведению конкурсных процедур). </w:t>
      </w:r>
    </w:p>
    <w:p w:rsidR="00C62E6B" w:rsidRDefault="00C62E6B" w:rsidP="00C62E6B">
      <w:pPr>
        <w:tabs>
          <w:tab w:val="left" w:pos="8415"/>
        </w:tabs>
        <w:ind w:firstLine="567"/>
        <w:jc w:val="both"/>
        <w:rPr>
          <w:bCs/>
          <w:sz w:val="24"/>
          <w:szCs w:val="24"/>
        </w:rPr>
      </w:pPr>
      <w:r>
        <w:rPr>
          <w:bCs/>
          <w:sz w:val="24"/>
          <w:szCs w:val="24"/>
        </w:rPr>
        <w:t xml:space="preserve">Согласно классификатору существует деление автомобилей на 9 типов: </w:t>
      </w:r>
      <w:proofErr w:type="gramStart"/>
      <w:r>
        <w:rPr>
          <w:bCs/>
          <w:sz w:val="24"/>
          <w:szCs w:val="24"/>
        </w:rPr>
        <w:t>А – мини-автомобили, В – небольшие городские автомобили, С – низший средний класс, Д – полноценный средний класс, Е – представительский или бизнес-класс и далее люксовые, внедорожники, многоцелевые, спортивные (F/J/M/S).</w:t>
      </w:r>
      <w:proofErr w:type="gramEnd"/>
      <w:r>
        <w:rPr>
          <w:bCs/>
          <w:sz w:val="24"/>
          <w:szCs w:val="24"/>
        </w:rPr>
        <w:t xml:space="preserve">  По характеристикам KIA K5 GT Line+ относится к типу D – «средний класс» или «второй средний класс», характеризующийся качеством, вместительностью. По классу идентичен Фольксваген Пассат, Опель </w:t>
      </w:r>
      <w:proofErr w:type="spellStart"/>
      <w:r>
        <w:rPr>
          <w:bCs/>
          <w:sz w:val="24"/>
          <w:szCs w:val="24"/>
        </w:rPr>
        <w:t>Вектра</w:t>
      </w:r>
      <w:proofErr w:type="spellEnd"/>
      <w:r>
        <w:rPr>
          <w:bCs/>
          <w:sz w:val="24"/>
          <w:szCs w:val="24"/>
        </w:rPr>
        <w:t>, Шкода Октавиа, Рено Лагуна и не относится к представительскому/бизнес-классу (Е).</w:t>
      </w:r>
    </w:p>
    <w:p w:rsidR="00C62E6B" w:rsidRDefault="00C62E6B" w:rsidP="00C62E6B">
      <w:pPr>
        <w:tabs>
          <w:tab w:val="left" w:pos="8415"/>
        </w:tabs>
        <w:ind w:firstLine="567"/>
        <w:jc w:val="both"/>
        <w:rPr>
          <w:bCs/>
          <w:sz w:val="24"/>
          <w:szCs w:val="24"/>
        </w:rPr>
      </w:pPr>
      <w:r>
        <w:rPr>
          <w:bCs/>
          <w:sz w:val="24"/>
          <w:szCs w:val="24"/>
        </w:rPr>
        <w:t xml:space="preserve">Руководствуясь пунктом 7 Основ ценообразования филиал «Ивэнерго» считает необходимым в случае несогласия Департамента с расходами в договорах, заключенных с использованием конкурсных процедур, с учетом пункта 29 Основ ценообразования определить </w:t>
      </w:r>
      <w:r>
        <w:rPr>
          <w:bCs/>
          <w:sz w:val="24"/>
          <w:szCs w:val="24"/>
        </w:rPr>
        <w:lastRenderedPageBreak/>
        <w:t>альтернативную величину расходов, поскольку данный автомобиль используется в рамках основного вида деятельности.</w:t>
      </w:r>
    </w:p>
    <w:p w:rsidR="00C62E6B" w:rsidRDefault="00C62E6B" w:rsidP="00C62E6B">
      <w:pPr>
        <w:tabs>
          <w:tab w:val="left" w:pos="8415"/>
        </w:tabs>
        <w:ind w:firstLine="567"/>
        <w:jc w:val="both"/>
        <w:rPr>
          <w:bCs/>
          <w:sz w:val="24"/>
          <w:szCs w:val="24"/>
        </w:rPr>
      </w:pPr>
      <w:r>
        <w:rPr>
          <w:bCs/>
          <w:sz w:val="24"/>
          <w:szCs w:val="24"/>
        </w:rPr>
        <w:t>Департамент отмечает, что  по факту 2023 года по статье «Аренда транспорта, машин и механизмов» приняты расходы в размере 4 137,55 тыс. руб., вместо заявленных организацией 5 086,85 тыс. руб. Исключены фактические расходы на аренду легкового автомобиля KIA K5 GT Line+ по договору оказания услуг № 372001364 от 25.12.2019 (с учетом дополнительных соглашений № 1 от 31.03.2020, № 2 от 15.04.2021), заключенному с АО «АТХ», по причине отсутствия обоснования целесообразности использования легкового автомобиля с мощностью двигателя более 150 л.с. в регулируемой деятельности по передаче электрической энергии.</w:t>
      </w:r>
    </w:p>
    <w:p w:rsidR="00C62E6B" w:rsidRDefault="00C62E6B" w:rsidP="00C62E6B">
      <w:pPr>
        <w:ind w:firstLine="567"/>
        <w:jc w:val="both"/>
        <w:rPr>
          <w:bCs/>
          <w:sz w:val="24"/>
          <w:szCs w:val="24"/>
        </w:rPr>
      </w:pPr>
      <w:r>
        <w:rPr>
          <w:bCs/>
          <w:sz w:val="24"/>
          <w:szCs w:val="24"/>
        </w:rPr>
        <w:t>Дополнительно Департамент отмечает, что согласно пункту 22 Правил государственного регулирования № 1178), утвержденных постановлением Правительства РФ от 29.12.2011 № 1178, регулирующий орган проводит экспертизу предложений об установлении цен (тарифов) и (или) их предельных уровней, представленных непосредственно регулируемыми организациями. При этом полномочия производить за регулируемые организации дополнительные расчеты, не представленные в материалы тарифного дела, и тем самым обосновывать заявленные данными организациями расходы, относимые на регулируемый вид деятельности, у Департамента отсутствуют.</w:t>
      </w:r>
    </w:p>
    <w:p w:rsidR="00C62E6B" w:rsidRDefault="00C62E6B" w:rsidP="00C62E6B">
      <w:pPr>
        <w:ind w:left="720"/>
        <w:jc w:val="both"/>
        <w:rPr>
          <w:b/>
          <w:bCs/>
          <w:i/>
          <w:sz w:val="24"/>
          <w:szCs w:val="24"/>
        </w:rPr>
      </w:pPr>
      <w:r>
        <w:rPr>
          <w:b/>
          <w:bCs/>
          <w:i/>
          <w:sz w:val="24"/>
          <w:szCs w:val="24"/>
        </w:rPr>
        <w:t>4.2. Налог на прибыль.</w:t>
      </w:r>
    </w:p>
    <w:p w:rsidR="00C62E6B" w:rsidRDefault="00C62E6B" w:rsidP="00C62E6B">
      <w:pPr>
        <w:ind w:firstLine="567"/>
        <w:jc w:val="both"/>
        <w:rPr>
          <w:bCs/>
          <w:sz w:val="24"/>
          <w:szCs w:val="24"/>
        </w:rPr>
      </w:pPr>
      <w:r>
        <w:rPr>
          <w:bCs/>
          <w:sz w:val="24"/>
          <w:szCs w:val="24"/>
        </w:rPr>
        <w:t>Департаментом не принимаются расходы на уплату налога на сверхприбыль в размере 6 549,63 тыс. руб. по факту 2023 года, так как Основами ценообразования не предусмотрены такие расходы.</w:t>
      </w:r>
    </w:p>
    <w:p w:rsidR="00C62E6B" w:rsidRDefault="00C62E6B" w:rsidP="00C62E6B">
      <w:pPr>
        <w:ind w:firstLine="567"/>
        <w:jc w:val="both"/>
        <w:rPr>
          <w:bCs/>
          <w:sz w:val="24"/>
          <w:szCs w:val="24"/>
        </w:rPr>
      </w:pPr>
      <w:r>
        <w:rPr>
          <w:bCs/>
          <w:sz w:val="24"/>
          <w:szCs w:val="24"/>
        </w:rPr>
        <w:t>Филиал «Ивэнерго» отмечает, что в соответствии с пунктом 28 Основ ценообразования при определении необходимой валовой выручки учитываются, в том числе расходы, связанные с производством и (или) реализацией продукции в соответствии с Налоговым кодексом РФ.</w:t>
      </w:r>
    </w:p>
    <w:p w:rsidR="00C62E6B" w:rsidRDefault="00C62E6B" w:rsidP="00C62E6B">
      <w:pPr>
        <w:ind w:firstLine="567"/>
        <w:jc w:val="both"/>
        <w:rPr>
          <w:bCs/>
          <w:sz w:val="24"/>
          <w:szCs w:val="24"/>
        </w:rPr>
      </w:pPr>
      <w:r>
        <w:rPr>
          <w:bCs/>
          <w:sz w:val="24"/>
          <w:szCs w:val="24"/>
        </w:rPr>
        <w:t>Исходя из положений Основ ценообразования в составе необходимой валовой выручки организации должны учитываться налоги и сборы, предусмотренные законодательством Российской Федерации о налогах и сборах.</w:t>
      </w:r>
    </w:p>
    <w:p w:rsidR="00C62E6B" w:rsidRDefault="00C62E6B" w:rsidP="00C62E6B">
      <w:pPr>
        <w:ind w:firstLine="567"/>
        <w:jc w:val="both"/>
        <w:rPr>
          <w:bCs/>
          <w:sz w:val="24"/>
          <w:szCs w:val="24"/>
        </w:rPr>
      </w:pPr>
      <w:r>
        <w:rPr>
          <w:bCs/>
          <w:sz w:val="24"/>
          <w:szCs w:val="24"/>
        </w:rPr>
        <w:t>В тексте Основ ценообразования действительно не детализированы расходы на уплату налога на сверхприбыль, так же как и не детализирован порядок учета транспортного налога,  земельного налога, налога на имущество (указан только в части обоснования расходов собственника по аренде), водного налога, государственных пошлин и прочих налогов и сборов, предусмотренных Налоговым кодексом РФ, ежегодно учитываемых Департаментом в составе выручки регулируемых организаций в сфере электроэнергетики.</w:t>
      </w:r>
    </w:p>
    <w:p w:rsidR="00C62E6B" w:rsidRDefault="00C62E6B" w:rsidP="00C62E6B">
      <w:pPr>
        <w:ind w:firstLine="567"/>
        <w:jc w:val="both"/>
        <w:rPr>
          <w:bCs/>
          <w:sz w:val="24"/>
          <w:szCs w:val="24"/>
        </w:rPr>
      </w:pPr>
      <w:r>
        <w:rPr>
          <w:bCs/>
          <w:sz w:val="24"/>
          <w:szCs w:val="24"/>
        </w:rPr>
        <w:t xml:space="preserve">Кроме того, действующей редакцией Налогового кодекса РФ установлен перечень налогов и сборов, в состав которого входит налог на сверхприбыль. Данный вид налога Департамент не может позиционировать как штраф или неустойку, образовавшиеся по вине организации. </w:t>
      </w:r>
    </w:p>
    <w:p w:rsidR="00C62E6B" w:rsidRDefault="00C62E6B" w:rsidP="00C62E6B">
      <w:pPr>
        <w:ind w:firstLine="567"/>
        <w:jc w:val="both"/>
        <w:rPr>
          <w:bCs/>
          <w:sz w:val="24"/>
          <w:szCs w:val="24"/>
        </w:rPr>
      </w:pPr>
      <w:r>
        <w:rPr>
          <w:bCs/>
          <w:sz w:val="24"/>
          <w:szCs w:val="24"/>
        </w:rPr>
        <w:t>Департамент отмечает, что расходы по статье</w:t>
      </w:r>
      <w:r>
        <w:rPr>
          <w:b/>
          <w:bCs/>
          <w:sz w:val="24"/>
          <w:szCs w:val="24"/>
        </w:rPr>
        <w:t xml:space="preserve"> </w:t>
      </w:r>
      <w:r>
        <w:rPr>
          <w:bCs/>
          <w:sz w:val="24"/>
          <w:szCs w:val="24"/>
        </w:rPr>
        <w:t>«Налог на прибыль» за 2023 год определены с учетом положений пункта 20 Основ ценообразования на уровне исчисленного за 2023 год налога на прибыль (без учета налога на сверхприбыль, который введен Федеральным законом от 04.08.2023 № 414-ФЗ «О налоге на сверхприбыль» и, по мнению, Департамента по смыслу не должен компенсироваться регулируемым организациям через тарифные источники, иными словами, за счет средств потребителей, так как свидетельствуют о наличии у организации сверхприбыли) в соответствии с налоговой декларацией по налогу на прибыль ПАО «Россети Центр и Приволжье» в части филиала «Ивэнерго» и показателями раздельного учета доходов и расходов за 2023 год (приказ Минэнерго России от 13.12.2011 № 585 «Об утверждении Порядка ведения раздельного учета доходов и расходов субъектами естественных монополий в сфере услуг по передаче электрической энергии и оперативно-диспетчерскому управлению в электроэнергетике», таблица 1.3, строка 120, суммарно по деятельности по оказанию услуг по передаче электрической энергии и осуществлению технологического присоединения к электрическим сетям.</w:t>
      </w:r>
    </w:p>
    <w:p w:rsidR="00C62E6B" w:rsidRDefault="00C62E6B" w:rsidP="00C62E6B">
      <w:pPr>
        <w:ind w:firstLine="567"/>
        <w:jc w:val="both"/>
        <w:rPr>
          <w:b/>
          <w:bCs/>
          <w:i/>
          <w:sz w:val="24"/>
          <w:szCs w:val="24"/>
        </w:rPr>
      </w:pPr>
      <w:r>
        <w:rPr>
          <w:b/>
          <w:bCs/>
          <w:i/>
          <w:sz w:val="24"/>
          <w:szCs w:val="24"/>
        </w:rPr>
        <w:t>4.3. Резервы по оценочным обязательствам в отношении оплаты услуг ПАО «ФСК ЕЭС» за 2014 год.</w:t>
      </w:r>
    </w:p>
    <w:p w:rsidR="00C62E6B" w:rsidRDefault="00C62E6B" w:rsidP="00C62E6B">
      <w:pPr>
        <w:ind w:firstLine="567"/>
        <w:jc w:val="both"/>
        <w:rPr>
          <w:bCs/>
          <w:sz w:val="24"/>
          <w:szCs w:val="24"/>
        </w:rPr>
      </w:pPr>
      <w:r>
        <w:rPr>
          <w:bCs/>
          <w:sz w:val="24"/>
          <w:szCs w:val="24"/>
        </w:rPr>
        <w:t xml:space="preserve">Департамент не принимает расходы по статьям «Резервы по оценочным обязательствам» в отношении оплаты услуг ПАО «ФСК ЕЭС» за 2014 год в части начисленных в бухгалтерском </w:t>
      </w:r>
      <w:r>
        <w:rPr>
          <w:bCs/>
          <w:sz w:val="24"/>
          <w:szCs w:val="24"/>
        </w:rPr>
        <w:lastRenderedPageBreak/>
        <w:t xml:space="preserve">учете неустоек по вступившим в силу решениям судов в сумме 23 634 тыс. руб. </w:t>
      </w:r>
    </w:p>
    <w:p w:rsidR="00C62E6B" w:rsidRDefault="00C62E6B" w:rsidP="00C62E6B">
      <w:pPr>
        <w:ind w:firstLine="567"/>
        <w:jc w:val="both"/>
        <w:rPr>
          <w:bCs/>
          <w:sz w:val="24"/>
          <w:szCs w:val="24"/>
        </w:rPr>
      </w:pPr>
      <w:r>
        <w:rPr>
          <w:bCs/>
          <w:sz w:val="24"/>
          <w:szCs w:val="24"/>
        </w:rPr>
        <w:t xml:space="preserve">В связи с вступившими в силу решениями судов по делу А17-3926/2016 по взысканию денежных средств в пользу  ПАО «ФСК ЕЭС» в части точек поставки - ВЛ-110 кВ «Иваново-Фурманов 1» и ВЛ-110 кВ «Иваново-Фурманов 2» за услуги, оказанные в 2014 году и в соответствии с Приказами Минфина России от 13.12.2010г. № 167н «Об утверждении Положения по бухгалтерскому учету «Оценочные обязательства, условные обязательства и условные активы (ПБУ 8/2010)»,  от 06.05.1999 N 33н «Об утверждении Положения по бухгалтерскому учету "Расходы организации" (ПБУ 10/99) в 2023 году проведено начисление в бухгалтерском учете неустойки в сумме 23 634 тыс. руб. Обосновывающие произведенные расходы документы были представлены филиалом в составе материалов тарифного дела (п.298-311 материалов тарифного дела к Заявлению от 27.04.2024 №МР7-ИвЭ/25-2/2366). </w:t>
      </w:r>
    </w:p>
    <w:p w:rsidR="00C62E6B" w:rsidRDefault="00C62E6B" w:rsidP="00C62E6B">
      <w:pPr>
        <w:ind w:firstLine="567"/>
        <w:jc w:val="both"/>
        <w:rPr>
          <w:bCs/>
          <w:sz w:val="24"/>
          <w:szCs w:val="24"/>
        </w:rPr>
      </w:pPr>
      <w:r>
        <w:rPr>
          <w:bCs/>
          <w:sz w:val="24"/>
          <w:szCs w:val="24"/>
        </w:rPr>
        <w:t xml:space="preserve">Размер неустойки определен исходя из сумм задолженности по оплате услуг по передаче электрической энергии ПАО «ФСК ЕЭС», оказанных в 2014 году. При этом, расходы на оплату услуг ПАО «ФСК ЕЭС» за 2014 год никогда не учитывались Департаментом при установлении регулируемых цен (тарифов) в регионе, ни на 2014 год, ни на следующие периоды регулирования по настоящее время. </w:t>
      </w:r>
    </w:p>
    <w:p w:rsidR="00C62E6B" w:rsidRDefault="00C62E6B" w:rsidP="00C62E6B">
      <w:pPr>
        <w:ind w:firstLine="567"/>
        <w:jc w:val="both"/>
        <w:rPr>
          <w:bCs/>
          <w:sz w:val="24"/>
          <w:szCs w:val="24"/>
        </w:rPr>
      </w:pPr>
      <w:r>
        <w:rPr>
          <w:bCs/>
          <w:sz w:val="24"/>
          <w:szCs w:val="24"/>
        </w:rPr>
        <w:t>Таким образом, филиал «Ивэнерго» в 2023 году исполнил решения судов и произвел экономически обоснованные расходы, не учтенные при установлении регулируемых цен (тарифов) на 2023 год. В соответствии с п.7 Основ ценообразования, указанные расходы должны быть учтены Департаментом при установлении НВВ филиала «Ивэнерго» на 2025 год.</w:t>
      </w:r>
    </w:p>
    <w:p w:rsidR="00C62E6B" w:rsidRDefault="00C62E6B" w:rsidP="00C62E6B">
      <w:pPr>
        <w:ind w:firstLine="567"/>
        <w:jc w:val="both"/>
        <w:rPr>
          <w:bCs/>
          <w:sz w:val="24"/>
          <w:szCs w:val="24"/>
        </w:rPr>
      </w:pPr>
      <w:r>
        <w:rPr>
          <w:bCs/>
          <w:sz w:val="24"/>
          <w:szCs w:val="24"/>
        </w:rPr>
        <w:t>Департамент отмечает, что в полном объеме не принимаются заявленные филиалом «Ивэнерго» расходы 2023 года, как экономически не обоснованные, по начислению в бухгалтерском учете неустойки по вступившему в силу решению суда по делу № А17-3926/2016 в сумме 22 634,02 тыс. руб. (по контрагенту ПАО «ФСК ЕЭС»).</w:t>
      </w:r>
    </w:p>
    <w:p w:rsidR="00C62E6B" w:rsidRDefault="00C62E6B" w:rsidP="00C62E6B">
      <w:pPr>
        <w:ind w:firstLine="567"/>
        <w:jc w:val="both"/>
        <w:rPr>
          <w:bCs/>
          <w:sz w:val="24"/>
          <w:szCs w:val="24"/>
        </w:rPr>
      </w:pPr>
      <w:r>
        <w:rPr>
          <w:b/>
          <w:bCs/>
          <w:i/>
          <w:sz w:val="24"/>
          <w:szCs w:val="24"/>
        </w:rPr>
        <w:t>4.4.</w:t>
      </w:r>
      <w:r>
        <w:rPr>
          <w:bCs/>
          <w:sz w:val="24"/>
          <w:szCs w:val="24"/>
        </w:rPr>
        <w:t xml:space="preserve"> </w:t>
      </w:r>
      <w:r>
        <w:rPr>
          <w:b/>
          <w:bCs/>
          <w:i/>
          <w:sz w:val="24"/>
          <w:szCs w:val="24"/>
        </w:rPr>
        <w:t>Аренда объектов ЭСХ (ВЛ, КЛ, ПС, ТП) в части договора аренды движимого имущества с АО «Ивгорэлектросеть» № 372001927 от 13.08.2021.</w:t>
      </w:r>
    </w:p>
    <w:p w:rsidR="00C62E6B" w:rsidRDefault="00C62E6B" w:rsidP="00C62E6B">
      <w:pPr>
        <w:ind w:firstLine="567"/>
        <w:jc w:val="both"/>
        <w:rPr>
          <w:bCs/>
          <w:sz w:val="24"/>
          <w:szCs w:val="24"/>
        </w:rPr>
      </w:pPr>
      <w:r>
        <w:rPr>
          <w:bCs/>
          <w:sz w:val="24"/>
          <w:szCs w:val="24"/>
        </w:rPr>
        <w:t>Департаментом исключены расходы по договору аренды движимого имущества с АО «Ивгорэлектросеть» № 372001927 от 13.08.2021г. в размере 9 966,05 тыс. руб.</w:t>
      </w:r>
    </w:p>
    <w:p w:rsidR="00C62E6B" w:rsidRDefault="00C62E6B" w:rsidP="00C62E6B">
      <w:pPr>
        <w:ind w:firstLine="567"/>
        <w:jc w:val="both"/>
        <w:rPr>
          <w:bCs/>
          <w:sz w:val="24"/>
          <w:szCs w:val="24"/>
        </w:rPr>
      </w:pPr>
      <w:r>
        <w:rPr>
          <w:bCs/>
          <w:sz w:val="24"/>
          <w:szCs w:val="24"/>
        </w:rPr>
        <w:t>Департамент исключает как экономически необоснованные расходы на уплату налога на имущество в части движимых объектов электросетевого имущества, ссылаясь на положения ст. 374 Налогового Кодекса РФ, в соответствии с которой налог не уплачивается по движимому имуществу.</w:t>
      </w:r>
    </w:p>
    <w:p w:rsidR="00C62E6B" w:rsidRDefault="00C62E6B" w:rsidP="00C62E6B">
      <w:pPr>
        <w:ind w:firstLine="567"/>
        <w:jc w:val="both"/>
        <w:rPr>
          <w:bCs/>
          <w:sz w:val="24"/>
          <w:szCs w:val="24"/>
        </w:rPr>
      </w:pPr>
      <w:r>
        <w:rPr>
          <w:bCs/>
          <w:sz w:val="24"/>
          <w:szCs w:val="24"/>
        </w:rPr>
        <w:t>Кроме того, при определении экономически обоснованной величины оплаты по договору аренды (в соответствии с пунктом 27 Основ ценообразования) Департамент в разрезе каждого основного средства выбирает минимум между величиной фактической амортизации за отчетный период и расчетной.</w:t>
      </w:r>
    </w:p>
    <w:p w:rsidR="00C62E6B" w:rsidRDefault="00C62E6B" w:rsidP="00C62E6B">
      <w:pPr>
        <w:ind w:firstLine="567"/>
        <w:jc w:val="both"/>
        <w:rPr>
          <w:bCs/>
          <w:sz w:val="24"/>
          <w:szCs w:val="24"/>
        </w:rPr>
      </w:pPr>
      <w:r>
        <w:rPr>
          <w:bCs/>
          <w:sz w:val="24"/>
          <w:szCs w:val="24"/>
        </w:rPr>
        <w:t>Филиал «Ивэнерго» не согласен с подобной позицией Департамента.</w:t>
      </w:r>
    </w:p>
    <w:p w:rsidR="00C62E6B" w:rsidRDefault="00C62E6B" w:rsidP="00C62E6B">
      <w:pPr>
        <w:ind w:firstLine="567"/>
        <w:jc w:val="both"/>
        <w:rPr>
          <w:bCs/>
          <w:sz w:val="24"/>
          <w:szCs w:val="24"/>
        </w:rPr>
      </w:pPr>
      <w:r>
        <w:rPr>
          <w:bCs/>
          <w:sz w:val="24"/>
          <w:szCs w:val="24"/>
        </w:rPr>
        <w:t xml:space="preserve">Электросетевое имущество собственника при заключении договоров аренды распределяется на недвижимое и движимое исходя из наличия или отсутствия регистрации этого имущества в Едином государственном реестре. </w:t>
      </w:r>
    </w:p>
    <w:p w:rsidR="00C62E6B" w:rsidRDefault="00C62E6B" w:rsidP="00C62E6B">
      <w:pPr>
        <w:ind w:firstLine="567"/>
        <w:jc w:val="both"/>
        <w:rPr>
          <w:bCs/>
          <w:sz w:val="24"/>
          <w:szCs w:val="24"/>
        </w:rPr>
      </w:pPr>
      <w:r>
        <w:rPr>
          <w:bCs/>
          <w:sz w:val="24"/>
          <w:szCs w:val="24"/>
        </w:rPr>
        <w:t xml:space="preserve">При этом наличие (отсутствие) сведений об объекте основных средств в Едином государственном реестре прав на недвижимое имущество и сделок с ним в силу пункта 6 статьи 8.1 Гражданского кодекса имеет доказательное значение для целей применения подпункта 8 пункта 4 статьи 374 и пункта 25 статьи 381 Налогового кодекса, но не может использоваться в качестве безусловного критерия для оценки правомерности применения льготы по налогу на имущество. </w:t>
      </w:r>
    </w:p>
    <w:p w:rsidR="00C62E6B" w:rsidRDefault="00C62E6B" w:rsidP="00C62E6B">
      <w:pPr>
        <w:ind w:firstLine="567"/>
        <w:jc w:val="both"/>
        <w:rPr>
          <w:bCs/>
          <w:sz w:val="24"/>
          <w:szCs w:val="24"/>
        </w:rPr>
      </w:pPr>
      <w:r>
        <w:rPr>
          <w:bCs/>
          <w:sz w:val="24"/>
          <w:szCs w:val="24"/>
        </w:rPr>
        <w:t>Принимая во внимание, установленное пунктом 6 статьи 3 Налогового кодекса требование формальной определенности налоговых норм, нужно исходить из необходимости использования установленных в бухгалтерском учете формализованных критериев признания имущества налогоплательщика (движимого и недвижимого) в качестве соответствующих объектов основных средств.</w:t>
      </w:r>
    </w:p>
    <w:p w:rsidR="00C62E6B" w:rsidRDefault="00C62E6B" w:rsidP="00C62E6B">
      <w:pPr>
        <w:ind w:firstLine="567"/>
        <w:jc w:val="both"/>
        <w:rPr>
          <w:bCs/>
          <w:sz w:val="24"/>
          <w:szCs w:val="24"/>
        </w:rPr>
      </w:pPr>
      <w:r>
        <w:rPr>
          <w:bCs/>
          <w:sz w:val="24"/>
          <w:szCs w:val="24"/>
        </w:rPr>
        <w:t xml:space="preserve">Действующее законодательство не наделяет полномочиями по разграничению движимых и недвижимых вещей какие-либо органы власти, организации; порядок применения льготы по налогу на имущество, формирование и определение базы для налогообложения находится в </w:t>
      </w:r>
      <w:r>
        <w:rPr>
          <w:bCs/>
          <w:sz w:val="24"/>
          <w:szCs w:val="24"/>
        </w:rPr>
        <w:lastRenderedPageBreak/>
        <w:t>компетенции налоговых органов.</w:t>
      </w:r>
    </w:p>
    <w:p w:rsidR="00C62E6B" w:rsidRDefault="00C62E6B" w:rsidP="00C62E6B">
      <w:pPr>
        <w:ind w:firstLine="567"/>
        <w:jc w:val="both"/>
        <w:rPr>
          <w:bCs/>
          <w:sz w:val="24"/>
          <w:szCs w:val="24"/>
        </w:rPr>
      </w:pPr>
      <w:r>
        <w:rPr>
          <w:bCs/>
          <w:sz w:val="24"/>
          <w:szCs w:val="24"/>
        </w:rPr>
        <w:t xml:space="preserve">Положения п. 28 Основ ценообразования четко определяют порядок определения экономически обоснованных расходов по аренде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w:t>
      </w:r>
    </w:p>
    <w:p w:rsidR="00C62E6B" w:rsidRDefault="00C62E6B" w:rsidP="00C62E6B">
      <w:pPr>
        <w:ind w:firstLine="567"/>
        <w:jc w:val="both"/>
        <w:rPr>
          <w:bCs/>
          <w:sz w:val="24"/>
          <w:szCs w:val="24"/>
        </w:rPr>
      </w:pPr>
      <w:r>
        <w:rPr>
          <w:bCs/>
          <w:sz w:val="24"/>
          <w:szCs w:val="24"/>
        </w:rPr>
        <w:t>Документы первичной отчетности АО «Ивгорэлектросеть», предоставленные в Департамент в составе материалов тарифной заявки на 2025 год подтверждают факт расходов на уплату налога на имущество, произведенных в 2023 году собственником имущества.</w:t>
      </w:r>
    </w:p>
    <w:p w:rsidR="00C62E6B" w:rsidRDefault="00C62E6B" w:rsidP="00C62E6B">
      <w:pPr>
        <w:ind w:firstLine="567"/>
        <w:jc w:val="both"/>
        <w:rPr>
          <w:bCs/>
          <w:sz w:val="24"/>
          <w:szCs w:val="24"/>
        </w:rPr>
      </w:pPr>
      <w:r>
        <w:rPr>
          <w:bCs/>
          <w:sz w:val="24"/>
          <w:szCs w:val="24"/>
        </w:rPr>
        <w:t>Величина расходов собственника на амортизационные отчисления и уплату налога на имущество перекрывает расходы по аренде, предусмотренные договором.</w:t>
      </w:r>
    </w:p>
    <w:p w:rsidR="00C62E6B" w:rsidRDefault="00C62E6B" w:rsidP="00C62E6B">
      <w:pPr>
        <w:ind w:firstLine="567"/>
        <w:jc w:val="both"/>
        <w:rPr>
          <w:bCs/>
          <w:sz w:val="24"/>
          <w:szCs w:val="24"/>
        </w:rPr>
      </w:pPr>
      <w:r>
        <w:rPr>
          <w:bCs/>
          <w:sz w:val="24"/>
          <w:szCs w:val="24"/>
        </w:rPr>
        <w:t>Особо филиал «Ивэнерго» обращает внимание на некорректность определения Департаментом экономически обоснованной величины оплаты по договору аренды (в соответствии с пунктом 27 Основ ценообразования), как минимального значения величины фактической амортизации за отчетный период и расчетной в разрезе каждого основного средства.</w:t>
      </w:r>
    </w:p>
    <w:p w:rsidR="00C62E6B" w:rsidRDefault="00C62E6B" w:rsidP="00C62E6B">
      <w:pPr>
        <w:ind w:firstLine="567"/>
        <w:jc w:val="both"/>
        <w:rPr>
          <w:bCs/>
          <w:sz w:val="24"/>
          <w:szCs w:val="24"/>
        </w:rPr>
      </w:pPr>
      <w:r>
        <w:rPr>
          <w:bCs/>
          <w:sz w:val="24"/>
          <w:szCs w:val="24"/>
        </w:rPr>
        <w:t xml:space="preserve">Размер арендной платы по договору аренды движимого имущества не </w:t>
      </w:r>
      <w:proofErr w:type="gramStart"/>
      <w:r>
        <w:rPr>
          <w:bCs/>
          <w:sz w:val="24"/>
          <w:szCs w:val="24"/>
        </w:rPr>
        <w:t>детализирован</w:t>
      </w:r>
      <w:proofErr w:type="gramEnd"/>
      <w:r>
        <w:rPr>
          <w:bCs/>
          <w:sz w:val="24"/>
          <w:szCs w:val="24"/>
        </w:rPr>
        <w:t xml:space="preserve">  по каждому виду имущества.</w:t>
      </w:r>
    </w:p>
    <w:p w:rsidR="00C62E6B" w:rsidRDefault="00C62E6B" w:rsidP="00C62E6B">
      <w:pPr>
        <w:ind w:firstLine="567"/>
        <w:jc w:val="both"/>
        <w:rPr>
          <w:bCs/>
          <w:sz w:val="24"/>
          <w:szCs w:val="24"/>
        </w:rPr>
      </w:pPr>
      <w:r>
        <w:rPr>
          <w:bCs/>
          <w:sz w:val="24"/>
          <w:szCs w:val="24"/>
        </w:rPr>
        <w:t>Учитывая перечисленные обстоятельства, филиал «Ивэнерго» считает обоснованными расходы по аренде имущества АО «Ивгорэлектросеть»</w:t>
      </w:r>
      <w:r>
        <w:rPr>
          <w:b/>
          <w:bCs/>
          <w:i/>
          <w:sz w:val="24"/>
          <w:szCs w:val="24"/>
        </w:rPr>
        <w:t xml:space="preserve"> </w:t>
      </w:r>
      <w:r>
        <w:rPr>
          <w:bCs/>
          <w:sz w:val="24"/>
          <w:szCs w:val="24"/>
        </w:rPr>
        <w:t>в соответствии с договором № 372001927 от 13.08.2021, четко соответствующими критериям, установленным законодателем, и подлежащими учету в составе НВВ филиала «Ивэнерго» в рамках корректировки неподконтрольных расходов за 2023 год в полном объеме – 66 124,13 тыс. руб.</w:t>
      </w:r>
    </w:p>
    <w:p w:rsidR="00C62E6B" w:rsidRDefault="00C62E6B" w:rsidP="00C62E6B">
      <w:pPr>
        <w:ind w:firstLine="567"/>
        <w:jc w:val="both"/>
        <w:rPr>
          <w:bCs/>
          <w:sz w:val="24"/>
          <w:szCs w:val="24"/>
        </w:rPr>
      </w:pPr>
      <w:r>
        <w:rPr>
          <w:bCs/>
          <w:sz w:val="24"/>
          <w:szCs w:val="24"/>
        </w:rPr>
        <w:t>Департамент отмечает, что по договору аренды движимого имущества № 372001927 от 13.08.2021 с АО «Ивгорэлектросеть» фактические расходы приняты в размере 56 158,078 тыс. руб. (вместо заявленных организацией 66 124,129 тыс. руб.), как сумма составляющих арендной платы в соответствии с требованиями подпункта 5) пункта 28 Основ ценообразования (амортизация в размере 55 961,771 тыс. руб., определенная исходя из максимальных сроков полезного использования, и налог на имущество в размере 196,307 тыс. руб.). Налог на имущество принят Экспертной группой только в части недвижимых объектов электросетевого хозяйства, перечень которых определен в дополнительном соглашении от 27.11.2023 к договору аренды движимого имущества № 372001927 от 13.08.2021.</w:t>
      </w:r>
    </w:p>
    <w:p w:rsidR="00C62E6B" w:rsidRDefault="00C62E6B" w:rsidP="00C62E6B">
      <w:pPr>
        <w:ind w:firstLine="567"/>
        <w:jc w:val="both"/>
        <w:rPr>
          <w:b/>
          <w:bCs/>
          <w:i/>
          <w:sz w:val="24"/>
          <w:szCs w:val="24"/>
        </w:rPr>
      </w:pPr>
      <w:r>
        <w:rPr>
          <w:b/>
          <w:bCs/>
          <w:i/>
          <w:sz w:val="24"/>
          <w:szCs w:val="24"/>
        </w:rPr>
        <w:t>4.5. Расходы на импортозамещение ИТ.</w:t>
      </w:r>
    </w:p>
    <w:p w:rsidR="00C62E6B" w:rsidRDefault="00C62E6B" w:rsidP="00C62E6B">
      <w:pPr>
        <w:ind w:firstLine="567"/>
        <w:jc w:val="both"/>
        <w:rPr>
          <w:bCs/>
          <w:sz w:val="24"/>
          <w:szCs w:val="24"/>
        </w:rPr>
      </w:pPr>
      <w:r>
        <w:rPr>
          <w:bCs/>
          <w:sz w:val="24"/>
          <w:szCs w:val="24"/>
        </w:rPr>
        <w:t>Департаментом расходы на импортозамещение за 2023 год исключены в полном объеме 2 595,61 тыс. руб.</w:t>
      </w:r>
    </w:p>
    <w:p w:rsidR="00C62E6B" w:rsidRDefault="00C62E6B" w:rsidP="00C62E6B">
      <w:pPr>
        <w:ind w:firstLine="567"/>
        <w:jc w:val="both"/>
        <w:rPr>
          <w:bCs/>
          <w:sz w:val="24"/>
          <w:szCs w:val="24"/>
        </w:rPr>
      </w:pPr>
      <w:r>
        <w:rPr>
          <w:bCs/>
          <w:sz w:val="24"/>
          <w:szCs w:val="24"/>
        </w:rPr>
        <w:t>Письмом от 06.12.2024 №МР7-ИвЭ/25-2/6981 представлены обосновывающие документы и первичная документация, анализ которых наглядно показывает отсутствие экономии по расходам на ИТ в составе подконтрольных расходов филиала «Ивэнерго».</w:t>
      </w:r>
    </w:p>
    <w:p w:rsidR="00C62E6B" w:rsidRDefault="00C62E6B" w:rsidP="00C62E6B">
      <w:pPr>
        <w:ind w:firstLine="567"/>
        <w:jc w:val="both"/>
        <w:rPr>
          <w:bCs/>
          <w:sz w:val="24"/>
          <w:szCs w:val="24"/>
        </w:rPr>
      </w:pPr>
      <w:r>
        <w:rPr>
          <w:bCs/>
          <w:sz w:val="24"/>
          <w:szCs w:val="24"/>
        </w:rPr>
        <w:t>Письмом от 20.11.2024 №ГМ/106077/24 (прилагается) ФАС России направлены разъяснения, в связи с принятием Правительством РФ постановлений от 19 ноября 2024 г. № 1581, № 1582, № 1583, № 1584, которые вступают в законную силу со дня их официального опубликования, в том числе о необходимости учета расходов территориальных сетевых организаций, связанных с реализацией Указа Президента Российской Федерации от 30 марта 2022 г. № 166 «О мерах по обеспечению технологической независимости и безопасности критической информационной инфраструктуры Российской Федерации» и принятых в соответствии с ним подзаконных актов (в том числе расходов на программное обеспечение, приобретение лицензий и сертифицированных программно-аппаратных комплексов, техническую поддержку информационных систем).</w:t>
      </w:r>
    </w:p>
    <w:p w:rsidR="00C62E6B" w:rsidRDefault="00C62E6B" w:rsidP="00C62E6B">
      <w:pPr>
        <w:ind w:firstLine="567"/>
        <w:jc w:val="both"/>
        <w:rPr>
          <w:bCs/>
          <w:sz w:val="24"/>
          <w:szCs w:val="24"/>
        </w:rPr>
      </w:pPr>
      <w:r>
        <w:rPr>
          <w:bCs/>
          <w:sz w:val="24"/>
          <w:szCs w:val="24"/>
        </w:rPr>
        <w:t>Департамент отмечает, что по статье «Расходы на импортозамещение ИТ» по факту 2023 года приняты расходы в сумме 2 164,96 тыс. руб., вместо заявленных филиалом «Ивэнерго» 2 595,61 тыс. руб.</w:t>
      </w:r>
    </w:p>
    <w:p w:rsidR="00C62E6B" w:rsidRDefault="00C62E6B" w:rsidP="00116BD6">
      <w:pPr>
        <w:ind w:firstLine="567"/>
        <w:jc w:val="both"/>
        <w:rPr>
          <w:bCs/>
          <w:sz w:val="24"/>
          <w:szCs w:val="24"/>
        </w:rPr>
      </w:pPr>
      <w:r>
        <w:rPr>
          <w:bCs/>
          <w:sz w:val="24"/>
          <w:szCs w:val="24"/>
        </w:rPr>
        <w:t xml:space="preserve">Департамент в полном объеме не принимает заявленные филиалом «Ивэнерго» расходы по сублицензионному договору № 002001015 от 16.10.2023, заключенному с коллективным участником в составе: лидер Коллективного участника ООО «Эдит Про», член Коллективного участника ООО «Градум», в сумме 430,650 тыс. руб. (неисключительные права на использование </w:t>
      </w:r>
      <w:r>
        <w:rPr>
          <w:bCs/>
          <w:sz w:val="24"/>
          <w:szCs w:val="24"/>
        </w:rPr>
        <w:lastRenderedPageBreak/>
        <w:t>программного обеспечения 1С) по причине отсутствия информации о проведенных организацией в установленном порядке конкурсных процедурах при заключении указанного договора.</w:t>
      </w:r>
    </w:p>
    <w:p w:rsidR="00C62E6B" w:rsidRDefault="00C62E6B" w:rsidP="00116BD6">
      <w:pPr>
        <w:ind w:firstLine="567"/>
        <w:jc w:val="both"/>
        <w:rPr>
          <w:bCs/>
          <w:sz w:val="24"/>
          <w:szCs w:val="24"/>
        </w:rPr>
      </w:pPr>
      <w:r>
        <w:rPr>
          <w:b/>
          <w:bCs/>
          <w:sz w:val="24"/>
          <w:szCs w:val="24"/>
        </w:rPr>
        <w:t>5.</w:t>
      </w:r>
      <w:r>
        <w:rPr>
          <w:bCs/>
          <w:sz w:val="24"/>
          <w:szCs w:val="24"/>
        </w:rPr>
        <w:t xml:space="preserve"> </w:t>
      </w:r>
      <w:r>
        <w:rPr>
          <w:rFonts w:eastAsia="Calibri"/>
          <w:b/>
          <w:sz w:val="24"/>
          <w:szCs w:val="24"/>
        </w:rPr>
        <w:t>Корректировка необходимой валовой выручки по доходам от осуществления регулируемой деятельности (формула 7.1 Методических указаний № 98-э).</w:t>
      </w:r>
    </w:p>
    <w:p w:rsidR="00C62E6B" w:rsidRDefault="00C62E6B" w:rsidP="00116BD6">
      <w:pPr>
        <w:ind w:firstLine="567"/>
        <w:contextualSpacing/>
        <w:jc w:val="both"/>
        <w:rPr>
          <w:rFonts w:eastAsia="Calibri"/>
          <w:sz w:val="24"/>
          <w:szCs w:val="24"/>
          <w:lang w:eastAsia="en-US"/>
        </w:rPr>
      </w:pPr>
      <w:r>
        <w:rPr>
          <w:rFonts w:eastAsia="Calibri"/>
          <w:sz w:val="24"/>
          <w:szCs w:val="24"/>
        </w:rPr>
        <w:t>Рассчитанная Департаментом корректировка НВВ по доходам в размере 6 070,11 тыс. руб. без ИПЦ, 6 935,95 тыс. руб. с учетом ИПЦ) предусматривает исключение объема недополученной выручки филиала «Ивэнерго» по зависящим причинам в части:</w:t>
      </w:r>
    </w:p>
    <w:p w:rsidR="00C62E6B" w:rsidRDefault="00C62E6B" w:rsidP="00116BD6">
      <w:pPr>
        <w:ind w:firstLine="567"/>
        <w:contextualSpacing/>
        <w:jc w:val="both"/>
        <w:rPr>
          <w:rFonts w:eastAsia="Calibri"/>
          <w:sz w:val="24"/>
          <w:szCs w:val="24"/>
        </w:rPr>
      </w:pPr>
      <w:r>
        <w:rPr>
          <w:rFonts w:eastAsia="Calibri"/>
          <w:sz w:val="24"/>
          <w:szCs w:val="24"/>
        </w:rPr>
        <w:t>- АО «ПСК» – (-) 39 274,63 тыс. руб.;</w:t>
      </w:r>
    </w:p>
    <w:p w:rsidR="00C62E6B" w:rsidRDefault="00C62E6B" w:rsidP="00116BD6">
      <w:pPr>
        <w:ind w:firstLine="567"/>
        <w:contextualSpacing/>
        <w:jc w:val="both"/>
        <w:rPr>
          <w:rFonts w:eastAsia="Calibri"/>
          <w:sz w:val="24"/>
          <w:szCs w:val="24"/>
        </w:rPr>
      </w:pPr>
      <w:r>
        <w:rPr>
          <w:rFonts w:eastAsia="Calibri"/>
          <w:sz w:val="24"/>
          <w:szCs w:val="24"/>
        </w:rPr>
        <w:t>- в части потребителей п. Мугреевский Бор – (-) 116,07 тыс. руб.</w:t>
      </w:r>
    </w:p>
    <w:p w:rsidR="00C62E6B" w:rsidRDefault="00C62E6B" w:rsidP="00116BD6">
      <w:pPr>
        <w:ind w:firstLine="567"/>
        <w:contextualSpacing/>
        <w:jc w:val="both"/>
        <w:rPr>
          <w:rFonts w:eastAsia="Calibri"/>
          <w:color w:val="FF0000"/>
          <w:sz w:val="24"/>
          <w:szCs w:val="24"/>
        </w:rPr>
      </w:pPr>
      <w:r>
        <w:rPr>
          <w:rFonts w:eastAsia="Calibri"/>
          <w:sz w:val="24"/>
          <w:szCs w:val="24"/>
        </w:rPr>
        <w:t>-</w:t>
      </w:r>
      <w:r>
        <w:rPr>
          <w:rFonts w:eastAsia="Calibri"/>
          <w:color w:val="FF0000"/>
          <w:sz w:val="24"/>
          <w:szCs w:val="24"/>
        </w:rPr>
        <w:t xml:space="preserve"> </w:t>
      </w:r>
      <w:r>
        <w:rPr>
          <w:rFonts w:eastAsia="Calibri"/>
          <w:sz w:val="24"/>
          <w:szCs w:val="24"/>
        </w:rPr>
        <w:t>фактических объемов потребления электроэнергии за 2023 год потребителями, относимыми Департаментом к небытовым – (-) 4 069,91 тыс. руб.</w:t>
      </w:r>
      <w:r>
        <w:rPr>
          <w:rFonts w:eastAsia="Calibri"/>
          <w:sz w:val="24"/>
          <w:szCs w:val="24"/>
        </w:rPr>
        <w:tab/>
      </w:r>
      <w:r>
        <w:rPr>
          <w:rFonts w:eastAsia="Calibri"/>
          <w:color w:val="FF0000"/>
          <w:sz w:val="24"/>
          <w:szCs w:val="24"/>
        </w:rPr>
        <w:tab/>
      </w:r>
      <w:r>
        <w:rPr>
          <w:rFonts w:eastAsia="Calibri"/>
          <w:color w:val="FF0000"/>
          <w:sz w:val="24"/>
          <w:szCs w:val="24"/>
        </w:rPr>
        <w:tab/>
      </w:r>
      <w:r>
        <w:rPr>
          <w:rFonts w:eastAsia="Calibri"/>
          <w:color w:val="FF0000"/>
          <w:sz w:val="24"/>
          <w:szCs w:val="24"/>
        </w:rPr>
        <w:tab/>
      </w:r>
    </w:p>
    <w:p w:rsidR="00C62E6B" w:rsidRDefault="00C62E6B" w:rsidP="00116BD6">
      <w:pPr>
        <w:ind w:firstLine="567"/>
        <w:contextualSpacing/>
        <w:jc w:val="both"/>
        <w:rPr>
          <w:rFonts w:eastAsia="Calibri"/>
          <w:sz w:val="24"/>
          <w:szCs w:val="24"/>
        </w:rPr>
      </w:pPr>
      <w:r>
        <w:rPr>
          <w:rFonts w:eastAsia="Calibri"/>
          <w:sz w:val="24"/>
          <w:szCs w:val="24"/>
        </w:rPr>
        <w:t>Филиал «Ивэнерго» не согласен с позицией Департамента по следующим основаниям.</w:t>
      </w:r>
    </w:p>
    <w:p w:rsidR="00C62E6B" w:rsidRDefault="00C62E6B" w:rsidP="00116BD6">
      <w:pPr>
        <w:ind w:firstLine="567"/>
        <w:contextualSpacing/>
        <w:jc w:val="both"/>
        <w:rPr>
          <w:rFonts w:eastAsia="Calibri"/>
          <w:b/>
          <w:i/>
          <w:sz w:val="24"/>
          <w:szCs w:val="24"/>
        </w:rPr>
      </w:pPr>
      <w:r>
        <w:rPr>
          <w:rFonts w:eastAsia="Calibri"/>
          <w:b/>
          <w:i/>
          <w:sz w:val="24"/>
          <w:szCs w:val="24"/>
        </w:rPr>
        <w:t>5.1. В отношении АО «ПСК».</w:t>
      </w:r>
    </w:p>
    <w:p w:rsidR="00C62E6B" w:rsidRDefault="00C62E6B" w:rsidP="00116BD6">
      <w:pPr>
        <w:ind w:firstLine="567"/>
        <w:contextualSpacing/>
        <w:jc w:val="both"/>
        <w:rPr>
          <w:rFonts w:eastAsia="Calibri"/>
          <w:sz w:val="24"/>
          <w:szCs w:val="24"/>
        </w:rPr>
      </w:pPr>
      <w:r>
        <w:rPr>
          <w:rFonts w:eastAsia="Calibri"/>
          <w:sz w:val="24"/>
          <w:szCs w:val="24"/>
        </w:rPr>
        <w:t xml:space="preserve">При определении корректировки НВВ филиала «Ивэнерго» в части содержания электрических сетей и на оплату технологического расхода (потерь) электрической энергии, предусмотренной формулой 7.1 Методических указаний № 98-э, Департаментом учтена недополученная выручка филиала «Ивэнерго» как «котлодержателя» по зависящим от организации причинам в части АО «ПСК» (по потребителям ООО «Эксполит» и ООО «МК КРАНЭКС») за 2019-2020 годы в размере 39 274,63 тыс. руб. (34 371,83 тыс. руб. * 1,058 * 1,080). </w:t>
      </w:r>
    </w:p>
    <w:p w:rsidR="00C62E6B" w:rsidRDefault="00C62E6B" w:rsidP="00116BD6">
      <w:pPr>
        <w:ind w:firstLine="567"/>
        <w:contextualSpacing/>
        <w:jc w:val="both"/>
        <w:rPr>
          <w:rFonts w:eastAsia="Calibri"/>
          <w:sz w:val="24"/>
          <w:szCs w:val="24"/>
        </w:rPr>
      </w:pPr>
      <w:r>
        <w:rPr>
          <w:rFonts w:eastAsia="Calibri"/>
          <w:sz w:val="24"/>
          <w:szCs w:val="24"/>
        </w:rPr>
        <w:t xml:space="preserve">Аналогичная корректировка НВВ была проведена Департаментом при установлении НВВ филиала на 2023 год за 2021 год (стр.23 Экспертного заключения от 24.11.2022) и на 2024 год за 2022 год (стр.25 Экспертного заключения от 20.12.2023). </w:t>
      </w:r>
    </w:p>
    <w:p w:rsidR="00C62E6B" w:rsidRDefault="00C62E6B" w:rsidP="00116BD6">
      <w:pPr>
        <w:ind w:firstLine="567"/>
        <w:contextualSpacing/>
        <w:jc w:val="both"/>
        <w:rPr>
          <w:rFonts w:eastAsia="Calibri"/>
          <w:sz w:val="24"/>
          <w:szCs w:val="24"/>
        </w:rPr>
      </w:pPr>
      <w:r>
        <w:rPr>
          <w:rFonts w:eastAsia="Calibri"/>
          <w:sz w:val="24"/>
          <w:szCs w:val="24"/>
        </w:rPr>
        <w:t xml:space="preserve">В соответствии с формулой 7.1 Методических указаний № 98-э </w:t>
      </w:r>
      <w:r>
        <w:rPr>
          <w:noProof/>
          <w:position w:val="-10"/>
          <w:sz w:val="24"/>
          <w:szCs w:val="24"/>
        </w:rPr>
        <w:drawing>
          <wp:inline distT="0" distB="0" distL="0" distR="0" wp14:anchorId="309725D0" wp14:editId="319272A8">
            <wp:extent cx="1958340" cy="284480"/>
            <wp:effectExtent l="0" t="0" r="381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58340" cy="284480"/>
                    </a:xfrm>
                    <a:prstGeom prst="rect">
                      <a:avLst/>
                    </a:prstGeom>
                    <a:noFill/>
                    <a:ln>
                      <a:noFill/>
                    </a:ln>
                  </pic:spPr>
                </pic:pic>
              </a:graphicData>
            </a:graphic>
          </wp:inline>
        </w:drawing>
      </w:r>
      <w:r>
        <w:rPr>
          <w:sz w:val="24"/>
          <w:szCs w:val="24"/>
        </w:rPr>
        <w:t xml:space="preserve"> (7.1)</w:t>
      </w:r>
      <w:r>
        <w:rPr>
          <w:rFonts w:eastAsia="Calibri"/>
          <w:sz w:val="24"/>
          <w:szCs w:val="24"/>
        </w:rPr>
        <w:t xml:space="preserve"> предусматривается корректировка НВВ за год i-2 (в 2025 году за 2023 год).</w:t>
      </w:r>
    </w:p>
    <w:p w:rsidR="00C62E6B" w:rsidRDefault="00C62E6B" w:rsidP="00116BD6">
      <w:pPr>
        <w:ind w:firstLine="567"/>
        <w:contextualSpacing/>
        <w:jc w:val="both"/>
        <w:rPr>
          <w:rFonts w:eastAsia="Calibri"/>
          <w:sz w:val="24"/>
          <w:szCs w:val="24"/>
        </w:rPr>
      </w:pPr>
      <w:r>
        <w:rPr>
          <w:rFonts w:eastAsia="Calibri"/>
          <w:sz w:val="24"/>
          <w:szCs w:val="24"/>
        </w:rPr>
        <w:t>В экспертном заключении от 24.11.2022 при установлении НВВ филиала на 2023 год Департамент отмечая, что объем недополученной выручки в части АО «ПСК» сформировался у филиала «Ивэнерго» начиная с июня 2019 года, применил корректировку только по объемам за 2021 год, что соответствует требованиям Методических указаний № 98-э.</w:t>
      </w:r>
    </w:p>
    <w:p w:rsidR="00C62E6B" w:rsidRDefault="00C62E6B" w:rsidP="00116BD6">
      <w:pPr>
        <w:ind w:firstLine="567"/>
        <w:contextualSpacing/>
        <w:jc w:val="both"/>
        <w:rPr>
          <w:rFonts w:eastAsia="Calibri"/>
          <w:sz w:val="24"/>
          <w:szCs w:val="24"/>
        </w:rPr>
      </w:pPr>
      <w:r>
        <w:rPr>
          <w:rFonts w:eastAsia="Calibri"/>
          <w:sz w:val="24"/>
          <w:szCs w:val="24"/>
        </w:rPr>
        <w:t>При установлении НВВ филиала «Ивэнерго» на 2025 год Департамент в нарушение формулы 7.1 Методических указаний № 98-э проводит корректировку по факту деятельности за годы i-5 и i-6.</w:t>
      </w:r>
    </w:p>
    <w:p w:rsidR="00C62E6B" w:rsidRDefault="00C62E6B" w:rsidP="00116BD6">
      <w:pPr>
        <w:ind w:firstLine="567"/>
        <w:contextualSpacing/>
        <w:jc w:val="both"/>
        <w:rPr>
          <w:rFonts w:eastAsia="Calibri"/>
          <w:sz w:val="24"/>
          <w:szCs w:val="24"/>
        </w:rPr>
      </w:pPr>
      <w:r>
        <w:rPr>
          <w:rFonts w:eastAsia="Calibri"/>
          <w:sz w:val="24"/>
          <w:szCs w:val="24"/>
        </w:rPr>
        <w:t>Расчет объема выручки, недополученной в 2019-2020 годах филиалом «Ивэнерго» от действий АО «ПСК», выполнен Департаментом не верно. В 2019-2020 годах проходили судебные заседания по признанию права собственности на ВЛ-110 кВ «Фурманов 1 и 2». Решение о признании права на эти ВЛ-110 кВ за филиалом «Ивэнерго» было принято судом только в 2021 году. Ввиду отсутствия в 2019-2020 годах судебного решения, гарантирующий поставщик включал объем потерь в ВЛ-110 кВ «Фурманов 1 и 2» в объем поступления в сети АО «ПСК» и, соответственно, в собственное потребление АО «ПСК». После вступления в силу решения суда при определении собственного потребления АО «ПСК» необходимо исключать излишние в 2019-2020 годах потери в ВЛ-110 кВ «Фурманов 1 и 2», что Департаментом в своих расчетах сделано не было. В своих исковых требованиях к Ивановскому филиалу АО «ЭнергосбыТ Плюс» за 2021 год филиал «Ивэнерго» исключил потери в ВЛ-110 кВ «Фурманов 1 и 2».</w:t>
      </w:r>
    </w:p>
    <w:p w:rsidR="00C62E6B" w:rsidRDefault="00C62E6B" w:rsidP="00116BD6">
      <w:pPr>
        <w:ind w:firstLine="567"/>
        <w:contextualSpacing/>
        <w:jc w:val="both"/>
        <w:rPr>
          <w:rFonts w:eastAsia="Calibri"/>
          <w:bCs/>
          <w:sz w:val="24"/>
          <w:szCs w:val="24"/>
        </w:rPr>
      </w:pPr>
      <w:r>
        <w:rPr>
          <w:rFonts w:eastAsia="Calibri"/>
          <w:sz w:val="24"/>
          <w:szCs w:val="24"/>
        </w:rPr>
        <w:t xml:space="preserve">Департамент отмечает, что </w:t>
      </w:r>
      <w:r>
        <w:rPr>
          <w:rFonts w:eastAsia="Calibri"/>
          <w:bCs/>
          <w:sz w:val="24"/>
          <w:szCs w:val="24"/>
        </w:rPr>
        <w:t xml:space="preserve">объем недополученной выручки филиала «Ивэнерго» по зависящим от организации причинам в части АО «ПСК» суммарно за июнь-декабрь 2019 года (12 938,58 тыс. руб.) и 2020 год (21 433,25 тыс. руб.) определен в размере 34 371,83 тыс. руб. (с учетом индексов потребительских цен на 2024-2025 годы, предусмотренных формулой 3 Методических указаний № 98-э: 34 371,83 тыс. руб. * 1,080 * 1,058 = </w:t>
      </w:r>
      <w:r>
        <w:rPr>
          <w:rFonts w:eastAsia="Calibri"/>
          <w:bCs/>
          <w:iCs/>
          <w:sz w:val="24"/>
          <w:szCs w:val="24"/>
        </w:rPr>
        <w:t>39 274,63</w:t>
      </w:r>
      <w:r>
        <w:rPr>
          <w:rFonts w:eastAsia="Calibri"/>
          <w:bCs/>
          <w:i/>
          <w:iCs/>
          <w:sz w:val="24"/>
          <w:szCs w:val="24"/>
        </w:rPr>
        <w:t xml:space="preserve"> </w:t>
      </w:r>
      <w:r>
        <w:rPr>
          <w:rFonts w:eastAsia="Calibri"/>
          <w:bCs/>
          <w:sz w:val="24"/>
          <w:szCs w:val="24"/>
        </w:rPr>
        <w:t>тыс. руб.)</w:t>
      </w:r>
    </w:p>
    <w:p w:rsidR="00C62E6B" w:rsidRDefault="00C62E6B" w:rsidP="00116BD6">
      <w:pPr>
        <w:ind w:firstLine="567"/>
        <w:contextualSpacing/>
        <w:jc w:val="both"/>
        <w:rPr>
          <w:rFonts w:eastAsia="Calibri"/>
          <w:bCs/>
          <w:sz w:val="24"/>
          <w:szCs w:val="24"/>
        </w:rPr>
      </w:pPr>
      <w:r>
        <w:rPr>
          <w:rFonts w:eastAsia="Calibri"/>
          <w:bCs/>
          <w:sz w:val="24"/>
          <w:szCs w:val="24"/>
        </w:rPr>
        <w:t>Согласно пункту 50 Правил недискриминационного доступа к услугам по передаче электрической энергии и оказания этих услуг (далее – Правила недискриминационного доступа), утвержденных постановлением Правительства РФ от 27.12.2004 № 861, в отношении потребителя, энергопринимающее оборудование которого присоединено к объектам ЭСХ,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ЭСХ (V</w:t>
      </w:r>
      <w:r>
        <w:rPr>
          <w:rFonts w:eastAsia="Calibri"/>
          <w:bCs/>
          <w:sz w:val="24"/>
          <w:szCs w:val="24"/>
          <w:vertAlign w:val="subscript"/>
        </w:rPr>
        <w:t>(факт)</w:t>
      </w:r>
      <w:r>
        <w:rPr>
          <w:rFonts w:eastAsia="Calibri"/>
          <w:bCs/>
          <w:sz w:val="24"/>
          <w:szCs w:val="24"/>
        </w:rPr>
        <w:t xml:space="preserve">), </w:t>
      </w:r>
      <w:r>
        <w:rPr>
          <w:rFonts w:eastAsia="Calibri"/>
          <w:bCs/>
          <w:sz w:val="24"/>
          <w:szCs w:val="24"/>
        </w:rPr>
        <w:lastRenderedPageBreak/>
        <w:t>определяется по формуле:</w:t>
      </w:r>
    </w:p>
    <w:p w:rsidR="00C62E6B" w:rsidRDefault="00C62E6B" w:rsidP="00116BD6">
      <w:pPr>
        <w:ind w:firstLine="567"/>
        <w:contextualSpacing/>
        <w:jc w:val="both"/>
        <w:rPr>
          <w:rFonts w:eastAsia="Calibri"/>
          <w:bCs/>
          <w:sz w:val="24"/>
          <w:szCs w:val="24"/>
        </w:rPr>
      </w:pPr>
      <w:r>
        <w:rPr>
          <w:rFonts w:eastAsia="Calibri"/>
          <w:bCs/>
          <w:sz w:val="24"/>
          <w:szCs w:val="24"/>
        </w:rPr>
        <w:t>V</w:t>
      </w:r>
      <w:r>
        <w:rPr>
          <w:rFonts w:eastAsia="Calibri"/>
          <w:bCs/>
          <w:sz w:val="24"/>
          <w:szCs w:val="24"/>
          <w:vertAlign w:val="subscript"/>
        </w:rPr>
        <w:t>(факт)</w:t>
      </w:r>
      <w:r>
        <w:rPr>
          <w:rFonts w:eastAsia="Calibri"/>
          <w:bCs/>
          <w:sz w:val="24"/>
          <w:szCs w:val="24"/>
        </w:rPr>
        <w:t xml:space="preserve"> = V</w:t>
      </w:r>
      <w:r>
        <w:rPr>
          <w:rFonts w:eastAsia="Calibri"/>
          <w:bCs/>
          <w:sz w:val="24"/>
          <w:szCs w:val="24"/>
          <w:vertAlign w:val="subscript"/>
        </w:rPr>
        <w:t>(отп)</w:t>
      </w:r>
      <w:r>
        <w:rPr>
          <w:rFonts w:eastAsia="Calibri"/>
          <w:bCs/>
          <w:sz w:val="24"/>
          <w:szCs w:val="24"/>
        </w:rPr>
        <w:t xml:space="preserve"> x (N / (100% - N)),</w:t>
      </w:r>
    </w:p>
    <w:p w:rsidR="00C62E6B" w:rsidRDefault="00C62E6B" w:rsidP="00116BD6">
      <w:pPr>
        <w:ind w:firstLine="567"/>
        <w:contextualSpacing/>
        <w:jc w:val="both"/>
        <w:rPr>
          <w:rFonts w:eastAsia="Calibri"/>
          <w:bCs/>
          <w:sz w:val="24"/>
          <w:szCs w:val="24"/>
        </w:rPr>
      </w:pPr>
      <w:r>
        <w:rPr>
          <w:rFonts w:eastAsia="Calibri"/>
          <w:bCs/>
          <w:sz w:val="24"/>
          <w:szCs w:val="24"/>
        </w:rPr>
        <w:t>где:</w:t>
      </w:r>
    </w:p>
    <w:p w:rsidR="00C62E6B" w:rsidRDefault="00C62E6B" w:rsidP="00116BD6">
      <w:pPr>
        <w:ind w:firstLine="567"/>
        <w:contextualSpacing/>
        <w:jc w:val="both"/>
        <w:rPr>
          <w:rFonts w:eastAsia="Calibri"/>
          <w:bCs/>
          <w:sz w:val="24"/>
          <w:szCs w:val="24"/>
        </w:rPr>
      </w:pPr>
      <w:r>
        <w:rPr>
          <w:rFonts w:eastAsia="Calibri"/>
          <w:bCs/>
          <w:sz w:val="24"/>
          <w:szCs w:val="24"/>
        </w:rPr>
        <w:t>V</w:t>
      </w:r>
      <w:r>
        <w:rPr>
          <w:rFonts w:eastAsia="Calibri"/>
          <w:bCs/>
          <w:sz w:val="24"/>
          <w:szCs w:val="24"/>
          <w:vertAlign w:val="subscript"/>
        </w:rPr>
        <w:t>(отп)</w:t>
      </w:r>
      <w:r>
        <w:rPr>
          <w:rFonts w:eastAsia="Calibri"/>
          <w:bCs/>
          <w:sz w:val="24"/>
          <w:szCs w:val="24"/>
        </w:rP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ЭСХ) смежных субъектов электроэнергетики;</w:t>
      </w:r>
    </w:p>
    <w:p w:rsidR="00C62E6B" w:rsidRDefault="00C62E6B" w:rsidP="00116BD6">
      <w:pPr>
        <w:ind w:firstLine="567"/>
        <w:contextualSpacing/>
        <w:jc w:val="both"/>
        <w:rPr>
          <w:rFonts w:eastAsia="Calibri"/>
          <w:bCs/>
          <w:sz w:val="24"/>
          <w:szCs w:val="24"/>
        </w:rPr>
      </w:pPr>
      <w:r>
        <w:rPr>
          <w:rFonts w:eastAsia="Calibri"/>
          <w:bCs/>
          <w:sz w:val="24"/>
          <w:szCs w:val="24"/>
        </w:rP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органом исполнительной власти субъекта Российской Федерации в области государственного регулирования тарифов при установлении единых (котловых) тарифов.</w:t>
      </w:r>
    </w:p>
    <w:p w:rsidR="00C62E6B" w:rsidRDefault="00C62E6B" w:rsidP="00116BD6">
      <w:pPr>
        <w:ind w:firstLine="567"/>
        <w:contextualSpacing/>
        <w:jc w:val="both"/>
        <w:rPr>
          <w:rFonts w:eastAsia="Calibri"/>
          <w:bCs/>
          <w:sz w:val="24"/>
          <w:szCs w:val="24"/>
        </w:rPr>
      </w:pPr>
      <w:r>
        <w:rPr>
          <w:rFonts w:eastAsia="Calibri"/>
          <w:bCs/>
          <w:sz w:val="24"/>
          <w:szCs w:val="24"/>
        </w:rPr>
        <w:t>Вместе с тем, с учетом данных по фактическому отпуску электроэнергии из сетей АО «ПСК» в энергопринимающие устройства (объекты ЭСХ) смежных субъектов электроэнергетики за июнь-декабрь 2019 года и 2020 год, объем потерь электроэнергии, предъявленных Ивановским филиалом АО «ЭнергосбыТ Плюс» к оплате со стороны АО «ПСК» за указанный период, не соответствует объемам, рассчитываемым согласно формуле по пункту 50 Правил недискриминационного доступа.</w:t>
      </w:r>
    </w:p>
    <w:p w:rsidR="00C62E6B" w:rsidRDefault="00C62E6B" w:rsidP="00116BD6">
      <w:pPr>
        <w:ind w:firstLine="567"/>
        <w:contextualSpacing/>
        <w:jc w:val="both"/>
        <w:rPr>
          <w:rFonts w:eastAsia="Calibri"/>
          <w:bCs/>
          <w:sz w:val="24"/>
          <w:szCs w:val="24"/>
        </w:rPr>
      </w:pPr>
      <w:r>
        <w:rPr>
          <w:rFonts w:eastAsia="Calibri"/>
          <w:bCs/>
          <w:sz w:val="24"/>
          <w:szCs w:val="24"/>
        </w:rPr>
        <w:t>При этом объем потерь в соответствии с действующим законодательством в данном случае должен определяться на основании установленного для ТСО норматива потерь на долгосрочный период регулирования, вне зависимости от изменения в течение долгосрочного периода регулирования состава объектов ЭСХ.</w:t>
      </w:r>
    </w:p>
    <w:p w:rsidR="00C62E6B" w:rsidRDefault="00C62E6B" w:rsidP="00116BD6">
      <w:pPr>
        <w:ind w:firstLine="567"/>
        <w:contextualSpacing/>
        <w:jc w:val="both"/>
        <w:rPr>
          <w:rFonts w:eastAsia="Calibri"/>
          <w:bCs/>
          <w:sz w:val="24"/>
          <w:szCs w:val="24"/>
        </w:rPr>
      </w:pPr>
      <w:r>
        <w:rPr>
          <w:rFonts w:eastAsia="Calibri"/>
          <w:bCs/>
          <w:sz w:val="24"/>
          <w:szCs w:val="24"/>
        </w:rPr>
        <w:t xml:space="preserve">Таким образом, отсутствие просуженных со стороны филиала «Ивэнерго» претензий к Ивановскому филиалу АО «ЭнергосбыТ Плюс» по неоплате за июнь-декабрь 2019 года и 2020 год услуг по передаче электрической энергии (мощности) свидетельствует о бездействии филиала «Ивэнерго», и данные выпадающие доходы расцениваются Экспертной группой как выпадающие доходы </w:t>
      </w:r>
      <w:r>
        <w:rPr>
          <w:rFonts w:eastAsia="Calibri"/>
          <w:bCs/>
          <w:sz w:val="24"/>
          <w:szCs w:val="24"/>
          <w:u w:val="single"/>
        </w:rPr>
        <w:t>по зависящим от регулируемой организации причинам</w:t>
      </w:r>
      <w:r>
        <w:rPr>
          <w:rFonts w:eastAsia="Calibri"/>
          <w:bCs/>
          <w:sz w:val="24"/>
          <w:szCs w:val="24"/>
        </w:rPr>
        <w:t>, которые в соответствии с действующим законодательством, в том числе пунктом 7 Основ ценообразования и Методическими указаниями № 98-э, являются экономически необоснованными и не могут быть учтены при установлении НВВ (в рамках соблюдения баланса интересов Экспертная группа отмечает, что конечные потребители не должны оплачивать убытки организации, возникшие по зависящим от нее причинам).</w:t>
      </w:r>
    </w:p>
    <w:p w:rsidR="00C62E6B" w:rsidRDefault="00C62E6B" w:rsidP="00116BD6">
      <w:pPr>
        <w:ind w:firstLine="567"/>
        <w:contextualSpacing/>
        <w:jc w:val="both"/>
        <w:rPr>
          <w:rFonts w:eastAsia="Calibri"/>
          <w:b/>
          <w:bCs/>
          <w:i/>
          <w:sz w:val="24"/>
          <w:szCs w:val="24"/>
        </w:rPr>
      </w:pPr>
      <w:r>
        <w:rPr>
          <w:rFonts w:eastAsia="Calibri"/>
          <w:b/>
          <w:bCs/>
          <w:i/>
          <w:sz w:val="24"/>
          <w:szCs w:val="24"/>
        </w:rPr>
        <w:t>5.2.</w:t>
      </w:r>
      <w:r>
        <w:rPr>
          <w:rFonts w:eastAsia="Calibri"/>
          <w:bCs/>
          <w:sz w:val="24"/>
          <w:szCs w:val="24"/>
        </w:rPr>
        <w:t xml:space="preserve"> </w:t>
      </w:r>
      <w:r>
        <w:rPr>
          <w:rFonts w:eastAsia="Calibri"/>
          <w:b/>
          <w:bCs/>
          <w:i/>
          <w:sz w:val="24"/>
          <w:szCs w:val="24"/>
        </w:rPr>
        <w:t>В отношении фактических объемов потребления электроэнергии за 2023 год потребителями, относимыми Департаментом к небытовым.</w:t>
      </w:r>
    </w:p>
    <w:p w:rsidR="00C62E6B" w:rsidRDefault="00C62E6B" w:rsidP="00116BD6">
      <w:pPr>
        <w:ind w:firstLine="567"/>
        <w:contextualSpacing/>
        <w:jc w:val="both"/>
        <w:rPr>
          <w:rFonts w:eastAsia="Calibri"/>
          <w:bCs/>
          <w:sz w:val="24"/>
          <w:szCs w:val="24"/>
        </w:rPr>
      </w:pPr>
      <w:r>
        <w:rPr>
          <w:rFonts w:eastAsia="Calibri"/>
          <w:bCs/>
          <w:sz w:val="24"/>
          <w:szCs w:val="24"/>
        </w:rPr>
        <w:t>Рассмотрев «Информацию о фактических объемах потребления электроэнергии за 2023 год в части потребителей, относимых Департаментом энергетики и тарифов Ивановской области к небытовым», филиал «Ивэнерго» отмечает следующее.</w:t>
      </w:r>
    </w:p>
    <w:p w:rsidR="00C62E6B" w:rsidRDefault="00C62E6B" w:rsidP="00116BD6">
      <w:pPr>
        <w:ind w:firstLine="567"/>
        <w:contextualSpacing/>
        <w:jc w:val="both"/>
        <w:rPr>
          <w:rFonts w:eastAsia="Calibri"/>
          <w:bCs/>
          <w:sz w:val="24"/>
          <w:szCs w:val="24"/>
        </w:rPr>
      </w:pPr>
      <w:r>
        <w:rPr>
          <w:rFonts w:eastAsia="Calibri"/>
          <w:bCs/>
          <w:sz w:val="24"/>
          <w:szCs w:val="24"/>
        </w:rPr>
        <w:t>1. Мероприятия по выявлению и применению тарифа на услуги по передаче электроэнергии для группы «прочие потребители» в отношении потребителей-граждан, владеющих коммунально-бытовыми объектами и использующих их для ведения предпринимательской деятельности, проводятся персоналом филиала «Ивэнерго» начиная с 2019 года.</w:t>
      </w:r>
    </w:p>
    <w:p w:rsidR="00C62E6B" w:rsidRDefault="00C62E6B" w:rsidP="00116BD6">
      <w:pPr>
        <w:ind w:firstLine="567"/>
        <w:contextualSpacing/>
        <w:jc w:val="both"/>
        <w:rPr>
          <w:rFonts w:eastAsia="Calibri"/>
          <w:bCs/>
          <w:sz w:val="24"/>
          <w:szCs w:val="24"/>
        </w:rPr>
      </w:pPr>
      <w:r>
        <w:rPr>
          <w:rFonts w:eastAsia="Calibri"/>
          <w:bCs/>
          <w:sz w:val="24"/>
          <w:szCs w:val="24"/>
        </w:rPr>
        <w:t>2. Перечень потребителей-граждан, использующих принадлежащие им энергопринимающие устройства для ведения предпринимательской деятельности и оплачивающие потребленную электроэнергию по тарифу «население и приравненные к нему категории потребителей» ведется на постоянной основе.</w:t>
      </w:r>
    </w:p>
    <w:p w:rsidR="00C62E6B" w:rsidRDefault="00C62E6B" w:rsidP="00116BD6">
      <w:pPr>
        <w:ind w:firstLine="567"/>
        <w:contextualSpacing/>
        <w:jc w:val="both"/>
        <w:rPr>
          <w:rFonts w:eastAsia="Calibri"/>
          <w:bCs/>
          <w:sz w:val="24"/>
          <w:szCs w:val="24"/>
        </w:rPr>
      </w:pPr>
      <w:r>
        <w:rPr>
          <w:rFonts w:eastAsia="Calibri"/>
          <w:bCs/>
          <w:sz w:val="24"/>
          <w:szCs w:val="24"/>
        </w:rPr>
        <w:t>3. В случаях выявления потребителя-гражданина, владеющего жилым домом и использующего в нем электрическую энергию для осуществления предпринимательской деятельности, уполномоченный персонал РЭС обеспечивает сбор информации, подтверждающей данный факт. При этом, в качестве доказательств используются (в том числе не ограничиваясь):</w:t>
      </w:r>
    </w:p>
    <w:p w:rsidR="00C62E6B" w:rsidRDefault="00C62E6B" w:rsidP="00116BD6">
      <w:pPr>
        <w:ind w:firstLine="567"/>
        <w:contextualSpacing/>
        <w:jc w:val="both"/>
        <w:rPr>
          <w:rFonts w:eastAsia="Calibri"/>
          <w:bCs/>
          <w:sz w:val="24"/>
          <w:szCs w:val="24"/>
        </w:rPr>
      </w:pPr>
      <w:r>
        <w:rPr>
          <w:rFonts w:eastAsia="Calibri"/>
          <w:bCs/>
          <w:sz w:val="24"/>
          <w:szCs w:val="24"/>
        </w:rPr>
        <w:t xml:space="preserve">- ссылки на размещенные в открытом доступе в информационно – коммуникационной сети «Интернет» сведения о функционировании по соответствующему адресу, например, отеля (гостиничные услуги) с данными о стоимости номеров, дополнительных услугах, порядке </w:t>
      </w:r>
      <w:r>
        <w:rPr>
          <w:rFonts w:eastAsia="Calibri"/>
          <w:bCs/>
          <w:sz w:val="24"/>
          <w:szCs w:val="24"/>
        </w:rPr>
        <w:lastRenderedPageBreak/>
        <w:t>размещения, отзывы посетителей, ответы отельера и др.;</w:t>
      </w:r>
    </w:p>
    <w:p w:rsidR="00C62E6B" w:rsidRDefault="00C62E6B" w:rsidP="00116BD6">
      <w:pPr>
        <w:ind w:firstLine="567"/>
        <w:contextualSpacing/>
        <w:jc w:val="both"/>
        <w:rPr>
          <w:rFonts w:eastAsia="Calibri"/>
          <w:bCs/>
          <w:sz w:val="24"/>
          <w:szCs w:val="24"/>
        </w:rPr>
      </w:pPr>
      <w:r>
        <w:rPr>
          <w:rFonts w:eastAsia="Calibri"/>
          <w:bCs/>
          <w:sz w:val="24"/>
          <w:szCs w:val="24"/>
        </w:rPr>
        <w:t>- ссылки на размещенные в открытом доступе в информационно – коммуникационной сети «Интернет» сайты для поиска и бронировании по соответствующему адресу номеров в отеле, гостевых домов (гостиничные услуги) с данными о датах заезда и количестве отдыхающих;</w:t>
      </w:r>
    </w:p>
    <w:p w:rsidR="00C62E6B" w:rsidRDefault="00C62E6B" w:rsidP="00116BD6">
      <w:pPr>
        <w:ind w:firstLine="567"/>
        <w:contextualSpacing/>
        <w:jc w:val="both"/>
        <w:rPr>
          <w:rFonts w:eastAsia="Calibri"/>
          <w:bCs/>
          <w:sz w:val="24"/>
          <w:szCs w:val="24"/>
        </w:rPr>
      </w:pPr>
      <w:r>
        <w:rPr>
          <w:rFonts w:eastAsia="Calibri"/>
          <w:bCs/>
          <w:sz w:val="24"/>
          <w:szCs w:val="24"/>
        </w:rPr>
        <w:t>- фотографии щитов, вывесок, размещенных вдоль подъездных путей (дорог) и/или на жилом доме (в его непосредственной близости) и рекламирующих продажу товаров (оказание услуг);</w:t>
      </w:r>
    </w:p>
    <w:p w:rsidR="00C62E6B" w:rsidRDefault="00C62E6B" w:rsidP="00116BD6">
      <w:pPr>
        <w:ind w:firstLine="567"/>
        <w:contextualSpacing/>
        <w:jc w:val="both"/>
        <w:rPr>
          <w:rFonts w:eastAsia="Calibri"/>
          <w:bCs/>
          <w:sz w:val="24"/>
          <w:szCs w:val="24"/>
        </w:rPr>
      </w:pPr>
      <w:r>
        <w:rPr>
          <w:rFonts w:eastAsia="Calibri"/>
          <w:bCs/>
          <w:sz w:val="24"/>
          <w:szCs w:val="24"/>
        </w:rPr>
        <w:t xml:space="preserve">- кассовые, товарные чеки, подтверждающие реализацию товаров или оказание услуг. </w:t>
      </w:r>
    </w:p>
    <w:p w:rsidR="00C62E6B" w:rsidRDefault="00C62E6B" w:rsidP="00116BD6">
      <w:pPr>
        <w:ind w:firstLine="567"/>
        <w:contextualSpacing/>
        <w:jc w:val="both"/>
        <w:rPr>
          <w:rFonts w:eastAsia="Calibri"/>
          <w:bCs/>
          <w:sz w:val="24"/>
          <w:szCs w:val="24"/>
        </w:rPr>
      </w:pPr>
      <w:r>
        <w:rPr>
          <w:rFonts w:eastAsia="Calibri"/>
          <w:bCs/>
          <w:sz w:val="24"/>
          <w:szCs w:val="24"/>
        </w:rPr>
        <w:t>4. В качестве дополнительных доказательств совместно с главой сельского поселения соответствующего муниципального района оформляется Акт, подтверждающий использование потребителем-гражданином, проживающим в жилом доме, электроэнергию для осуществления по месту расположения дома предпринимательской деятельности. Для оформления Акта письменно приглашаются: потребитель; представитель энергосбытовой компании (далее – ЭСК), с которой потребитель – гражданин имеет договорные отношения и осуществляет расчеты за потребленную электроэнергию; уполномоченный представитель соответствующего сельского поселения. При этом соответствующий Акт составляется в четырех экземплярах: один – для «Ивэнерго», один – для сельского поселения, один – для ЭСК, один – для потребителя.</w:t>
      </w:r>
    </w:p>
    <w:p w:rsidR="00C62E6B" w:rsidRDefault="00C62E6B" w:rsidP="00116BD6">
      <w:pPr>
        <w:ind w:firstLine="567"/>
        <w:contextualSpacing/>
        <w:jc w:val="both"/>
        <w:rPr>
          <w:rFonts w:eastAsia="Calibri"/>
          <w:bCs/>
          <w:sz w:val="24"/>
          <w:szCs w:val="24"/>
        </w:rPr>
      </w:pPr>
      <w:r>
        <w:rPr>
          <w:rFonts w:eastAsia="Calibri"/>
          <w:bCs/>
          <w:sz w:val="24"/>
          <w:szCs w:val="24"/>
        </w:rPr>
        <w:t>5. В связи с отсутствием добровольного перехода на оплату по тарифу на услуги по передаче электроэнергии для группы «прочие потребители» и отказом гарантирующего поставщика (прилагается), для создания прецедента, филиал «Ивэнерго» инициировал урегулирование спорной ситуации по базе отдыха «Якимиха» (Юрьевецкий район) в судебном порядке. Однако, несмотря на наличие дорожных указателей (прилагается), интернет-сайта (прилагается), свидетельских показаний Главы сельской администрации (прилагается), суд встал на сторону потребителей-граждан (прилагается) по причине:</w:t>
      </w:r>
    </w:p>
    <w:p w:rsidR="00C62E6B" w:rsidRDefault="00C62E6B" w:rsidP="00116BD6">
      <w:pPr>
        <w:ind w:firstLine="567"/>
        <w:contextualSpacing/>
        <w:jc w:val="both"/>
        <w:rPr>
          <w:rFonts w:eastAsia="Calibri"/>
          <w:bCs/>
          <w:sz w:val="24"/>
          <w:szCs w:val="24"/>
        </w:rPr>
      </w:pPr>
      <w:r>
        <w:rPr>
          <w:rFonts w:eastAsia="Calibri"/>
          <w:bCs/>
          <w:sz w:val="24"/>
          <w:szCs w:val="24"/>
        </w:rPr>
        <w:t>- наличия у объектов предпринимательской деятельности статуса «жилые дома» с прописанными в них детьми (в нежилые здания перевод не производился);</w:t>
      </w:r>
    </w:p>
    <w:p w:rsidR="00C62E6B" w:rsidRDefault="00C62E6B" w:rsidP="00116BD6">
      <w:pPr>
        <w:ind w:firstLine="567"/>
        <w:contextualSpacing/>
        <w:jc w:val="both"/>
        <w:rPr>
          <w:rFonts w:eastAsia="Calibri"/>
          <w:bCs/>
          <w:sz w:val="24"/>
          <w:szCs w:val="24"/>
        </w:rPr>
      </w:pPr>
      <w:r>
        <w:rPr>
          <w:rFonts w:eastAsia="Calibri"/>
          <w:bCs/>
          <w:sz w:val="24"/>
          <w:szCs w:val="24"/>
        </w:rPr>
        <w:t>- отсутствия у владельцев объектов предпринимательской деятельности регистрации в качестве индивидуальных предпринимателей;</w:t>
      </w:r>
    </w:p>
    <w:p w:rsidR="00C62E6B" w:rsidRDefault="00C62E6B" w:rsidP="00116BD6">
      <w:pPr>
        <w:ind w:firstLine="567"/>
        <w:contextualSpacing/>
        <w:jc w:val="both"/>
        <w:rPr>
          <w:rFonts w:eastAsia="Calibri"/>
          <w:bCs/>
          <w:sz w:val="24"/>
          <w:szCs w:val="24"/>
        </w:rPr>
      </w:pPr>
      <w:r>
        <w:rPr>
          <w:rFonts w:eastAsia="Calibri"/>
          <w:bCs/>
          <w:sz w:val="24"/>
          <w:szCs w:val="24"/>
        </w:rPr>
        <w:t>- не принятия судом информации с сайта (реклама, прайс, отзывы и др.), так как «отсутствует возможность их проверки на предмет достоверности».</w:t>
      </w:r>
    </w:p>
    <w:p w:rsidR="00C62E6B" w:rsidRDefault="00C62E6B" w:rsidP="00116BD6">
      <w:pPr>
        <w:ind w:firstLine="567"/>
        <w:contextualSpacing/>
        <w:jc w:val="both"/>
        <w:rPr>
          <w:rFonts w:eastAsia="Calibri"/>
          <w:bCs/>
          <w:sz w:val="24"/>
          <w:szCs w:val="24"/>
        </w:rPr>
      </w:pPr>
      <w:r>
        <w:rPr>
          <w:rFonts w:eastAsia="Calibri"/>
          <w:bCs/>
          <w:sz w:val="24"/>
          <w:szCs w:val="24"/>
        </w:rPr>
        <w:t>6. Несмотря на неоднократные переговоры и встречи, до настоящего времени гарантирующий поставщик – Ивановский филиал АО «ЭнергосбыТ Плюс» не согласовал предложения филиала «Ивэнерго» по порядку внесения изменений в договоры энергоснабжения граждан даже при добровольном «переходе» потребителей на «другой» тариф.</w:t>
      </w:r>
    </w:p>
    <w:p w:rsidR="00C62E6B" w:rsidRDefault="00C62E6B" w:rsidP="00116BD6">
      <w:pPr>
        <w:ind w:firstLine="567"/>
        <w:contextualSpacing/>
        <w:jc w:val="both"/>
        <w:rPr>
          <w:rFonts w:eastAsia="Calibri"/>
          <w:bCs/>
          <w:sz w:val="24"/>
          <w:szCs w:val="24"/>
        </w:rPr>
      </w:pPr>
      <w:r>
        <w:rPr>
          <w:rFonts w:eastAsia="Calibri"/>
          <w:bCs/>
          <w:sz w:val="24"/>
          <w:szCs w:val="24"/>
        </w:rPr>
        <w:t>7. Учитывая, что филиал «Ивэнерго» не является ресурсоснабжающей организацией, не имеет договорных отношений по энергоснабжению с потребителями, решение вопросов по переходу потребителей-граждан на тариф «прочие потребители» без активного участия гарантирующего поставщика АО «ЭнергосбыТ Плюс» не представляется возможным.</w:t>
      </w:r>
    </w:p>
    <w:p w:rsidR="00C62E6B" w:rsidRDefault="00C62E6B" w:rsidP="00116BD6">
      <w:pPr>
        <w:ind w:firstLine="567"/>
        <w:contextualSpacing/>
        <w:jc w:val="both"/>
        <w:rPr>
          <w:rFonts w:eastAsia="Calibri"/>
          <w:bCs/>
          <w:sz w:val="24"/>
          <w:szCs w:val="24"/>
        </w:rPr>
      </w:pPr>
      <w:r>
        <w:rPr>
          <w:rFonts w:eastAsia="Calibri"/>
          <w:bCs/>
          <w:sz w:val="24"/>
          <w:szCs w:val="24"/>
        </w:rPr>
        <w:t xml:space="preserve">8. По объекту «Заволжский р-н, д. </w:t>
      </w:r>
      <w:proofErr w:type="spellStart"/>
      <w:r>
        <w:rPr>
          <w:rFonts w:eastAsia="Calibri"/>
          <w:bCs/>
          <w:sz w:val="24"/>
          <w:szCs w:val="24"/>
        </w:rPr>
        <w:t>Стёпаново</w:t>
      </w:r>
      <w:proofErr w:type="spellEnd"/>
      <w:r>
        <w:rPr>
          <w:rFonts w:eastAsia="Calibri"/>
          <w:bCs/>
          <w:sz w:val="24"/>
          <w:szCs w:val="24"/>
        </w:rPr>
        <w:t xml:space="preserve">, д. 36-А» расчеты ведутся с ООО «Кантри </w:t>
      </w:r>
      <w:proofErr w:type="spellStart"/>
      <w:r>
        <w:rPr>
          <w:rFonts w:eastAsia="Calibri"/>
          <w:bCs/>
          <w:sz w:val="24"/>
          <w:szCs w:val="24"/>
        </w:rPr>
        <w:t>Хоум</w:t>
      </w:r>
      <w:proofErr w:type="spellEnd"/>
      <w:r>
        <w:rPr>
          <w:rFonts w:eastAsia="Calibri"/>
          <w:bCs/>
          <w:sz w:val="24"/>
          <w:szCs w:val="24"/>
        </w:rPr>
        <w:t xml:space="preserve">», как с юридическим лицом по тарифу «прочие потребители». Из-под прибора учета ООО «Кантри </w:t>
      </w:r>
      <w:proofErr w:type="spellStart"/>
      <w:r>
        <w:rPr>
          <w:rFonts w:eastAsia="Calibri"/>
          <w:bCs/>
          <w:sz w:val="24"/>
          <w:szCs w:val="24"/>
        </w:rPr>
        <w:t>Хоум</w:t>
      </w:r>
      <w:proofErr w:type="spellEnd"/>
      <w:r>
        <w:rPr>
          <w:rFonts w:eastAsia="Calibri"/>
          <w:bCs/>
          <w:sz w:val="24"/>
          <w:szCs w:val="24"/>
        </w:rPr>
        <w:t xml:space="preserve">» запитан расположенный по указанному адресу жилой дом, принадлежащий гр. </w:t>
      </w:r>
      <w:proofErr w:type="spellStart"/>
      <w:r>
        <w:rPr>
          <w:rFonts w:eastAsia="Calibri"/>
          <w:bCs/>
          <w:sz w:val="24"/>
          <w:szCs w:val="24"/>
        </w:rPr>
        <w:t>Шинкову</w:t>
      </w:r>
      <w:proofErr w:type="spellEnd"/>
      <w:r>
        <w:rPr>
          <w:rFonts w:eastAsia="Calibri"/>
          <w:bCs/>
          <w:sz w:val="24"/>
          <w:szCs w:val="24"/>
        </w:rPr>
        <w:t xml:space="preserve"> М.Г. Расчеты ведутся в рамках надлежащего технологического присоединения (Акт от 15.08.2022 прилагается).</w:t>
      </w:r>
    </w:p>
    <w:p w:rsidR="00C62E6B" w:rsidRDefault="00C62E6B" w:rsidP="00116BD6">
      <w:pPr>
        <w:ind w:firstLine="567"/>
        <w:contextualSpacing/>
        <w:jc w:val="both"/>
        <w:rPr>
          <w:rFonts w:eastAsia="Calibri"/>
          <w:bCs/>
          <w:sz w:val="24"/>
          <w:szCs w:val="24"/>
        </w:rPr>
      </w:pPr>
      <w:r>
        <w:rPr>
          <w:rFonts w:eastAsia="Calibri"/>
          <w:bCs/>
          <w:sz w:val="24"/>
          <w:szCs w:val="24"/>
        </w:rPr>
        <w:t>С учетом вышеизложенного, выражаем несогласие с «односторонним» подходом Департамента к расчету выпадающих доход филиала «Ивэнерго», в части выявления и пресечения «небытового потребления».</w:t>
      </w:r>
    </w:p>
    <w:p w:rsidR="00C62E6B" w:rsidRDefault="00C62E6B" w:rsidP="00116BD6">
      <w:pPr>
        <w:ind w:firstLine="567"/>
        <w:contextualSpacing/>
        <w:jc w:val="both"/>
        <w:rPr>
          <w:rFonts w:eastAsia="Calibri"/>
          <w:bCs/>
          <w:sz w:val="24"/>
          <w:szCs w:val="24"/>
        </w:rPr>
      </w:pPr>
      <w:r>
        <w:rPr>
          <w:rFonts w:eastAsia="Calibri"/>
          <w:bCs/>
          <w:sz w:val="24"/>
          <w:szCs w:val="24"/>
        </w:rPr>
        <w:t xml:space="preserve">Департамент отмечает, что объем недополученной выручки филиала «Ивэнерго» по зависящим от организации причинам в части выявленного небытового потребления по факту 2023 года определен Департаментом в размере 3 114,59 тыс. руб. В результате проведенного Департаментом анализа фактических объемов потребления населением за 2023 год (информация, предоставленная гарантирующим поставщиком Ивановский филиал АО «ЭнергосбыТ Плюс»), а также информации из открытых источников было установлено, что по ряду лицевых счетов имеют место факты небытового потребления. </w:t>
      </w:r>
    </w:p>
    <w:p w:rsidR="00C62E6B" w:rsidRDefault="00C62E6B" w:rsidP="00116BD6">
      <w:pPr>
        <w:ind w:firstLine="567"/>
        <w:contextualSpacing/>
        <w:jc w:val="both"/>
        <w:rPr>
          <w:rFonts w:eastAsia="Calibri"/>
          <w:bCs/>
          <w:sz w:val="24"/>
          <w:szCs w:val="24"/>
        </w:rPr>
      </w:pPr>
      <w:r>
        <w:rPr>
          <w:rFonts w:eastAsia="Calibri"/>
          <w:bCs/>
          <w:sz w:val="24"/>
          <w:szCs w:val="24"/>
        </w:rPr>
        <w:t xml:space="preserve">Исходя из фактических объемов потребления за 2023 год по таким лицевым счетам и разницы в единых (котловых) тарифах на услуги по передаче электрической энергии, </w:t>
      </w:r>
      <w:r>
        <w:rPr>
          <w:rFonts w:eastAsia="Calibri"/>
          <w:bCs/>
          <w:sz w:val="24"/>
          <w:szCs w:val="24"/>
        </w:rPr>
        <w:lastRenderedPageBreak/>
        <w:t>установленных для сельского/городского населения и прочих потребителей на 2023 год, Департаментом была рассчитана величина выпадающих доходов по зависящим от регулируемой организации причинам в сумме 3 114,59 тыс. руб., которые в соответствии с действующим законодательством, в том числе пунктом 7 Основ ценообразования и Методическими указаниями № 98-э, являются экономически не обоснованными и не могут быть учтены при установлении НВВ (в рамках соблюдения баланса интересов Экспертная группа отмечает, что конечные потребители не должны оплачивать убытки организации, возникшие по зависящим от нее причинам).</w:t>
      </w:r>
    </w:p>
    <w:p w:rsidR="00C62E6B" w:rsidRDefault="00C62E6B" w:rsidP="00116BD6">
      <w:pPr>
        <w:ind w:firstLine="567"/>
        <w:contextualSpacing/>
        <w:jc w:val="both"/>
        <w:rPr>
          <w:rFonts w:eastAsia="Calibri"/>
          <w:b/>
          <w:bCs/>
          <w:i/>
          <w:sz w:val="24"/>
          <w:szCs w:val="24"/>
        </w:rPr>
      </w:pPr>
      <w:r>
        <w:rPr>
          <w:rFonts w:eastAsia="Calibri"/>
          <w:b/>
          <w:bCs/>
          <w:i/>
          <w:sz w:val="24"/>
          <w:szCs w:val="24"/>
        </w:rPr>
        <w:t>5.3. В отношении потребителей п. Мугреевский Бор.</w:t>
      </w:r>
    </w:p>
    <w:p w:rsidR="00C62E6B" w:rsidRDefault="00C62E6B" w:rsidP="00116BD6">
      <w:pPr>
        <w:ind w:firstLine="567"/>
        <w:contextualSpacing/>
        <w:jc w:val="both"/>
        <w:rPr>
          <w:rFonts w:eastAsia="Calibri"/>
          <w:bCs/>
          <w:sz w:val="24"/>
          <w:szCs w:val="24"/>
        </w:rPr>
      </w:pPr>
      <w:r>
        <w:rPr>
          <w:rFonts w:eastAsia="Calibri"/>
          <w:bCs/>
          <w:sz w:val="24"/>
          <w:szCs w:val="24"/>
        </w:rPr>
        <w:t>Начиная с 2021 года филиал ПАО «Россети Центр и Приволжье» - «Ивэнерго» проводил мероприятия, направленные на приемку на свой баланс объектов электросетевого хозяйства, эксплуатируемых филиалом ПАО «Россети Центр и Приволжье» - «Нижновэнерго» (участок ВЛ-6 кВ фид. 607 ПС «Фролищи»; КТП-245; КТП-241 и ВЛ-0,4 кВ), к которым присоединены энергопринимающие устройства потребителей пос. Мугреевский Бор Пестяковского района Ивановской области (далее - ОЭСХ).</w:t>
      </w:r>
    </w:p>
    <w:p w:rsidR="00C62E6B" w:rsidRDefault="00C62E6B" w:rsidP="00116BD6">
      <w:pPr>
        <w:ind w:firstLine="567"/>
        <w:contextualSpacing/>
        <w:jc w:val="both"/>
        <w:rPr>
          <w:rFonts w:eastAsia="Calibri"/>
          <w:bCs/>
          <w:sz w:val="24"/>
          <w:szCs w:val="24"/>
        </w:rPr>
      </w:pPr>
      <w:r>
        <w:rPr>
          <w:rFonts w:eastAsia="Calibri"/>
          <w:bCs/>
          <w:sz w:val="24"/>
          <w:szCs w:val="24"/>
        </w:rPr>
        <w:t xml:space="preserve">На протяжении 2022-2023 годов филиал «Ивэнерго» неоднократно обращался в филиал «Нижновэнерго» по вопросам реализации достигнутых договоренностей и сроков передачи ОЭСХ п. Мугреевский Бор. </w:t>
      </w:r>
    </w:p>
    <w:p w:rsidR="00C62E6B" w:rsidRDefault="00C62E6B" w:rsidP="00116BD6">
      <w:pPr>
        <w:ind w:firstLine="567"/>
        <w:contextualSpacing/>
        <w:jc w:val="both"/>
        <w:rPr>
          <w:rFonts w:eastAsia="Calibri"/>
          <w:bCs/>
          <w:sz w:val="24"/>
          <w:szCs w:val="24"/>
        </w:rPr>
      </w:pPr>
      <w:r>
        <w:rPr>
          <w:rFonts w:eastAsia="Calibri"/>
          <w:bCs/>
          <w:sz w:val="24"/>
          <w:szCs w:val="24"/>
        </w:rPr>
        <w:t xml:space="preserve">Учитывая вышеизложенное, а также тот факт, что точки поставки по потребителям, энергопринимающие устройства которых расположены в п. Мугреевский Бор, в 2022-2023 годах не были включены в договор оказания услуг по передаче электрической энергии с гарантирующим поставщиком АО «ЭнергосбыТ Плюс» (Ивановский филиал), филиал «Ивэнерго» не оказывал услуги по передаче электрической энергии потребителям п. Мугреевский Бор и, как следствие, не имел правовых оснований на получение соответствующей выручки.  </w:t>
      </w:r>
    </w:p>
    <w:p w:rsidR="00C62E6B" w:rsidRDefault="00C62E6B" w:rsidP="00116BD6">
      <w:pPr>
        <w:ind w:firstLine="567"/>
        <w:contextualSpacing/>
        <w:jc w:val="both"/>
        <w:rPr>
          <w:rFonts w:eastAsia="Calibri"/>
          <w:bCs/>
          <w:sz w:val="24"/>
          <w:szCs w:val="24"/>
        </w:rPr>
      </w:pPr>
      <w:r>
        <w:rPr>
          <w:rFonts w:eastAsia="Calibri"/>
          <w:bCs/>
          <w:sz w:val="24"/>
          <w:szCs w:val="24"/>
        </w:rPr>
        <w:t>29.09.2023г. по инициативе филиала «Ивэнерго», несмотря на нарушение условий приема - передачи ОЭСХ филиалом «Нижновэнерго», соответствующие акты были оформлены (прилагаются), объекты приняты в зону эксплуатационной ответственности филиала «Ивэнерго».</w:t>
      </w:r>
    </w:p>
    <w:p w:rsidR="00C62E6B" w:rsidRDefault="00C62E6B" w:rsidP="00116BD6">
      <w:pPr>
        <w:ind w:firstLine="567"/>
        <w:contextualSpacing/>
        <w:jc w:val="both"/>
        <w:rPr>
          <w:rFonts w:eastAsia="Calibri"/>
          <w:bCs/>
          <w:sz w:val="24"/>
          <w:szCs w:val="24"/>
        </w:rPr>
      </w:pPr>
      <w:r>
        <w:rPr>
          <w:rFonts w:eastAsia="Calibri"/>
          <w:bCs/>
          <w:sz w:val="24"/>
          <w:szCs w:val="24"/>
        </w:rPr>
        <w:t xml:space="preserve">Таким образом, неполучение филиалом «Ивэнерго» в период с января по сентябрь 2023 года выручки от услуг по передаче электроэнергии, оказанных потребителям, энергопринимающие устройства которых расположены в </w:t>
      </w:r>
      <w:proofErr w:type="spellStart"/>
      <w:r>
        <w:rPr>
          <w:rFonts w:eastAsia="Calibri"/>
          <w:bCs/>
          <w:sz w:val="24"/>
          <w:szCs w:val="24"/>
        </w:rPr>
        <w:t>п.Мугреевский</w:t>
      </w:r>
      <w:proofErr w:type="spellEnd"/>
      <w:r>
        <w:rPr>
          <w:rFonts w:eastAsia="Calibri"/>
          <w:bCs/>
          <w:sz w:val="24"/>
          <w:szCs w:val="24"/>
        </w:rPr>
        <w:t xml:space="preserve"> Бор Пестяковского района Ивановской области имело место по независящим от филиала «Ивэнерго» причинам.</w:t>
      </w:r>
    </w:p>
    <w:p w:rsidR="00C62E6B" w:rsidRDefault="00C62E6B" w:rsidP="00116BD6">
      <w:pPr>
        <w:ind w:firstLine="567"/>
        <w:contextualSpacing/>
        <w:jc w:val="both"/>
        <w:rPr>
          <w:rFonts w:eastAsia="Calibri"/>
          <w:bCs/>
          <w:sz w:val="24"/>
          <w:szCs w:val="24"/>
        </w:rPr>
      </w:pPr>
      <w:proofErr w:type="gramStart"/>
      <w:r>
        <w:rPr>
          <w:rFonts w:eastAsia="Calibri"/>
          <w:bCs/>
          <w:sz w:val="24"/>
          <w:szCs w:val="24"/>
        </w:rPr>
        <w:t xml:space="preserve">Департамент отмечает, что объем недополученной выручки филиала «Ивэнерго» </w:t>
      </w:r>
      <w:r>
        <w:rPr>
          <w:rFonts w:eastAsia="Calibri"/>
          <w:bCs/>
          <w:sz w:val="24"/>
          <w:szCs w:val="24"/>
          <w:u w:val="single"/>
        </w:rPr>
        <w:t>по зависящим от организации причинам</w:t>
      </w:r>
      <w:r>
        <w:rPr>
          <w:rFonts w:eastAsia="Calibri"/>
          <w:bCs/>
          <w:sz w:val="24"/>
          <w:szCs w:val="24"/>
        </w:rPr>
        <w:t xml:space="preserve"> в части объемов потребления электрической энергии за январь-сентябрь 2023 года, отпускаемой потребителям, проживающим (расположенным) в поселке Мугреевский Бор Пестяковского района Ивановской области, который до </w:t>
      </w:r>
      <w:hyperlink r:id="rId25" w:tooltip="2008 год" w:history="1">
        <w:r>
          <w:rPr>
            <w:rStyle w:val="ac"/>
            <w:rFonts w:eastAsia="Calibri"/>
            <w:bCs/>
            <w:sz w:val="24"/>
            <w:szCs w:val="24"/>
          </w:rPr>
          <w:t>2008 года</w:t>
        </w:r>
      </w:hyperlink>
      <w:r>
        <w:rPr>
          <w:rFonts w:eastAsia="Calibri"/>
          <w:bCs/>
          <w:sz w:val="24"/>
          <w:szCs w:val="24"/>
        </w:rPr>
        <w:t> административно входил в состав городского поселения рабочий поселок </w:t>
      </w:r>
      <w:hyperlink r:id="rId26" w:tooltip="Фролищи" w:history="1">
        <w:r>
          <w:rPr>
            <w:rStyle w:val="ac"/>
            <w:rFonts w:eastAsia="Calibri"/>
            <w:bCs/>
            <w:sz w:val="24"/>
            <w:szCs w:val="24"/>
          </w:rPr>
          <w:t>Фролищи</w:t>
        </w:r>
      </w:hyperlink>
      <w:r>
        <w:rPr>
          <w:rFonts w:eastAsia="Calibri"/>
          <w:bCs/>
          <w:sz w:val="24"/>
          <w:szCs w:val="24"/>
        </w:rPr>
        <w:t> </w:t>
      </w:r>
      <w:hyperlink r:id="rId27" w:tooltip="Володарский район Нижегородской области" w:history="1">
        <w:r>
          <w:rPr>
            <w:rStyle w:val="ac"/>
            <w:rFonts w:eastAsia="Calibri"/>
            <w:bCs/>
            <w:sz w:val="24"/>
            <w:szCs w:val="24"/>
          </w:rPr>
          <w:t>Володарского района</w:t>
        </w:r>
      </w:hyperlink>
      <w:r>
        <w:rPr>
          <w:rFonts w:eastAsia="Calibri"/>
          <w:bCs/>
          <w:sz w:val="24"/>
          <w:szCs w:val="24"/>
        </w:rPr>
        <w:t> Нижегородской области, а в начале </w:t>
      </w:r>
      <w:hyperlink r:id="rId28" w:tooltip="2008 год" w:history="1">
        <w:r>
          <w:rPr>
            <w:rStyle w:val="ac"/>
            <w:rFonts w:eastAsia="Calibri"/>
            <w:bCs/>
            <w:sz w:val="24"/>
            <w:szCs w:val="24"/>
          </w:rPr>
          <w:t>2008 года</w:t>
        </w:r>
      </w:hyperlink>
      <w:r>
        <w:rPr>
          <w:rFonts w:eastAsia="Calibri"/>
          <w:bCs/>
          <w:sz w:val="24"/>
          <w:szCs w:val="24"/>
        </w:rPr>
        <w:t> был административно переподчинен</w:t>
      </w:r>
      <w:proofErr w:type="gramEnd"/>
      <w:r>
        <w:rPr>
          <w:rFonts w:eastAsia="Calibri"/>
          <w:bCs/>
          <w:sz w:val="24"/>
          <w:szCs w:val="24"/>
        </w:rPr>
        <w:t> </w:t>
      </w:r>
      <w:hyperlink r:id="rId29" w:tooltip="Пестяковский район" w:history="1">
        <w:r>
          <w:rPr>
            <w:rStyle w:val="ac"/>
            <w:rFonts w:eastAsia="Calibri"/>
            <w:bCs/>
            <w:sz w:val="24"/>
            <w:szCs w:val="24"/>
          </w:rPr>
          <w:t>Пестяковскому району</w:t>
        </w:r>
      </w:hyperlink>
      <w:r>
        <w:rPr>
          <w:rFonts w:eastAsia="Calibri"/>
          <w:bCs/>
          <w:sz w:val="24"/>
          <w:szCs w:val="24"/>
        </w:rPr>
        <w:t> </w:t>
      </w:r>
      <w:hyperlink r:id="rId30" w:tooltip="Ивановская область" w:history="1">
        <w:r>
          <w:rPr>
            <w:rStyle w:val="ac"/>
            <w:rFonts w:eastAsia="Calibri"/>
            <w:bCs/>
            <w:sz w:val="24"/>
            <w:szCs w:val="24"/>
          </w:rPr>
          <w:t>Ивановской области</w:t>
        </w:r>
      </w:hyperlink>
      <w:r>
        <w:rPr>
          <w:rFonts w:eastAsia="Calibri"/>
          <w:bCs/>
          <w:sz w:val="24"/>
          <w:szCs w:val="24"/>
        </w:rPr>
        <w:t xml:space="preserve">, </w:t>
      </w:r>
      <w:proofErr w:type="gramStart"/>
      <w:r>
        <w:rPr>
          <w:rFonts w:eastAsia="Calibri"/>
          <w:bCs/>
          <w:sz w:val="24"/>
          <w:szCs w:val="24"/>
        </w:rPr>
        <w:t>определен</w:t>
      </w:r>
      <w:proofErr w:type="gramEnd"/>
      <w:r>
        <w:rPr>
          <w:rFonts w:eastAsia="Calibri"/>
          <w:bCs/>
          <w:sz w:val="24"/>
          <w:szCs w:val="24"/>
        </w:rPr>
        <w:t xml:space="preserve"> в размере 101,58 тыс. руб.</w:t>
      </w:r>
    </w:p>
    <w:p w:rsidR="00C62E6B" w:rsidRDefault="00C62E6B" w:rsidP="00116BD6">
      <w:pPr>
        <w:ind w:firstLine="567"/>
        <w:contextualSpacing/>
        <w:jc w:val="both"/>
        <w:rPr>
          <w:rFonts w:eastAsia="Calibri"/>
          <w:bCs/>
          <w:sz w:val="24"/>
          <w:szCs w:val="24"/>
        </w:rPr>
      </w:pPr>
      <w:r>
        <w:rPr>
          <w:rFonts w:eastAsia="Calibri"/>
          <w:bCs/>
          <w:sz w:val="24"/>
          <w:szCs w:val="24"/>
        </w:rPr>
        <w:t>Письмом от 11.10.2024 № 71600-14-10359 Ивановским филиалом АО «ЭнергосбыТ Плюс» в адрес Департамента была предоставлена информация об объемах фактического отпуска электроэнергии за 2023 год потребителям, расположенным в п. Мугреевский Бор Пестяковского района Ивановской области. Указанные потребители находятся в границах зоны деятельности и, соответственно, приняты на расчеты гарантирующим поставщиком электрической энергии на территории Ивановской области - Ивановским филиалом АО «ЭнергосбыТ Плюс».</w:t>
      </w:r>
    </w:p>
    <w:p w:rsidR="00C62E6B" w:rsidRDefault="00C62E6B" w:rsidP="00116BD6">
      <w:pPr>
        <w:ind w:firstLine="567"/>
        <w:contextualSpacing/>
        <w:jc w:val="both"/>
        <w:rPr>
          <w:rFonts w:eastAsia="Calibri"/>
          <w:bCs/>
          <w:sz w:val="24"/>
          <w:szCs w:val="24"/>
        </w:rPr>
      </w:pPr>
      <w:r>
        <w:rPr>
          <w:rFonts w:eastAsia="Calibri"/>
          <w:bCs/>
          <w:sz w:val="24"/>
          <w:szCs w:val="24"/>
        </w:rPr>
        <w:t>При этом энергопринимающие устройства указанных потребителей в период с января по сентябрь 2023 года имели технологическое присоединение к электрическим сетям филиала ПАО «Россети Центр и Приволжье» - «Нижновэнерго» (далее - филиал «Нижновэнерго»), не имеющего статус ТСО на территории Ивановской области.</w:t>
      </w:r>
    </w:p>
    <w:p w:rsidR="00C62E6B" w:rsidRDefault="00C62E6B" w:rsidP="00116BD6">
      <w:pPr>
        <w:ind w:firstLine="567"/>
        <w:contextualSpacing/>
        <w:jc w:val="both"/>
        <w:rPr>
          <w:rFonts w:eastAsia="Calibri"/>
          <w:bCs/>
          <w:sz w:val="24"/>
          <w:szCs w:val="24"/>
        </w:rPr>
      </w:pPr>
      <w:r>
        <w:rPr>
          <w:rFonts w:eastAsia="Calibri"/>
          <w:bCs/>
          <w:sz w:val="24"/>
          <w:szCs w:val="24"/>
        </w:rPr>
        <w:t xml:space="preserve">Вопрос по передаче электросетевого имущества между филиалами «Нижновэнерго» и «Ивэнерго» был решен только 29.09.2023г., когда объекты электросетевого хозяйства, посредством которых осуществляется электроснабжение потребителей п. Мугреевский Бор были переданы с баланса филиала «Нижновэнерго» на баланс филиала «Ивэнерго», что подтверждается актами о приеме-передаче объектов основных средств (№№ 633, 634, 635, 636, 637, 638, 639, 640, </w:t>
      </w:r>
      <w:r>
        <w:rPr>
          <w:rFonts w:eastAsia="Calibri"/>
          <w:bCs/>
          <w:sz w:val="24"/>
          <w:szCs w:val="24"/>
        </w:rPr>
        <w:lastRenderedPageBreak/>
        <w:t xml:space="preserve">641, 642, 643 от 29.09.2023), подписанными в двустороннем порядке филиалом «Ивэнерго» и филиалом «Нижновэнерго», а также </w:t>
      </w:r>
      <w:proofErr w:type="spellStart"/>
      <w:r>
        <w:rPr>
          <w:rFonts w:eastAsia="Calibri"/>
          <w:bCs/>
          <w:sz w:val="24"/>
          <w:szCs w:val="24"/>
        </w:rPr>
        <w:t>поопорными</w:t>
      </w:r>
      <w:proofErr w:type="spellEnd"/>
      <w:r>
        <w:rPr>
          <w:rFonts w:eastAsia="Calibri"/>
          <w:bCs/>
          <w:sz w:val="24"/>
          <w:szCs w:val="24"/>
        </w:rPr>
        <w:t xml:space="preserve"> схемами электрической сети, составленными и утвержденными уполномоченными лицами филиала «Ивэнерго» (поопорная схема электрической сети ВЛ-6 кВ № 607 ПС Фролищи, поопорная схема электрической сети 0,4 кВ Гр-1 от КТП № 241 ВЛ-607 ПС Фролищи, поопорная схема электрической сети 0,4 кВ Группа 1,2 от КТП № 245 ВЛ-607 ПС Фролищи и поопорная схема электрической сети 0,4 кВ Группа-3 от КТП № 245 ВЛ-607 ПС Фролищи).</w:t>
      </w:r>
    </w:p>
    <w:p w:rsidR="00C62E6B" w:rsidRDefault="00C62E6B" w:rsidP="00116BD6">
      <w:pPr>
        <w:ind w:firstLine="567"/>
        <w:contextualSpacing/>
        <w:jc w:val="both"/>
        <w:rPr>
          <w:rFonts w:eastAsia="Calibri"/>
          <w:bCs/>
          <w:sz w:val="24"/>
          <w:szCs w:val="24"/>
        </w:rPr>
      </w:pPr>
      <w:r>
        <w:rPr>
          <w:rFonts w:eastAsia="Calibri"/>
          <w:bCs/>
          <w:sz w:val="24"/>
          <w:szCs w:val="24"/>
        </w:rPr>
        <w:t>Вышеописанная ситуация привела к тому, что у гарантирующего поставщика Ивановский филиал АО «ЭнергосбыТ Плюс» в предыдущие периоды регулирования, в том числе за период с января по сентябрь 2023 года, ежегодно аккумулировалась излишне полученная выручка в размере составляющей на оплату услуг по передаче электрической энергии в части объемов электрической энергии, отпускаемой потребителям, энергопринимающие устройства которых территориально расположены по адресу: Ивановская область, Пестяковский район, п. Мугреевский Бор. Как следствие, одновременно у филиала «Ивэнерго» в предыдущие периоды регулирования, в том числе за период с января по сентябрь 2023 года, ежегодно формировались выпадающие доходы в размере недополученной от Ивановского филиала АО «ЭнергосбыТ Плюс» выручки в части составляющей на оплату услуг по передаче электрической энергии по указанным объемам потребления электроэнергии, поскольку расчет единых (котловых) тарифов на услуги по передаче электрической энергии для потребителей Ивановской области ежегодно, в том числе на 2023 год, производился Департаментом исходя из объемов полезного отпуска электрической энергии с учетом объемов полезного отпуска электроэнергии потребителям, расположенным в п. Мугреевский Бор Пестяковского района Ивановской области.</w:t>
      </w:r>
    </w:p>
    <w:p w:rsidR="00C62E6B" w:rsidRDefault="00C62E6B" w:rsidP="00116BD6">
      <w:pPr>
        <w:ind w:firstLine="567"/>
        <w:contextualSpacing/>
        <w:jc w:val="both"/>
        <w:rPr>
          <w:rFonts w:eastAsia="Calibri"/>
          <w:bCs/>
          <w:sz w:val="24"/>
          <w:szCs w:val="24"/>
        </w:rPr>
      </w:pPr>
      <w:r>
        <w:rPr>
          <w:rFonts w:eastAsia="Calibri"/>
          <w:bCs/>
          <w:sz w:val="24"/>
          <w:szCs w:val="24"/>
        </w:rPr>
        <w:t>Вышеуказанные недополученные доходы филиала «Ивэнерго» расцениваются Департаментом как недополученные доходы по зависящим от регулируемой организации причинам, которые в соответствии с действующим законодательством, в том числе пунктом 7 Основ ценообразования и Методическими указаниями № 98-э, являются экономически не обоснованными и не могут быть учтены при установлении НВВ (в рамках соблюдения баланса интересов Департамент отмечает, что конечные потребители не должны оплачивать убытки организации, возникшие по зависящим от нее причинам).</w:t>
      </w:r>
    </w:p>
    <w:p w:rsidR="00C62E6B" w:rsidRDefault="00C62E6B" w:rsidP="00116BD6">
      <w:pPr>
        <w:ind w:firstLine="708"/>
        <w:jc w:val="both"/>
        <w:rPr>
          <w:rFonts w:eastAsiaTheme="minorHAnsi"/>
          <w:bCs/>
          <w:sz w:val="24"/>
          <w:szCs w:val="24"/>
          <w:u w:val="single"/>
        </w:rPr>
      </w:pPr>
    </w:p>
    <w:p w:rsidR="00C62E6B" w:rsidRDefault="00C62E6B" w:rsidP="00116BD6">
      <w:pPr>
        <w:ind w:firstLine="567"/>
        <w:jc w:val="both"/>
        <w:rPr>
          <w:bCs/>
          <w:sz w:val="24"/>
          <w:szCs w:val="24"/>
        </w:rPr>
      </w:pPr>
      <w:r>
        <w:rPr>
          <w:bCs/>
          <w:sz w:val="24"/>
          <w:szCs w:val="24"/>
        </w:rPr>
        <w:t>Ассоциация «НП Совет рынка» в отношении филиала ПАО «Россети Центр и Приволжье» голосует по данному вопросу «против», по причине не предоставления проектов решений, экспертных заключений и расчетов.</w:t>
      </w:r>
    </w:p>
    <w:p w:rsidR="00C62E6B" w:rsidRDefault="00C62E6B" w:rsidP="00116BD6">
      <w:pPr>
        <w:ind w:firstLine="567"/>
        <w:jc w:val="both"/>
        <w:rPr>
          <w:bCs/>
          <w:sz w:val="24"/>
          <w:szCs w:val="24"/>
        </w:rPr>
      </w:pPr>
      <w:r>
        <w:rPr>
          <w:bCs/>
          <w:sz w:val="24"/>
          <w:szCs w:val="24"/>
        </w:rPr>
        <w:t>Департамент отмечает, что в адрес Ассоциации «НП Совет рынка» подробные расчетные материалы по данному вопросу были направлены.</w:t>
      </w:r>
    </w:p>
    <w:p w:rsidR="00C62E6B" w:rsidRDefault="00C62E6B" w:rsidP="00C62E6B">
      <w:pPr>
        <w:tabs>
          <w:tab w:val="left" w:pos="0"/>
          <w:tab w:val="left" w:pos="1134"/>
          <w:tab w:val="left" w:pos="1276"/>
        </w:tabs>
        <w:ind w:firstLine="567"/>
        <w:contextualSpacing/>
        <w:jc w:val="both"/>
        <w:rPr>
          <w:sz w:val="24"/>
          <w:szCs w:val="24"/>
        </w:rPr>
      </w:pPr>
      <w:r>
        <w:rPr>
          <w:b/>
          <w:sz w:val="24"/>
          <w:szCs w:val="24"/>
        </w:rPr>
        <w:t>РЕШИЛИ:</w:t>
      </w:r>
    </w:p>
    <w:p w:rsidR="00C62E6B" w:rsidRDefault="00C62E6B" w:rsidP="00C62E6B">
      <w:pPr>
        <w:tabs>
          <w:tab w:val="left" w:pos="1276"/>
        </w:tabs>
        <w:autoSpaceDE w:val="0"/>
        <w:autoSpaceDN w:val="0"/>
        <w:adjustRightInd w:val="0"/>
        <w:ind w:firstLine="567"/>
        <w:jc w:val="both"/>
        <w:rPr>
          <w:rFonts w:eastAsia="Calibri"/>
          <w:sz w:val="24"/>
          <w:szCs w:val="24"/>
          <w:lang w:eastAsia="en-US"/>
        </w:rPr>
      </w:pPr>
      <w:r>
        <w:rPr>
          <w:rFonts w:eastAsia="Calibri"/>
          <w:sz w:val="24"/>
          <w:szCs w:val="24"/>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Российской Федерации от 28.02.2015 № 184 «Об отнесении владельцев объектов электросетевого хозяйства к территориальным сетевым организациям»,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27.12.2004 № 861:</w:t>
      </w:r>
    </w:p>
    <w:p w:rsidR="00C62E6B" w:rsidRDefault="00C62E6B" w:rsidP="00C62E6B">
      <w:pPr>
        <w:tabs>
          <w:tab w:val="left" w:pos="1276"/>
        </w:tabs>
        <w:autoSpaceDE w:val="0"/>
        <w:autoSpaceDN w:val="0"/>
        <w:adjustRightInd w:val="0"/>
        <w:ind w:firstLine="567"/>
        <w:jc w:val="both"/>
        <w:rPr>
          <w:rFonts w:eastAsia="Calibri"/>
          <w:sz w:val="24"/>
          <w:szCs w:val="24"/>
        </w:rPr>
      </w:pPr>
      <w:r>
        <w:rPr>
          <w:rFonts w:eastAsia="Calibri"/>
          <w:sz w:val="24"/>
          <w:szCs w:val="24"/>
        </w:rPr>
        <w:t>1. Внести изменения в постановление Департамента энергетики и тарифов Ивановской области от 29.12.2021 № 60-э/1 «Об установлении необходимой валовой выручки и долгосрочных параметров регулирования для филиала ПАО «Россети Центр и Приволжье» - «Ивэнерго» на 2022-2026 гг., в отношении которого тарифы на услуги по передаче электрической энергии устанавливаются на основе долгосрочных параметров регулирования», изложив приложение 2 к постановлению Департамента энергетики и тарифов Ивановской области от 29.12.2021 № 60-э/1 в новой редакции согласно Таблице:</w:t>
      </w:r>
    </w:p>
    <w:p w:rsidR="00116BD6" w:rsidRDefault="00116BD6" w:rsidP="00C62E6B">
      <w:pPr>
        <w:tabs>
          <w:tab w:val="left" w:pos="1276"/>
        </w:tabs>
        <w:autoSpaceDE w:val="0"/>
        <w:autoSpaceDN w:val="0"/>
        <w:adjustRightInd w:val="0"/>
        <w:ind w:right="-3"/>
        <w:jc w:val="right"/>
        <w:rPr>
          <w:sz w:val="24"/>
          <w:szCs w:val="24"/>
        </w:rPr>
      </w:pPr>
    </w:p>
    <w:p w:rsidR="00116BD6" w:rsidRDefault="00116BD6" w:rsidP="00C62E6B">
      <w:pPr>
        <w:tabs>
          <w:tab w:val="left" w:pos="1276"/>
        </w:tabs>
        <w:autoSpaceDE w:val="0"/>
        <w:autoSpaceDN w:val="0"/>
        <w:adjustRightInd w:val="0"/>
        <w:ind w:right="-3"/>
        <w:jc w:val="right"/>
        <w:rPr>
          <w:sz w:val="24"/>
          <w:szCs w:val="24"/>
        </w:rPr>
      </w:pPr>
    </w:p>
    <w:p w:rsidR="00116BD6" w:rsidRDefault="00116BD6" w:rsidP="00C62E6B">
      <w:pPr>
        <w:tabs>
          <w:tab w:val="left" w:pos="1276"/>
        </w:tabs>
        <w:autoSpaceDE w:val="0"/>
        <w:autoSpaceDN w:val="0"/>
        <w:adjustRightInd w:val="0"/>
        <w:ind w:right="-3"/>
        <w:jc w:val="right"/>
        <w:rPr>
          <w:sz w:val="24"/>
          <w:szCs w:val="24"/>
        </w:rPr>
      </w:pPr>
    </w:p>
    <w:p w:rsidR="00116BD6" w:rsidRDefault="00116BD6" w:rsidP="00C62E6B">
      <w:pPr>
        <w:tabs>
          <w:tab w:val="left" w:pos="1276"/>
        </w:tabs>
        <w:autoSpaceDE w:val="0"/>
        <w:autoSpaceDN w:val="0"/>
        <w:adjustRightInd w:val="0"/>
        <w:ind w:right="-3"/>
        <w:jc w:val="right"/>
        <w:rPr>
          <w:sz w:val="24"/>
          <w:szCs w:val="24"/>
        </w:rPr>
      </w:pPr>
    </w:p>
    <w:p w:rsidR="00C62E6B" w:rsidRDefault="00C62E6B" w:rsidP="00C62E6B">
      <w:pPr>
        <w:tabs>
          <w:tab w:val="left" w:pos="1276"/>
        </w:tabs>
        <w:autoSpaceDE w:val="0"/>
        <w:autoSpaceDN w:val="0"/>
        <w:adjustRightInd w:val="0"/>
        <w:ind w:right="-3"/>
        <w:jc w:val="right"/>
        <w:rPr>
          <w:sz w:val="24"/>
          <w:szCs w:val="24"/>
        </w:rPr>
      </w:pPr>
      <w:r>
        <w:rPr>
          <w:sz w:val="24"/>
          <w:szCs w:val="24"/>
        </w:rPr>
        <w:lastRenderedPageBreak/>
        <w:t>Таблица</w:t>
      </w:r>
    </w:p>
    <w:p w:rsidR="00C62E6B" w:rsidRDefault="00C62E6B" w:rsidP="00C62E6B">
      <w:pPr>
        <w:tabs>
          <w:tab w:val="left" w:pos="1276"/>
        </w:tabs>
        <w:autoSpaceDE w:val="0"/>
        <w:autoSpaceDN w:val="0"/>
        <w:adjustRightInd w:val="0"/>
        <w:ind w:right="-3"/>
        <w:jc w:val="right"/>
        <w:rPr>
          <w:sz w:val="24"/>
          <w:szCs w:val="24"/>
        </w:rPr>
      </w:pPr>
    </w:p>
    <w:p w:rsidR="00C62E6B" w:rsidRDefault="00C62E6B" w:rsidP="00C62E6B">
      <w:pPr>
        <w:tabs>
          <w:tab w:val="left" w:pos="1276"/>
        </w:tabs>
        <w:autoSpaceDE w:val="0"/>
        <w:autoSpaceDN w:val="0"/>
        <w:adjustRightInd w:val="0"/>
        <w:ind w:right="-3"/>
        <w:jc w:val="center"/>
        <w:rPr>
          <w:rFonts w:cstheme="minorBidi"/>
          <w:sz w:val="24"/>
          <w:szCs w:val="24"/>
        </w:rPr>
      </w:pPr>
      <w:r>
        <w:rPr>
          <w:sz w:val="24"/>
          <w:szCs w:val="24"/>
        </w:rPr>
        <w:t>Необходимая валовая выручка филиала ПАО «Россети Центр и Приволжье» - «Ивэнерго» на долгосрочный период регулирования (без учета оплаты потерь)</w:t>
      </w:r>
    </w:p>
    <w:p w:rsidR="00C62E6B" w:rsidRDefault="00C62E6B" w:rsidP="00C62E6B">
      <w:pPr>
        <w:tabs>
          <w:tab w:val="left" w:pos="1276"/>
        </w:tabs>
        <w:autoSpaceDE w:val="0"/>
        <w:autoSpaceDN w:val="0"/>
        <w:adjustRightInd w:val="0"/>
        <w:ind w:right="-3"/>
        <w:jc w:val="both"/>
        <w:rPr>
          <w:rFonts w:eastAsia="Calibri"/>
          <w:sz w:val="24"/>
          <w:szCs w:val="24"/>
          <w:lang w:eastAsia="en-US"/>
        </w:rPr>
      </w:pPr>
    </w:p>
    <w:tbl>
      <w:tblPr>
        <w:tblW w:w="9298" w:type="dxa"/>
        <w:jc w:val="center"/>
        <w:tblLook w:val="04A0" w:firstRow="1" w:lastRow="0" w:firstColumn="1" w:lastColumn="0" w:noHBand="0" w:noVBand="1"/>
      </w:tblPr>
      <w:tblGrid>
        <w:gridCol w:w="540"/>
        <w:gridCol w:w="4040"/>
        <w:gridCol w:w="1100"/>
        <w:gridCol w:w="3618"/>
      </w:tblGrid>
      <w:tr w:rsidR="00C62E6B" w:rsidRPr="00630E3B" w:rsidTr="00C62E6B">
        <w:trPr>
          <w:trHeight w:val="615"/>
          <w:jc w:val="center"/>
        </w:trPr>
        <w:tc>
          <w:tcPr>
            <w:tcW w:w="520" w:type="dxa"/>
            <w:vMerge w:val="restart"/>
            <w:tcBorders>
              <w:top w:val="single" w:sz="4" w:space="0" w:color="000000"/>
              <w:left w:val="single" w:sz="4" w:space="0" w:color="000000"/>
              <w:bottom w:val="single" w:sz="4" w:space="0" w:color="000000"/>
              <w:right w:val="single" w:sz="4" w:space="0" w:color="000000"/>
            </w:tcBorders>
            <w:vAlign w:val="center"/>
            <w:hideMark/>
          </w:tcPr>
          <w:p w:rsidR="00C62E6B" w:rsidRPr="00630E3B" w:rsidRDefault="00C62E6B">
            <w:pPr>
              <w:jc w:val="center"/>
              <w:rPr>
                <w:sz w:val="24"/>
                <w:szCs w:val="24"/>
              </w:rPr>
            </w:pPr>
            <w:r w:rsidRPr="00630E3B">
              <w:rPr>
                <w:sz w:val="24"/>
                <w:szCs w:val="24"/>
              </w:rPr>
              <w:t>№ п/п</w:t>
            </w:r>
          </w:p>
        </w:tc>
        <w:tc>
          <w:tcPr>
            <w:tcW w:w="4060" w:type="dxa"/>
            <w:vMerge w:val="restart"/>
            <w:tcBorders>
              <w:top w:val="single" w:sz="4" w:space="0" w:color="000000"/>
              <w:left w:val="single" w:sz="4" w:space="0" w:color="000000"/>
              <w:bottom w:val="single" w:sz="4" w:space="0" w:color="000000"/>
              <w:right w:val="single" w:sz="4" w:space="0" w:color="000000"/>
            </w:tcBorders>
            <w:vAlign w:val="center"/>
            <w:hideMark/>
          </w:tcPr>
          <w:p w:rsidR="00C62E6B" w:rsidRPr="00630E3B" w:rsidRDefault="00C62E6B">
            <w:pPr>
              <w:jc w:val="center"/>
              <w:rPr>
                <w:sz w:val="24"/>
                <w:szCs w:val="24"/>
              </w:rPr>
            </w:pPr>
            <w:r w:rsidRPr="00630E3B">
              <w:rPr>
                <w:sz w:val="24"/>
                <w:szCs w:val="24"/>
              </w:rPr>
              <w:t>Наименование сетевой организации в субъекте Российской Федерации</w:t>
            </w:r>
          </w:p>
        </w:tc>
        <w:tc>
          <w:tcPr>
            <w:tcW w:w="1100" w:type="dxa"/>
            <w:vMerge w:val="restart"/>
            <w:tcBorders>
              <w:top w:val="single" w:sz="4" w:space="0" w:color="000000"/>
              <w:left w:val="single" w:sz="4" w:space="0" w:color="000000"/>
              <w:bottom w:val="single" w:sz="4" w:space="0" w:color="000000"/>
              <w:right w:val="single" w:sz="4" w:space="0" w:color="000000"/>
            </w:tcBorders>
            <w:vAlign w:val="center"/>
            <w:hideMark/>
          </w:tcPr>
          <w:p w:rsidR="00C62E6B" w:rsidRPr="00630E3B" w:rsidRDefault="00C62E6B">
            <w:pPr>
              <w:jc w:val="center"/>
              <w:rPr>
                <w:sz w:val="24"/>
                <w:szCs w:val="24"/>
              </w:rPr>
            </w:pPr>
            <w:r w:rsidRPr="00630E3B">
              <w:rPr>
                <w:sz w:val="24"/>
                <w:szCs w:val="24"/>
              </w:rPr>
              <w:t>Год</w:t>
            </w:r>
          </w:p>
        </w:tc>
        <w:tc>
          <w:tcPr>
            <w:tcW w:w="3618" w:type="dxa"/>
            <w:tcBorders>
              <w:top w:val="single" w:sz="4" w:space="0" w:color="000000"/>
              <w:left w:val="nil"/>
              <w:bottom w:val="single" w:sz="4" w:space="0" w:color="000000"/>
              <w:right w:val="single" w:sz="4" w:space="0" w:color="000000"/>
            </w:tcBorders>
            <w:vAlign w:val="center"/>
            <w:hideMark/>
          </w:tcPr>
          <w:p w:rsidR="00C62E6B" w:rsidRPr="00630E3B" w:rsidRDefault="00C62E6B">
            <w:pPr>
              <w:jc w:val="center"/>
              <w:rPr>
                <w:sz w:val="24"/>
                <w:szCs w:val="24"/>
              </w:rPr>
            </w:pPr>
            <w:r w:rsidRPr="00630E3B">
              <w:rPr>
                <w:sz w:val="24"/>
                <w:szCs w:val="24"/>
              </w:rPr>
              <w:t>Необходимая валовая выручка сетевых организаций без учета оплаты потерь</w:t>
            </w:r>
          </w:p>
        </w:tc>
      </w:tr>
      <w:tr w:rsidR="00C62E6B" w:rsidRPr="00630E3B" w:rsidTr="00C62E6B">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2E6B" w:rsidRPr="00630E3B" w:rsidRDefault="00C62E6B">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2E6B" w:rsidRPr="00630E3B" w:rsidRDefault="00C62E6B">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2E6B" w:rsidRPr="00630E3B" w:rsidRDefault="00C62E6B">
            <w:pPr>
              <w:rPr>
                <w:sz w:val="24"/>
                <w:szCs w:val="24"/>
              </w:rPr>
            </w:pPr>
          </w:p>
        </w:tc>
        <w:tc>
          <w:tcPr>
            <w:tcW w:w="3618" w:type="dxa"/>
            <w:tcBorders>
              <w:top w:val="nil"/>
              <w:left w:val="nil"/>
              <w:bottom w:val="single" w:sz="4" w:space="0" w:color="000000"/>
              <w:right w:val="single" w:sz="4" w:space="0" w:color="000000"/>
            </w:tcBorders>
            <w:noWrap/>
            <w:vAlign w:val="center"/>
            <w:hideMark/>
          </w:tcPr>
          <w:p w:rsidR="00C62E6B" w:rsidRPr="00630E3B" w:rsidRDefault="00C62E6B">
            <w:pPr>
              <w:jc w:val="center"/>
              <w:rPr>
                <w:sz w:val="24"/>
                <w:szCs w:val="24"/>
              </w:rPr>
            </w:pPr>
            <w:r w:rsidRPr="00630E3B">
              <w:rPr>
                <w:sz w:val="24"/>
                <w:szCs w:val="24"/>
              </w:rPr>
              <w:t>тыс. руб.</w:t>
            </w:r>
          </w:p>
        </w:tc>
      </w:tr>
      <w:tr w:rsidR="00C62E6B" w:rsidRPr="00630E3B" w:rsidTr="00C62E6B">
        <w:trPr>
          <w:trHeight w:val="300"/>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62E6B" w:rsidRPr="00630E3B" w:rsidRDefault="00C62E6B">
            <w:pPr>
              <w:jc w:val="center"/>
              <w:rPr>
                <w:sz w:val="24"/>
                <w:szCs w:val="24"/>
              </w:rPr>
            </w:pPr>
            <w:r w:rsidRPr="00630E3B">
              <w:rPr>
                <w:sz w:val="24"/>
                <w:szCs w:val="24"/>
              </w:rPr>
              <w:t>1.</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2E6B" w:rsidRPr="00630E3B" w:rsidRDefault="00C62E6B">
            <w:pPr>
              <w:jc w:val="center"/>
              <w:rPr>
                <w:sz w:val="24"/>
                <w:szCs w:val="24"/>
              </w:rPr>
            </w:pPr>
            <w:r w:rsidRPr="00630E3B">
              <w:rPr>
                <w:sz w:val="24"/>
                <w:szCs w:val="24"/>
              </w:rPr>
              <w:t>Филиал ПАО «Россети Центр и Приволжье» - «Ивэнерго»</w:t>
            </w:r>
          </w:p>
        </w:tc>
        <w:tc>
          <w:tcPr>
            <w:tcW w:w="1100" w:type="dxa"/>
            <w:tcBorders>
              <w:top w:val="nil"/>
              <w:left w:val="nil"/>
              <w:bottom w:val="single" w:sz="4" w:space="0" w:color="000000"/>
              <w:right w:val="single" w:sz="4" w:space="0" w:color="000000"/>
            </w:tcBorders>
            <w:shd w:val="clear" w:color="auto" w:fill="FFFFFF"/>
            <w:noWrap/>
            <w:hideMark/>
          </w:tcPr>
          <w:p w:rsidR="00C62E6B" w:rsidRPr="00630E3B" w:rsidRDefault="00C62E6B">
            <w:pPr>
              <w:jc w:val="center"/>
              <w:rPr>
                <w:sz w:val="24"/>
                <w:szCs w:val="24"/>
              </w:rPr>
            </w:pPr>
            <w:r w:rsidRPr="00630E3B">
              <w:rPr>
                <w:sz w:val="24"/>
                <w:szCs w:val="24"/>
              </w:rPr>
              <w:t>2022</w:t>
            </w:r>
          </w:p>
        </w:tc>
        <w:tc>
          <w:tcPr>
            <w:tcW w:w="3618" w:type="dxa"/>
            <w:tcBorders>
              <w:top w:val="nil"/>
              <w:left w:val="nil"/>
              <w:bottom w:val="single" w:sz="4" w:space="0" w:color="000000"/>
              <w:right w:val="single" w:sz="4" w:space="0" w:color="000000"/>
            </w:tcBorders>
            <w:shd w:val="clear" w:color="auto" w:fill="FFFFFF"/>
            <w:noWrap/>
            <w:vAlign w:val="center"/>
            <w:hideMark/>
          </w:tcPr>
          <w:p w:rsidR="00C62E6B" w:rsidRPr="00630E3B" w:rsidRDefault="00C62E6B">
            <w:pPr>
              <w:jc w:val="center"/>
              <w:rPr>
                <w:sz w:val="24"/>
                <w:szCs w:val="24"/>
              </w:rPr>
            </w:pPr>
            <w:r w:rsidRPr="00630E3B">
              <w:rPr>
                <w:sz w:val="24"/>
                <w:szCs w:val="24"/>
              </w:rPr>
              <w:t>3 917 986,12</w:t>
            </w:r>
          </w:p>
        </w:tc>
      </w:tr>
      <w:tr w:rsidR="00C62E6B" w:rsidRPr="00630E3B" w:rsidTr="00C62E6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1100" w:type="dxa"/>
            <w:tcBorders>
              <w:top w:val="nil"/>
              <w:left w:val="nil"/>
              <w:bottom w:val="single" w:sz="4" w:space="0" w:color="000000"/>
              <w:right w:val="single" w:sz="4" w:space="0" w:color="000000"/>
            </w:tcBorders>
            <w:shd w:val="clear" w:color="auto" w:fill="FFFFFF"/>
            <w:noWrap/>
            <w:hideMark/>
          </w:tcPr>
          <w:p w:rsidR="00C62E6B" w:rsidRPr="00630E3B" w:rsidRDefault="00C62E6B">
            <w:pPr>
              <w:jc w:val="center"/>
              <w:rPr>
                <w:sz w:val="24"/>
                <w:szCs w:val="24"/>
              </w:rPr>
            </w:pPr>
            <w:r w:rsidRPr="00630E3B">
              <w:rPr>
                <w:sz w:val="24"/>
                <w:szCs w:val="24"/>
              </w:rPr>
              <w:t>2023</w:t>
            </w:r>
          </w:p>
        </w:tc>
        <w:tc>
          <w:tcPr>
            <w:tcW w:w="3618" w:type="dxa"/>
            <w:tcBorders>
              <w:top w:val="nil"/>
              <w:left w:val="nil"/>
              <w:bottom w:val="single" w:sz="4" w:space="0" w:color="000000"/>
              <w:right w:val="single" w:sz="4" w:space="0" w:color="000000"/>
            </w:tcBorders>
            <w:shd w:val="clear" w:color="auto" w:fill="FFFFFF"/>
            <w:noWrap/>
            <w:vAlign w:val="center"/>
            <w:hideMark/>
          </w:tcPr>
          <w:p w:rsidR="00C62E6B" w:rsidRPr="00630E3B" w:rsidRDefault="00C62E6B">
            <w:pPr>
              <w:jc w:val="center"/>
              <w:rPr>
                <w:sz w:val="24"/>
                <w:szCs w:val="24"/>
              </w:rPr>
            </w:pPr>
            <w:r w:rsidRPr="00630E3B">
              <w:rPr>
                <w:sz w:val="24"/>
                <w:szCs w:val="24"/>
              </w:rPr>
              <w:t>4 499 987,61</w:t>
            </w:r>
          </w:p>
        </w:tc>
      </w:tr>
      <w:tr w:rsidR="00C62E6B" w:rsidRPr="00630E3B" w:rsidTr="00C62E6B">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1100" w:type="dxa"/>
            <w:tcBorders>
              <w:top w:val="nil"/>
              <w:left w:val="nil"/>
              <w:bottom w:val="single" w:sz="4" w:space="0" w:color="000000"/>
              <w:right w:val="single" w:sz="4" w:space="0" w:color="000000"/>
            </w:tcBorders>
            <w:shd w:val="clear" w:color="auto" w:fill="FFFFFF"/>
            <w:noWrap/>
            <w:hideMark/>
          </w:tcPr>
          <w:p w:rsidR="00C62E6B" w:rsidRPr="00630E3B" w:rsidRDefault="00C62E6B">
            <w:pPr>
              <w:jc w:val="center"/>
              <w:rPr>
                <w:sz w:val="24"/>
                <w:szCs w:val="24"/>
              </w:rPr>
            </w:pPr>
            <w:r w:rsidRPr="00630E3B">
              <w:rPr>
                <w:sz w:val="24"/>
                <w:szCs w:val="24"/>
              </w:rPr>
              <w:t>2024</w:t>
            </w:r>
          </w:p>
        </w:tc>
        <w:tc>
          <w:tcPr>
            <w:tcW w:w="3618" w:type="dxa"/>
            <w:tcBorders>
              <w:top w:val="nil"/>
              <w:left w:val="nil"/>
              <w:bottom w:val="nil"/>
              <w:right w:val="single" w:sz="4" w:space="0" w:color="000000"/>
            </w:tcBorders>
            <w:shd w:val="clear" w:color="auto" w:fill="FFFFFF"/>
            <w:noWrap/>
            <w:vAlign w:val="center"/>
            <w:hideMark/>
          </w:tcPr>
          <w:p w:rsidR="00C62E6B" w:rsidRPr="00630E3B" w:rsidRDefault="00C62E6B">
            <w:pPr>
              <w:jc w:val="center"/>
              <w:rPr>
                <w:sz w:val="24"/>
                <w:szCs w:val="24"/>
              </w:rPr>
            </w:pPr>
            <w:r w:rsidRPr="00630E3B">
              <w:rPr>
                <w:bCs/>
                <w:sz w:val="24"/>
                <w:szCs w:val="24"/>
              </w:rPr>
              <w:t>4 825 879,09</w:t>
            </w:r>
          </w:p>
        </w:tc>
      </w:tr>
      <w:tr w:rsidR="00C62E6B" w:rsidRPr="00630E3B" w:rsidTr="00C62E6B">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1100" w:type="dxa"/>
            <w:tcBorders>
              <w:top w:val="nil"/>
              <w:left w:val="nil"/>
              <w:bottom w:val="single" w:sz="4" w:space="0" w:color="000000"/>
              <w:right w:val="single" w:sz="4" w:space="0" w:color="000000"/>
            </w:tcBorders>
            <w:shd w:val="clear" w:color="auto" w:fill="FFFFFF"/>
            <w:noWrap/>
            <w:hideMark/>
          </w:tcPr>
          <w:p w:rsidR="00C62E6B" w:rsidRPr="00630E3B" w:rsidRDefault="00C62E6B">
            <w:pPr>
              <w:jc w:val="center"/>
              <w:rPr>
                <w:sz w:val="24"/>
                <w:szCs w:val="24"/>
              </w:rPr>
            </w:pPr>
            <w:r w:rsidRPr="00630E3B">
              <w:rPr>
                <w:sz w:val="24"/>
                <w:szCs w:val="24"/>
              </w:rPr>
              <w:t>2025</w:t>
            </w:r>
          </w:p>
        </w:tc>
        <w:tc>
          <w:tcPr>
            <w:tcW w:w="3618" w:type="dxa"/>
            <w:tcBorders>
              <w:top w:val="single" w:sz="4" w:space="0" w:color="auto"/>
              <w:left w:val="nil"/>
              <w:bottom w:val="single" w:sz="4" w:space="0" w:color="auto"/>
              <w:right w:val="single" w:sz="4" w:space="0" w:color="auto"/>
            </w:tcBorders>
            <w:noWrap/>
            <w:vAlign w:val="center"/>
            <w:hideMark/>
          </w:tcPr>
          <w:p w:rsidR="00C62E6B" w:rsidRPr="00630E3B" w:rsidRDefault="00C62E6B">
            <w:pPr>
              <w:jc w:val="center"/>
              <w:rPr>
                <w:sz w:val="24"/>
                <w:szCs w:val="24"/>
              </w:rPr>
            </w:pPr>
            <w:r w:rsidRPr="00630E3B">
              <w:rPr>
                <w:bCs/>
                <w:sz w:val="24"/>
                <w:szCs w:val="24"/>
              </w:rPr>
              <w:t>5 945 881,66</w:t>
            </w:r>
          </w:p>
        </w:tc>
      </w:tr>
      <w:tr w:rsidR="00C62E6B" w:rsidRPr="00630E3B" w:rsidTr="00C62E6B">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2E6B" w:rsidRPr="00630E3B" w:rsidRDefault="00C62E6B">
            <w:pPr>
              <w:rPr>
                <w:sz w:val="24"/>
                <w:szCs w:val="24"/>
              </w:rPr>
            </w:pPr>
          </w:p>
        </w:tc>
        <w:tc>
          <w:tcPr>
            <w:tcW w:w="1100" w:type="dxa"/>
            <w:tcBorders>
              <w:top w:val="nil"/>
              <w:left w:val="nil"/>
              <w:bottom w:val="single" w:sz="4" w:space="0" w:color="000000"/>
              <w:right w:val="single" w:sz="4" w:space="0" w:color="000000"/>
            </w:tcBorders>
            <w:shd w:val="clear" w:color="auto" w:fill="FFFFFF"/>
            <w:noWrap/>
            <w:hideMark/>
          </w:tcPr>
          <w:p w:rsidR="00C62E6B" w:rsidRPr="00630E3B" w:rsidRDefault="00C62E6B">
            <w:pPr>
              <w:jc w:val="center"/>
              <w:rPr>
                <w:sz w:val="24"/>
                <w:szCs w:val="24"/>
              </w:rPr>
            </w:pPr>
            <w:r w:rsidRPr="00630E3B">
              <w:rPr>
                <w:sz w:val="24"/>
                <w:szCs w:val="24"/>
              </w:rPr>
              <w:t>2026</w:t>
            </w:r>
          </w:p>
        </w:tc>
        <w:tc>
          <w:tcPr>
            <w:tcW w:w="3618" w:type="dxa"/>
            <w:tcBorders>
              <w:top w:val="nil"/>
              <w:left w:val="nil"/>
              <w:bottom w:val="single" w:sz="4" w:space="0" w:color="auto"/>
              <w:right w:val="single" w:sz="4" w:space="0" w:color="auto"/>
            </w:tcBorders>
            <w:noWrap/>
            <w:vAlign w:val="center"/>
            <w:hideMark/>
          </w:tcPr>
          <w:p w:rsidR="00C62E6B" w:rsidRPr="00630E3B" w:rsidRDefault="00C62E6B">
            <w:pPr>
              <w:jc w:val="center"/>
              <w:rPr>
                <w:sz w:val="24"/>
                <w:szCs w:val="24"/>
              </w:rPr>
            </w:pPr>
            <w:r w:rsidRPr="00630E3B">
              <w:rPr>
                <w:sz w:val="24"/>
                <w:szCs w:val="24"/>
              </w:rPr>
              <w:t>5 218 460,38</w:t>
            </w:r>
          </w:p>
        </w:tc>
      </w:tr>
    </w:tbl>
    <w:p w:rsidR="00C62E6B" w:rsidRPr="00630E3B" w:rsidRDefault="00C62E6B" w:rsidP="00C62E6B">
      <w:pPr>
        <w:rPr>
          <w:sz w:val="24"/>
          <w:szCs w:val="24"/>
        </w:rPr>
      </w:pPr>
    </w:p>
    <w:p w:rsidR="00630E3B" w:rsidRPr="00630E3B" w:rsidRDefault="00630E3B" w:rsidP="00116BD6">
      <w:pPr>
        <w:ind w:firstLine="709"/>
        <w:rPr>
          <w:sz w:val="24"/>
          <w:szCs w:val="24"/>
        </w:rPr>
      </w:pPr>
      <w:r w:rsidRPr="00630E3B">
        <w:rPr>
          <w:sz w:val="24"/>
          <w:szCs w:val="24"/>
        </w:rPr>
        <w:t>2. Настоящее постановление вступает в силу после дня его официального опубликования.</w:t>
      </w:r>
    </w:p>
    <w:p w:rsidR="00630E3B" w:rsidRPr="00630E3B" w:rsidRDefault="00630E3B" w:rsidP="00116BD6">
      <w:pPr>
        <w:ind w:firstLine="709"/>
        <w:rPr>
          <w:sz w:val="24"/>
          <w:szCs w:val="24"/>
        </w:rPr>
      </w:pPr>
    </w:p>
    <w:p w:rsidR="00630E3B" w:rsidRPr="00630E3B" w:rsidRDefault="00630E3B" w:rsidP="00116BD6">
      <w:pPr>
        <w:ind w:firstLine="709"/>
        <w:rPr>
          <w:sz w:val="24"/>
          <w:szCs w:val="24"/>
        </w:rPr>
      </w:pPr>
      <w:r w:rsidRPr="00630E3B">
        <w:rPr>
          <w:sz w:val="24"/>
          <w:szCs w:val="24"/>
        </w:rPr>
        <w:t>Результаты голосования:</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33"/>
        <w:gridCol w:w="2977"/>
      </w:tblGrid>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 п/п</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Члены правления</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Результаты голосования</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1.</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Морева Е.Н.</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2.</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Бугаева С.Е.</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3.</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Турбачкина Е.В.</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4.</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Коннова Е.А.</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5.</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Полозов И.Г</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6.</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Гущина Н.Б.</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за</w:t>
            </w:r>
          </w:p>
        </w:tc>
        <w:bookmarkStart w:id="7" w:name="_GoBack"/>
        <w:bookmarkEnd w:id="7"/>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7.</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Агапова О.П.</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за</w:t>
            </w:r>
          </w:p>
        </w:tc>
      </w:tr>
      <w:tr w:rsidR="00630E3B" w:rsidRPr="00630E3B" w:rsidTr="00FB6FF3">
        <w:tc>
          <w:tcPr>
            <w:tcW w:w="959"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8.</w:t>
            </w:r>
          </w:p>
        </w:tc>
        <w:tc>
          <w:tcPr>
            <w:tcW w:w="2533"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Кулешов А.И.</w:t>
            </w:r>
          </w:p>
        </w:tc>
        <w:tc>
          <w:tcPr>
            <w:tcW w:w="2977" w:type="dxa"/>
            <w:tcBorders>
              <w:top w:val="single" w:sz="4" w:space="0" w:color="auto"/>
              <w:left w:val="single" w:sz="4" w:space="0" w:color="auto"/>
              <w:bottom w:val="single" w:sz="4" w:space="0" w:color="auto"/>
              <w:right w:val="single" w:sz="4" w:space="0" w:color="auto"/>
            </w:tcBorders>
            <w:hideMark/>
          </w:tcPr>
          <w:p w:rsidR="00630E3B" w:rsidRPr="00630E3B" w:rsidRDefault="00630E3B" w:rsidP="00630E3B">
            <w:pPr>
              <w:rPr>
                <w:sz w:val="24"/>
                <w:szCs w:val="24"/>
              </w:rPr>
            </w:pPr>
            <w:r w:rsidRPr="00630E3B">
              <w:rPr>
                <w:sz w:val="24"/>
                <w:szCs w:val="24"/>
              </w:rPr>
              <w:t>против</w:t>
            </w:r>
          </w:p>
        </w:tc>
      </w:tr>
    </w:tbl>
    <w:p w:rsidR="00630E3B" w:rsidRPr="00630E3B" w:rsidRDefault="00630E3B" w:rsidP="00116BD6">
      <w:pPr>
        <w:ind w:firstLine="709"/>
        <w:rPr>
          <w:sz w:val="24"/>
          <w:szCs w:val="24"/>
        </w:rPr>
      </w:pPr>
      <w:r w:rsidRPr="00630E3B">
        <w:rPr>
          <w:sz w:val="24"/>
          <w:szCs w:val="24"/>
        </w:rPr>
        <w:t>Итого: за – 7, против – 1, воздержался – 0, отсутствуют – 0.</w:t>
      </w:r>
    </w:p>
    <w:p w:rsidR="00630E3B" w:rsidRPr="00630E3B" w:rsidRDefault="00630E3B" w:rsidP="00630E3B">
      <w:pPr>
        <w:rPr>
          <w:sz w:val="24"/>
          <w:szCs w:val="24"/>
        </w:rPr>
      </w:pPr>
    </w:p>
    <w:p w:rsidR="00630E3B" w:rsidRPr="00630E3B" w:rsidRDefault="00630E3B" w:rsidP="00630E3B">
      <w:pPr>
        <w:rPr>
          <w:sz w:val="24"/>
          <w:szCs w:val="24"/>
        </w:rPr>
      </w:pPr>
    </w:p>
    <w:p w:rsidR="00630E3B" w:rsidRPr="00630E3B" w:rsidRDefault="00630E3B" w:rsidP="00630E3B">
      <w:pPr>
        <w:ind w:left="-426"/>
        <w:rPr>
          <w:sz w:val="24"/>
          <w:szCs w:val="24"/>
        </w:rPr>
      </w:pPr>
    </w:p>
    <w:tbl>
      <w:tblPr>
        <w:tblW w:w="1035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30E3B" w:rsidRPr="00630E3B" w:rsidTr="00630E3B">
        <w:trPr>
          <w:trHeight w:val="371"/>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Ответственный секретарь Правления</w:t>
            </w:r>
          </w:p>
        </w:tc>
        <w:tc>
          <w:tcPr>
            <w:tcW w:w="1553" w:type="dxa"/>
            <w:tcBorders>
              <w:top w:val="dotted" w:sz="4" w:space="0" w:color="auto"/>
              <w:left w:val="dotted" w:sz="4" w:space="0" w:color="auto"/>
              <w:bottom w:val="dotted" w:sz="4" w:space="0" w:color="auto"/>
              <w:right w:val="dotted" w:sz="4" w:space="0" w:color="auto"/>
            </w:tcBorders>
            <w:vAlign w:val="center"/>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С.А. Колесова</w:t>
            </w:r>
          </w:p>
        </w:tc>
      </w:tr>
      <w:tr w:rsidR="00630E3B" w:rsidRPr="00630E3B" w:rsidTr="00630E3B">
        <w:trPr>
          <w:trHeight w:val="245"/>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b/>
                <w:sz w:val="24"/>
                <w:szCs w:val="24"/>
              </w:rPr>
            </w:pPr>
            <w:r w:rsidRPr="00630E3B">
              <w:rPr>
                <w:b/>
                <w:sz w:val="24"/>
                <w:szCs w:val="24"/>
              </w:rPr>
              <w:t>Члены правления:</w:t>
            </w:r>
          </w:p>
        </w:tc>
        <w:tc>
          <w:tcPr>
            <w:tcW w:w="1553" w:type="dxa"/>
            <w:tcBorders>
              <w:top w:val="dotted" w:sz="4" w:space="0" w:color="auto"/>
              <w:left w:val="dotted" w:sz="4" w:space="0" w:color="auto"/>
              <w:bottom w:val="dotted" w:sz="4" w:space="0" w:color="auto"/>
              <w:right w:val="dotted" w:sz="4" w:space="0" w:color="auto"/>
            </w:tcBorders>
            <w:vAlign w:val="center"/>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tcPr>
          <w:p w:rsidR="00630E3B" w:rsidRPr="00630E3B" w:rsidRDefault="00630E3B" w:rsidP="00630E3B">
            <w:pPr>
              <w:rPr>
                <w:sz w:val="24"/>
                <w:szCs w:val="24"/>
              </w:rPr>
            </w:pPr>
          </w:p>
        </w:tc>
      </w:tr>
      <w:tr w:rsidR="00630E3B" w:rsidRPr="00630E3B" w:rsidTr="00630E3B">
        <w:trPr>
          <w:trHeight w:val="547"/>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Первый заместитель директора Департамента энергетики и тарифов Ивановской области</w:t>
            </w:r>
          </w:p>
        </w:tc>
        <w:tc>
          <w:tcPr>
            <w:tcW w:w="1553" w:type="dxa"/>
            <w:tcBorders>
              <w:top w:val="dotted" w:sz="4" w:space="0" w:color="auto"/>
              <w:left w:val="dotted" w:sz="4" w:space="0" w:color="auto"/>
              <w:bottom w:val="dotted" w:sz="4" w:space="0" w:color="auto"/>
              <w:right w:val="dotted" w:sz="4" w:space="0" w:color="auto"/>
            </w:tcBorders>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С.Е. Бугаева</w:t>
            </w:r>
          </w:p>
        </w:tc>
      </w:tr>
      <w:tr w:rsidR="00630E3B" w:rsidRPr="00630E3B" w:rsidTr="00630E3B">
        <w:trPr>
          <w:trHeight w:val="547"/>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Заместитель директора Департамента энергетики и тарифов Ивановской области, статс-секретарь</w:t>
            </w:r>
          </w:p>
        </w:tc>
        <w:tc>
          <w:tcPr>
            <w:tcW w:w="1553" w:type="dxa"/>
            <w:tcBorders>
              <w:top w:val="dotted" w:sz="4" w:space="0" w:color="auto"/>
              <w:left w:val="dotted" w:sz="4" w:space="0" w:color="auto"/>
              <w:bottom w:val="dotted" w:sz="4" w:space="0" w:color="auto"/>
              <w:right w:val="dotted" w:sz="4" w:space="0" w:color="auto"/>
            </w:tcBorders>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Н.Б. Гущина</w:t>
            </w:r>
          </w:p>
        </w:tc>
      </w:tr>
      <w:tr w:rsidR="00630E3B" w:rsidRPr="00630E3B" w:rsidTr="00630E3B">
        <w:trPr>
          <w:trHeight w:val="547"/>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Начальник управления регулирования теплоэнергетики Департамента энергетики и тарифов Ивановской области</w:t>
            </w:r>
          </w:p>
        </w:tc>
        <w:tc>
          <w:tcPr>
            <w:tcW w:w="1553" w:type="dxa"/>
            <w:tcBorders>
              <w:top w:val="dotted" w:sz="4" w:space="0" w:color="auto"/>
              <w:left w:val="dotted" w:sz="4" w:space="0" w:color="auto"/>
              <w:bottom w:val="dotted" w:sz="4" w:space="0" w:color="auto"/>
              <w:right w:val="dotted" w:sz="4" w:space="0" w:color="auto"/>
            </w:tcBorders>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Е.В. Турбачкина</w:t>
            </w:r>
          </w:p>
        </w:tc>
      </w:tr>
      <w:tr w:rsidR="00630E3B" w:rsidRPr="00630E3B" w:rsidTr="00630E3B">
        <w:trPr>
          <w:trHeight w:val="559"/>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Начальник управления регулирования электроэнергетики Департамента энергетики и тарифов Ивановской области</w:t>
            </w:r>
          </w:p>
        </w:tc>
        <w:tc>
          <w:tcPr>
            <w:tcW w:w="1553" w:type="dxa"/>
            <w:tcBorders>
              <w:top w:val="dotted" w:sz="4" w:space="0" w:color="auto"/>
              <w:left w:val="dotted" w:sz="4" w:space="0" w:color="auto"/>
              <w:bottom w:val="dotted" w:sz="4" w:space="0" w:color="auto"/>
              <w:right w:val="dotted" w:sz="4" w:space="0" w:color="auto"/>
            </w:tcBorders>
            <w:vAlign w:val="center"/>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Е.А. Коннова</w:t>
            </w:r>
          </w:p>
        </w:tc>
      </w:tr>
      <w:tr w:rsidR="00630E3B" w:rsidRPr="00630E3B" w:rsidTr="00630E3B">
        <w:trPr>
          <w:trHeight w:val="553"/>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Borders>
              <w:top w:val="dotted" w:sz="4" w:space="0" w:color="auto"/>
              <w:left w:val="dotted" w:sz="4" w:space="0" w:color="auto"/>
              <w:bottom w:val="dotted" w:sz="4" w:space="0" w:color="auto"/>
              <w:right w:val="dotted" w:sz="4" w:space="0" w:color="auto"/>
            </w:tcBorders>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И.Г. Полозов</w:t>
            </w:r>
          </w:p>
        </w:tc>
      </w:tr>
      <w:tr w:rsidR="00630E3B" w:rsidRPr="00630E3B" w:rsidTr="00630E3B">
        <w:trPr>
          <w:trHeight w:val="799"/>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Borders>
              <w:top w:val="dotted" w:sz="4" w:space="0" w:color="auto"/>
              <w:left w:val="dotted" w:sz="4" w:space="0" w:color="auto"/>
              <w:bottom w:val="dotted" w:sz="4" w:space="0" w:color="auto"/>
              <w:right w:val="dotted" w:sz="4" w:space="0" w:color="auto"/>
            </w:tcBorders>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О.П. Агапова</w:t>
            </w:r>
          </w:p>
        </w:tc>
      </w:tr>
      <w:tr w:rsidR="00630E3B" w:rsidRPr="00630E3B" w:rsidTr="00630E3B">
        <w:trPr>
          <w:trHeight w:val="541"/>
        </w:trPr>
        <w:tc>
          <w:tcPr>
            <w:tcW w:w="63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Borders>
              <w:top w:val="dotted" w:sz="4" w:space="0" w:color="auto"/>
              <w:left w:val="dotted" w:sz="4" w:space="0" w:color="auto"/>
              <w:bottom w:val="dotted" w:sz="4" w:space="0" w:color="auto"/>
              <w:right w:val="dotted" w:sz="4" w:space="0" w:color="auto"/>
            </w:tcBorders>
          </w:tcPr>
          <w:p w:rsidR="00630E3B" w:rsidRPr="00630E3B" w:rsidRDefault="00630E3B" w:rsidP="00630E3B">
            <w:pPr>
              <w:rPr>
                <w:sz w:val="24"/>
                <w:szCs w:val="24"/>
              </w:rPr>
            </w:pPr>
          </w:p>
        </w:tc>
        <w:tc>
          <w:tcPr>
            <w:tcW w:w="2452" w:type="dxa"/>
            <w:tcBorders>
              <w:top w:val="dotted" w:sz="4" w:space="0" w:color="auto"/>
              <w:left w:val="dotted" w:sz="4" w:space="0" w:color="auto"/>
              <w:bottom w:val="dotted" w:sz="4" w:space="0" w:color="auto"/>
              <w:right w:val="dotted" w:sz="4" w:space="0" w:color="auto"/>
            </w:tcBorders>
            <w:vAlign w:val="bottom"/>
            <w:hideMark/>
          </w:tcPr>
          <w:p w:rsidR="00630E3B" w:rsidRPr="00630E3B" w:rsidRDefault="00630E3B" w:rsidP="00630E3B">
            <w:pPr>
              <w:rPr>
                <w:sz w:val="24"/>
                <w:szCs w:val="24"/>
              </w:rPr>
            </w:pPr>
            <w:r w:rsidRPr="00630E3B">
              <w:rPr>
                <w:sz w:val="24"/>
                <w:szCs w:val="24"/>
              </w:rPr>
              <w:t>З.Б. Виднова</w:t>
            </w:r>
          </w:p>
        </w:tc>
      </w:tr>
    </w:tbl>
    <w:p w:rsidR="006A3BBE" w:rsidRPr="009B4C3C" w:rsidRDefault="006A3BBE" w:rsidP="00116BD6">
      <w:pPr>
        <w:jc w:val="right"/>
        <w:rPr>
          <w:sz w:val="24"/>
          <w:szCs w:val="24"/>
        </w:rPr>
      </w:pPr>
    </w:p>
    <w:sectPr w:rsidR="006A3BBE" w:rsidRPr="009B4C3C" w:rsidSect="0073002B">
      <w:pgSz w:w="11906" w:h="16838"/>
      <w:pgMar w:top="1134" w:right="567" w:bottom="567"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6A" w:rsidRDefault="002E7C6A">
      <w:r>
        <w:separator/>
      </w:r>
    </w:p>
  </w:endnote>
  <w:endnote w:type="continuationSeparator" w:id="0">
    <w:p w:rsidR="002E7C6A" w:rsidRDefault="002E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6A" w:rsidRDefault="002E7C6A">
      <w:r>
        <w:separator/>
      </w:r>
    </w:p>
  </w:footnote>
  <w:footnote w:type="continuationSeparator" w:id="0">
    <w:p w:rsidR="002E7C6A" w:rsidRDefault="002E7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6A" w:rsidRDefault="002E7C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C6A" w:rsidRDefault="002E7C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5pt;height:21pt;visibility:visible" o:bullet="t">
        <v:imagedata r:id="rId1" o:title=""/>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PT Astra Serif" w:hAnsi="PT Astra Serif" w:cs="PT Astra Serif" w:hint="default"/>
        <w:bCs/>
        <w:i/>
        <w:color w:val="auto"/>
      </w:rPr>
    </w:lvl>
  </w:abstractNum>
  <w:abstractNum w:abstractNumId="1">
    <w:nsid w:val="064C3029"/>
    <w:multiLevelType w:val="hybridMultilevel"/>
    <w:tmpl w:val="B05AF4DA"/>
    <w:lvl w:ilvl="0" w:tplc="D116C6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8124F8"/>
    <w:multiLevelType w:val="hybridMultilevel"/>
    <w:tmpl w:val="8D7085F8"/>
    <w:lvl w:ilvl="0" w:tplc="A920B7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CF788C"/>
    <w:multiLevelType w:val="hybridMultilevel"/>
    <w:tmpl w:val="A9D2604A"/>
    <w:lvl w:ilvl="0" w:tplc="893645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644801"/>
    <w:multiLevelType w:val="multilevel"/>
    <w:tmpl w:val="EADC7DF2"/>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F1B33AE"/>
    <w:multiLevelType w:val="hybridMultilevel"/>
    <w:tmpl w:val="55589B96"/>
    <w:lvl w:ilvl="0" w:tplc="6B901558">
      <w:start w:val="1"/>
      <w:numFmt w:val="decimal"/>
      <w:lvlText w:val="%1."/>
      <w:lvlJc w:val="left"/>
      <w:pPr>
        <w:ind w:left="4198"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3D50F0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5190B24"/>
    <w:multiLevelType w:val="hybridMultilevel"/>
    <w:tmpl w:val="1AC201DE"/>
    <w:lvl w:ilvl="0" w:tplc="80DAB5EE">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DA4FE5"/>
    <w:multiLevelType w:val="hybridMultilevel"/>
    <w:tmpl w:val="B8040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DD1731"/>
    <w:multiLevelType w:val="hybridMultilevel"/>
    <w:tmpl w:val="3830E0BA"/>
    <w:lvl w:ilvl="0" w:tplc="688ACB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4C9691F"/>
    <w:multiLevelType w:val="hybridMultilevel"/>
    <w:tmpl w:val="AF387560"/>
    <w:lvl w:ilvl="0" w:tplc="264E0B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2A742C"/>
    <w:multiLevelType w:val="hybridMultilevel"/>
    <w:tmpl w:val="B16E36D8"/>
    <w:lvl w:ilvl="0" w:tplc="35067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6AF454D"/>
    <w:multiLevelType w:val="hybridMultilevel"/>
    <w:tmpl w:val="D0F4A63C"/>
    <w:lvl w:ilvl="0" w:tplc="6478C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7D26795"/>
    <w:multiLevelType w:val="hybridMultilevel"/>
    <w:tmpl w:val="5CE2A9DE"/>
    <w:lvl w:ilvl="0" w:tplc="2B34F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A25133A"/>
    <w:multiLevelType w:val="hybridMultilevel"/>
    <w:tmpl w:val="CF6289E0"/>
    <w:lvl w:ilvl="0" w:tplc="A30A214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865D7F"/>
    <w:multiLevelType w:val="multilevel"/>
    <w:tmpl w:val="2C865D7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nsid w:val="2FA929E9"/>
    <w:multiLevelType w:val="multilevel"/>
    <w:tmpl w:val="2FA929E9"/>
    <w:lvl w:ilvl="0">
      <w:start w:val="1"/>
      <w:numFmt w:val="bullet"/>
      <w:lvlText w:val=""/>
      <w:lvlJc w:val="left"/>
      <w:pPr>
        <w:ind w:left="1069" w:hanging="360"/>
      </w:pPr>
      <w:rPr>
        <w:rFonts w:ascii="Symbol" w:hAnsi="Symbol"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nsid w:val="33226226"/>
    <w:multiLevelType w:val="hybridMultilevel"/>
    <w:tmpl w:val="8E9A1474"/>
    <w:lvl w:ilvl="0" w:tplc="47B66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3D1186A"/>
    <w:multiLevelType w:val="multilevel"/>
    <w:tmpl w:val="5DAACF3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37D6444A"/>
    <w:multiLevelType w:val="hybridMultilevel"/>
    <w:tmpl w:val="3364F4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524769"/>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A004217"/>
    <w:multiLevelType w:val="hybridMultilevel"/>
    <w:tmpl w:val="DA709D52"/>
    <w:lvl w:ilvl="0" w:tplc="D4F2FE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BE50946"/>
    <w:multiLevelType w:val="hybridMultilevel"/>
    <w:tmpl w:val="9938988A"/>
    <w:lvl w:ilvl="0" w:tplc="755A9526">
      <w:start w:val="1"/>
      <w:numFmt w:val="bullet"/>
      <w:lvlText w:val=""/>
      <w:lvlPicBulletId w:val="0"/>
      <w:lvlJc w:val="left"/>
      <w:pPr>
        <w:tabs>
          <w:tab w:val="num" w:pos="720"/>
        </w:tabs>
        <w:ind w:left="720" w:hanging="360"/>
      </w:pPr>
      <w:rPr>
        <w:rFonts w:ascii="Symbol" w:hAnsi="Symbol" w:hint="default"/>
        <w:sz w:val="48"/>
        <w:szCs w:val="28"/>
      </w:rPr>
    </w:lvl>
    <w:lvl w:ilvl="1" w:tplc="696A81A8" w:tentative="1">
      <w:start w:val="1"/>
      <w:numFmt w:val="bullet"/>
      <w:lvlText w:val=""/>
      <w:lvlJc w:val="left"/>
      <w:pPr>
        <w:tabs>
          <w:tab w:val="num" w:pos="1440"/>
        </w:tabs>
        <w:ind w:left="1440" w:hanging="360"/>
      </w:pPr>
      <w:rPr>
        <w:rFonts w:ascii="Symbol" w:hAnsi="Symbol" w:hint="default"/>
      </w:rPr>
    </w:lvl>
    <w:lvl w:ilvl="2" w:tplc="6F0ED322" w:tentative="1">
      <w:start w:val="1"/>
      <w:numFmt w:val="bullet"/>
      <w:lvlText w:val=""/>
      <w:lvlJc w:val="left"/>
      <w:pPr>
        <w:tabs>
          <w:tab w:val="num" w:pos="2160"/>
        </w:tabs>
        <w:ind w:left="2160" w:hanging="360"/>
      </w:pPr>
      <w:rPr>
        <w:rFonts w:ascii="Symbol" w:hAnsi="Symbol" w:hint="default"/>
      </w:rPr>
    </w:lvl>
    <w:lvl w:ilvl="3" w:tplc="59DCE268" w:tentative="1">
      <w:start w:val="1"/>
      <w:numFmt w:val="bullet"/>
      <w:lvlText w:val=""/>
      <w:lvlJc w:val="left"/>
      <w:pPr>
        <w:tabs>
          <w:tab w:val="num" w:pos="2880"/>
        </w:tabs>
        <w:ind w:left="2880" w:hanging="360"/>
      </w:pPr>
      <w:rPr>
        <w:rFonts w:ascii="Symbol" w:hAnsi="Symbol" w:hint="default"/>
      </w:rPr>
    </w:lvl>
    <w:lvl w:ilvl="4" w:tplc="73D4FB1A" w:tentative="1">
      <w:start w:val="1"/>
      <w:numFmt w:val="bullet"/>
      <w:lvlText w:val=""/>
      <w:lvlJc w:val="left"/>
      <w:pPr>
        <w:tabs>
          <w:tab w:val="num" w:pos="3600"/>
        </w:tabs>
        <w:ind w:left="3600" w:hanging="360"/>
      </w:pPr>
      <w:rPr>
        <w:rFonts w:ascii="Symbol" w:hAnsi="Symbol" w:hint="default"/>
      </w:rPr>
    </w:lvl>
    <w:lvl w:ilvl="5" w:tplc="B1EC4A82" w:tentative="1">
      <w:start w:val="1"/>
      <w:numFmt w:val="bullet"/>
      <w:lvlText w:val=""/>
      <w:lvlJc w:val="left"/>
      <w:pPr>
        <w:tabs>
          <w:tab w:val="num" w:pos="4320"/>
        </w:tabs>
        <w:ind w:left="4320" w:hanging="360"/>
      </w:pPr>
      <w:rPr>
        <w:rFonts w:ascii="Symbol" w:hAnsi="Symbol" w:hint="default"/>
      </w:rPr>
    </w:lvl>
    <w:lvl w:ilvl="6" w:tplc="DF5EA2D6" w:tentative="1">
      <w:start w:val="1"/>
      <w:numFmt w:val="bullet"/>
      <w:lvlText w:val=""/>
      <w:lvlJc w:val="left"/>
      <w:pPr>
        <w:tabs>
          <w:tab w:val="num" w:pos="5040"/>
        </w:tabs>
        <w:ind w:left="5040" w:hanging="360"/>
      </w:pPr>
      <w:rPr>
        <w:rFonts w:ascii="Symbol" w:hAnsi="Symbol" w:hint="default"/>
      </w:rPr>
    </w:lvl>
    <w:lvl w:ilvl="7" w:tplc="815C192C" w:tentative="1">
      <w:start w:val="1"/>
      <w:numFmt w:val="bullet"/>
      <w:lvlText w:val=""/>
      <w:lvlJc w:val="left"/>
      <w:pPr>
        <w:tabs>
          <w:tab w:val="num" w:pos="5760"/>
        </w:tabs>
        <w:ind w:left="5760" w:hanging="360"/>
      </w:pPr>
      <w:rPr>
        <w:rFonts w:ascii="Symbol" w:hAnsi="Symbol" w:hint="default"/>
      </w:rPr>
    </w:lvl>
    <w:lvl w:ilvl="8" w:tplc="07E42618" w:tentative="1">
      <w:start w:val="1"/>
      <w:numFmt w:val="bullet"/>
      <w:lvlText w:val=""/>
      <w:lvlJc w:val="left"/>
      <w:pPr>
        <w:tabs>
          <w:tab w:val="num" w:pos="6480"/>
        </w:tabs>
        <w:ind w:left="6480" w:hanging="360"/>
      </w:pPr>
      <w:rPr>
        <w:rFonts w:ascii="Symbol" w:hAnsi="Symbol" w:hint="default"/>
      </w:rPr>
    </w:lvl>
  </w:abstractNum>
  <w:abstractNum w:abstractNumId="23">
    <w:nsid w:val="416C06CB"/>
    <w:multiLevelType w:val="hybridMultilevel"/>
    <w:tmpl w:val="AC00EED2"/>
    <w:lvl w:ilvl="0" w:tplc="D7E873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602513"/>
    <w:multiLevelType w:val="hybridMultilevel"/>
    <w:tmpl w:val="0B38B7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7827DBB"/>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CB46C1A"/>
    <w:multiLevelType w:val="hybridMultilevel"/>
    <w:tmpl w:val="47C264EE"/>
    <w:lvl w:ilvl="0" w:tplc="3CC2608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20673B5"/>
    <w:multiLevelType w:val="hybridMultilevel"/>
    <w:tmpl w:val="BF7CB064"/>
    <w:lvl w:ilvl="0" w:tplc="C06EC468">
      <w:start w:val="1"/>
      <w:numFmt w:val="upperRoman"/>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BC85EE5"/>
    <w:multiLevelType w:val="hybridMultilevel"/>
    <w:tmpl w:val="7D4EA04E"/>
    <w:lvl w:ilvl="0" w:tplc="B29EE0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5BCD1FD7"/>
    <w:multiLevelType w:val="hybridMultilevel"/>
    <w:tmpl w:val="74D0A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192934"/>
    <w:multiLevelType w:val="hybridMultilevel"/>
    <w:tmpl w:val="5878718C"/>
    <w:lvl w:ilvl="0" w:tplc="6CFA2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497B53"/>
    <w:multiLevelType w:val="hybridMultilevel"/>
    <w:tmpl w:val="F58A53DE"/>
    <w:lvl w:ilvl="0" w:tplc="CEB46996">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32D0C46"/>
    <w:multiLevelType w:val="hybridMultilevel"/>
    <w:tmpl w:val="581ED95E"/>
    <w:lvl w:ilvl="0" w:tplc="D04C6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CDF68F6"/>
    <w:multiLevelType w:val="hybridMultilevel"/>
    <w:tmpl w:val="73702730"/>
    <w:lvl w:ilvl="0" w:tplc="CD548380">
      <w:start w:val="1"/>
      <w:numFmt w:val="bullet"/>
      <w:lvlText w:val=""/>
      <w:lvlJc w:val="left"/>
      <w:pPr>
        <w:ind w:left="1080" w:hanging="360"/>
      </w:pPr>
      <w:rPr>
        <w:rFonts w:ascii="Symbol" w:hAnsi="Symbol" w:hint="default"/>
        <w:sz w:val="22"/>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4">
    <w:nsid w:val="706532EC"/>
    <w:multiLevelType w:val="hybridMultilevel"/>
    <w:tmpl w:val="F120EBDA"/>
    <w:lvl w:ilvl="0" w:tplc="5B1A6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1227689"/>
    <w:multiLevelType w:val="hybridMultilevel"/>
    <w:tmpl w:val="54245C46"/>
    <w:lvl w:ilvl="0" w:tplc="49CEF5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BF0674D"/>
    <w:multiLevelType w:val="hybridMultilevel"/>
    <w:tmpl w:val="9C0281B2"/>
    <w:lvl w:ilvl="0" w:tplc="622A6BF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33"/>
  </w:num>
  <w:num w:numId="3">
    <w:abstractNumId w:val="19"/>
  </w:num>
  <w:num w:numId="4">
    <w:abstractNumId w:val="13"/>
  </w:num>
  <w:num w:numId="5">
    <w:abstractNumId w:val="27"/>
  </w:num>
  <w:num w:numId="6">
    <w:abstractNumId w:val="14"/>
  </w:num>
  <w:num w:numId="7">
    <w:abstractNumId w:val="36"/>
  </w:num>
  <w:num w:numId="8">
    <w:abstractNumId w:val="16"/>
  </w:num>
  <w:num w:numId="9">
    <w:abstractNumId w:val="15"/>
  </w:num>
  <w:num w:numId="10">
    <w:abstractNumId w:val="0"/>
  </w:num>
  <w:num w:numId="11">
    <w:abstractNumId w:val="29"/>
  </w:num>
  <w:num w:numId="12">
    <w:abstractNumId w:val="17"/>
  </w:num>
  <w:num w:numId="13">
    <w:abstractNumId w:val="8"/>
  </w:num>
  <w:num w:numId="14">
    <w:abstractNumId w:val="31"/>
  </w:num>
  <w:num w:numId="15">
    <w:abstractNumId w:val="32"/>
  </w:num>
  <w:num w:numId="16">
    <w:abstractNumId w:val="12"/>
  </w:num>
  <w:num w:numId="17">
    <w:abstractNumId w:val="30"/>
  </w:num>
  <w:num w:numId="18">
    <w:abstractNumId w:val="11"/>
  </w:num>
  <w:num w:numId="19">
    <w:abstractNumId w:val="20"/>
  </w:num>
  <w:num w:numId="20">
    <w:abstractNumId w:val="25"/>
  </w:num>
  <w:num w:numId="21">
    <w:abstractNumId w:val="23"/>
  </w:num>
  <w:num w:numId="22">
    <w:abstractNumId w:val="1"/>
  </w:num>
  <w:num w:numId="23">
    <w:abstractNumId w:val="21"/>
  </w:num>
  <w:num w:numId="24">
    <w:abstractNumId w:val="34"/>
  </w:num>
  <w:num w:numId="25">
    <w:abstractNumId w:val="6"/>
  </w:num>
  <w:num w:numId="26">
    <w:abstractNumId w:val="10"/>
  </w:num>
  <w:num w:numId="27">
    <w:abstractNumId w:val="9"/>
  </w:num>
  <w:num w:numId="28">
    <w:abstractNumId w:val="35"/>
  </w:num>
  <w:num w:numId="29">
    <w:abstractNumId w:val="28"/>
  </w:num>
  <w:num w:numId="30">
    <w:abstractNumId w:val="4"/>
  </w:num>
  <w:num w:numId="31">
    <w:abstractNumId w:val="26"/>
  </w:num>
  <w:num w:numId="32">
    <w:abstractNumId w:val="3"/>
  </w:num>
  <w:num w:numId="33">
    <w:abstractNumId w:val="22"/>
  </w:num>
  <w:num w:numId="34">
    <w:abstractNumId w:val="18"/>
  </w:num>
  <w:num w:numId="35">
    <w:abstractNumId w:val="2"/>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4C"/>
    <w:rsid w:val="00001B84"/>
    <w:rsid w:val="000034F9"/>
    <w:rsid w:val="000064CF"/>
    <w:rsid w:val="0000686F"/>
    <w:rsid w:val="000133F2"/>
    <w:rsid w:val="000137F0"/>
    <w:rsid w:val="00015145"/>
    <w:rsid w:val="00026139"/>
    <w:rsid w:val="000277EB"/>
    <w:rsid w:val="000301BD"/>
    <w:rsid w:val="00030E80"/>
    <w:rsid w:val="00034065"/>
    <w:rsid w:val="00035973"/>
    <w:rsid w:val="00035D7B"/>
    <w:rsid w:val="00042C3E"/>
    <w:rsid w:val="00045769"/>
    <w:rsid w:val="00047724"/>
    <w:rsid w:val="00050055"/>
    <w:rsid w:val="000514A4"/>
    <w:rsid w:val="00052294"/>
    <w:rsid w:val="000556C3"/>
    <w:rsid w:val="00056A15"/>
    <w:rsid w:val="0007292D"/>
    <w:rsid w:val="00074265"/>
    <w:rsid w:val="00074A3E"/>
    <w:rsid w:val="000803B1"/>
    <w:rsid w:val="0008522D"/>
    <w:rsid w:val="00085EAD"/>
    <w:rsid w:val="00086DEB"/>
    <w:rsid w:val="00091843"/>
    <w:rsid w:val="000919BD"/>
    <w:rsid w:val="000949BD"/>
    <w:rsid w:val="0009775D"/>
    <w:rsid w:val="000A4B37"/>
    <w:rsid w:val="000A6172"/>
    <w:rsid w:val="000B2498"/>
    <w:rsid w:val="000B292B"/>
    <w:rsid w:val="000B6D4C"/>
    <w:rsid w:val="000B793E"/>
    <w:rsid w:val="000C03C8"/>
    <w:rsid w:val="000C2866"/>
    <w:rsid w:val="000C7F31"/>
    <w:rsid w:val="000D61F7"/>
    <w:rsid w:val="000E4885"/>
    <w:rsid w:val="000E6693"/>
    <w:rsid w:val="000E6C4A"/>
    <w:rsid w:val="00100123"/>
    <w:rsid w:val="00102665"/>
    <w:rsid w:val="00102CEC"/>
    <w:rsid w:val="00102ED2"/>
    <w:rsid w:val="0010702C"/>
    <w:rsid w:val="00107684"/>
    <w:rsid w:val="00110AC3"/>
    <w:rsid w:val="00113A9D"/>
    <w:rsid w:val="001159E4"/>
    <w:rsid w:val="00116BD6"/>
    <w:rsid w:val="00142BF3"/>
    <w:rsid w:val="001431CE"/>
    <w:rsid w:val="00147B89"/>
    <w:rsid w:val="001505AB"/>
    <w:rsid w:val="00150B76"/>
    <w:rsid w:val="001512A5"/>
    <w:rsid w:val="00151E68"/>
    <w:rsid w:val="0015450E"/>
    <w:rsid w:val="00155C56"/>
    <w:rsid w:val="001674F2"/>
    <w:rsid w:val="0017353D"/>
    <w:rsid w:val="00174CA1"/>
    <w:rsid w:val="00174DB7"/>
    <w:rsid w:val="00175CED"/>
    <w:rsid w:val="0017733A"/>
    <w:rsid w:val="00181BF3"/>
    <w:rsid w:val="00181D4D"/>
    <w:rsid w:val="00181F32"/>
    <w:rsid w:val="00183E5D"/>
    <w:rsid w:val="00186589"/>
    <w:rsid w:val="00190A38"/>
    <w:rsid w:val="0019314A"/>
    <w:rsid w:val="001938D2"/>
    <w:rsid w:val="001A0167"/>
    <w:rsid w:val="001A1815"/>
    <w:rsid w:val="001A211D"/>
    <w:rsid w:val="001A269F"/>
    <w:rsid w:val="001A68A8"/>
    <w:rsid w:val="001B0649"/>
    <w:rsid w:val="001B5F14"/>
    <w:rsid w:val="001C1817"/>
    <w:rsid w:val="001C3FF6"/>
    <w:rsid w:val="001C5116"/>
    <w:rsid w:val="001C6E2F"/>
    <w:rsid w:val="001D267C"/>
    <w:rsid w:val="001E449B"/>
    <w:rsid w:val="001F100B"/>
    <w:rsid w:val="001F10D5"/>
    <w:rsid w:val="001F29F1"/>
    <w:rsid w:val="001F2F0F"/>
    <w:rsid w:val="001F414F"/>
    <w:rsid w:val="001F742F"/>
    <w:rsid w:val="0020423A"/>
    <w:rsid w:val="00207C1F"/>
    <w:rsid w:val="00211B49"/>
    <w:rsid w:val="0021547D"/>
    <w:rsid w:val="00217DC7"/>
    <w:rsid w:val="00222418"/>
    <w:rsid w:val="00226355"/>
    <w:rsid w:val="00226DCE"/>
    <w:rsid w:val="0022750E"/>
    <w:rsid w:val="00230516"/>
    <w:rsid w:val="00230A1D"/>
    <w:rsid w:val="002339C5"/>
    <w:rsid w:val="00233DD6"/>
    <w:rsid w:val="00236CD7"/>
    <w:rsid w:val="002476A2"/>
    <w:rsid w:val="00252198"/>
    <w:rsid w:val="002524C2"/>
    <w:rsid w:val="0026091F"/>
    <w:rsid w:val="00262B8E"/>
    <w:rsid w:val="00262C82"/>
    <w:rsid w:val="00264EE1"/>
    <w:rsid w:val="002672CB"/>
    <w:rsid w:val="00267E21"/>
    <w:rsid w:val="00271547"/>
    <w:rsid w:val="0027284C"/>
    <w:rsid w:val="00273544"/>
    <w:rsid w:val="00273BD2"/>
    <w:rsid w:val="00283F36"/>
    <w:rsid w:val="002853CF"/>
    <w:rsid w:val="0028579F"/>
    <w:rsid w:val="00293AF9"/>
    <w:rsid w:val="002B01F5"/>
    <w:rsid w:val="002B338E"/>
    <w:rsid w:val="002C07D9"/>
    <w:rsid w:val="002C494C"/>
    <w:rsid w:val="002C5B81"/>
    <w:rsid w:val="002C6749"/>
    <w:rsid w:val="002D04FB"/>
    <w:rsid w:val="002D0AF6"/>
    <w:rsid w:val="002E3293"/>
    <w:rsid w:val="002E3372"/>
    <w:rsid w:val="002E4504"/>
    <w:rsid w:val="002E7787"/>
    <w:rsid w:val="002E7C6A"/>
    <w:rsid w:val="002F0C90"/>
    <w:rsid w:val="002F1BFC"/>
    <w:rsid w:val="002F5643"/>
    <w:rsid w:val="002F7025"/>
    <w:rsid w:val="002F7851"/>
    <w:rsid w:val="00300070"/>
    <w:rsid w:val="003042C4"/>
    <w:rsid w:val="0030517F"/>
    <w:rsid w:val="00310AE0"/>
    <w:rsid w:val="0031336F"/>
    <w:rsid w:val="00314BB6"/>
    <w:rsid w:val="00315EEF"/>
    <w:rsid w:val="00324EED"/>
    <w:rsid w:val="0032562B"/>
    <w:rsid w:val="00326FC6"/>
    <w:rsid w:val="00334250"/>
    <w:rsid w:val="00335AB5"/>
    <w:rsid w:val="00340099"/>
    <w:rsid w:val="00341E04"/>
    <w:rsid w:val="00353E00"/>
    <w:rsid w:val="00356705"/>
    <w:rsid w:val="00356FFC"/>
    <w:rsid w:val="00362392"/>
    <w:rsid w:val="00370909"/>
    <w:rsid w:val="00370D57"/>
    <w:rsid w:val="003768AC"/>
    <w:rsid w:val="0038321A"/>
    <w:rsid w:val="00387F99"/>
    <w:rsid w:val="00390B94"/>
    <w:rsid w:val="0039140D"/>
    <w:rsid w:val="00392DA8"/>
    <w:rsid w:val="00394351"/>
    <w:rsid w:val="003953E3"/>
    <w:rsid w:val="0039712C"/>
    <w:rsid w:val="003A2FBF"/>
    <w:rsid w:val="003A4496"/>
    <w:rsid w:val="003A6C9D"/>
    <w:rsid w:val="003A78E2"/>
    <w:rsid w:val="003A7B41"/>
    <w:rsid w:val="003B0663"/>
    <w:rsid w:val="003B0C99"/>
    <w:rsid w:val="003B2CE7"/>
    <w:rsid w:val="003C01FA"/>
    <w:rsid w:val="003C20F8"/>
    <w:rsid w:val="003C295A"/>
    <w:rsid w:val="003D19D3"/>
    <w:rsid w:val="003D2E03"/>
    <w:rsid w:val="003E55E7"/>
    <w:rsid w:val="003E5A74"/>
    <w:rsid w:val="003E7C83"/>
    <w:rsid w:val="003F081D"/>
    <w:rsid w:val="003F3FC6"/>
    <w:rsid w:val="003F4CE4"/>
    <w:rsid w:val="00401B45"/>
    <w:rsid w:val="00401E5C"/>
    <w:rsid w:val="004068C6"/>
    <w:rsid w:val="00410FAC"/>
    <w:rsid w:val="004118FC"/>
    <w:rsid w:val="00412FA2"/>
    <w:rsid w:val="0041444D"/>
    <w:rsid w:val="00414B01"/>
    <w:rsid w:val="00417FF8"/>
    <w:rsid w:val="0042157E"/>
    <w:rsid w:val="00425E5F"/>
    <w:rsid w:val="004268A5"/>
    <w:rsid w:val="004271A1"/>
    <w:rsid w:val="00427593"/>
    <w:rsid w:val="0043516F"/>
    <w:rsid w:val="0043607E"/>
    <w:rsid w:val="00447FE6"/>
    <w:rsid w:val="00451273"/>
    <w:rsid w:val="00456648"/>
    <w:rsid w:val="00462E68"/>
    <w:rsid w:val="00463003"/>
    <w:rsid w:val="004649EB"/>
    <w:rsid w:val="00465DE5"/>
    <w:rsid w:val="00466942"/>
    <w:rsid w:val="0047135E"/>
    <w:rsid w:val="00473802"/>
    <w:rsid w:val="00473BF9"/>
    <w:rsid w:val="0047755F"/>
    <w:rsid w:val="00485F6E"/>
    <w:rsid w:val="0048693C"/>
    <w:rsid w:val="00486D60"/>
    <w:rsid w:val="00491AB6"/>
    <w:rsid w:val="004A3C0A"/>
    <w:rsid w:val="004A3F1A"/>
    <w:rsid w:val="004A64E7"/>
    <w:rsid w:val="004B0782"/>
    <w:rsid w:val="004B191C"/>
    <w:rsid w:val="004B347B"/>
    <w:rsid w:val="004C0143"/>
    <w:rsid w:val="004C116C"/>
    <w:rsid w:val="004C217C"/>
    <w:rsid w:val="004C360E"/>
    <w:rsid w:val="004C3F09"/>
    <w:rsid w:val="004C4178"/>
    <w:rsid w:val="004C6E09"/>
    <w:rsid w:val="004D0A10"/>
    <w:rsid w:val="004D4E6B"/>
    <w:rsid w:val="004E2154"/>
    <w:rsid w:val="004E2C77"/>
    <w:rsid w:val="004E35E5"/>
    <w:rsid w:val="004F3A3D"/>
    <w:rsid w:val="00500B17"/>
    <w:rsid w:val="005010B2"/>
    <w:rsid w:val="0050264C"/>
    <w:rsid w:val="00503415"/>
    <w:rsid w:val="00504AFD"/>
    <w:rsid w:val="005065A4"/>
    <w:rsid w:val="00515FCE"/>
    <w:rsid w:val="0051753F"/>
    <w:rsid w:val="00520414"/>
    <w:rsid w:val="0052099A"/>
    <w:rsid w:val="00522274"/>
    <w:rsid w:val="005275BB"/>
    <w:rsid w:val="005310D6"/>
    <w:rsid w:val="0053263D"/>
    <w:rsid w:val="00534B05"/>
    <w:rsid w:val="005353FE"/>
    <w:rsid w:val="00546435"/>
    <w:rsid w:val="0054671C"/>
    <w:rsid w:val="0055061E"/>
    <w:rsid w:val="00551589"/>
    <w:rsid w:val="00552585"/>
    <w:rsid w:val="0055285B"/>
    <w:rsid w:val="00554200"/>
    <w:rsid w:val="005614F7"/>
    <w:rsid w:val="00561EC6"/>
    <w:rsid w:val="005631A6"/>
    <w:rsid w:val="005639E3"/>
    <w:rsid w:val="00564665"/>
    <w:rsid w:val="005657C9"/>
    <w:rsid w:val="00571211"/>
    <w:rsid w:val="00576EDF"/>
    <w:rsid w:val="0058180F"/>
    <w:rsid w:val="0058694A"/>
    <w:rsid w:val="00591D17"/>
    <w:rsid w:val="00593C83"/>
    <w:rsid w:val="00593F83"/>
    <w:rsid w:val="00596AAD"/>
    <w:rsid w:val="005B132A"/>
    <w:rsid w:val="005B2A72"/>
    <w:rsid w:val="005B384C"/>
    <w:rsid w:val="005B4D9E"/>
    <w:rsid w:val="005B57C8"/>
    <w:rsid w:val="005B6B08"/>
    <w:rsid w:val="005C0C82"/>
    <w:rsid w:val="005C1047"/>
    <w:rsid w:val="005C5306"/>
    <w:rsid w:val="005C54A7"/>
    <w:rsid w:val="005C752D"/>
    <w:rsid w:val="005D13EC"/>
    <w:rsid w:val="005D3BD4"/>
    <w:rsid w:val="005D4BBE"/>
    <w:rsid w:val="005E2A3A"/>
    <w:rsid w:val="005E32C1"/>
    <w:rsid w:val="005F2157"/>
    <w:rsid w:val="005F268F"/>
    <w:rsid w:val="005F2896"/>
    <w:rsid w:val="005F701F"/>
    <w:rsid w:val="00606AFA"/>
    <w:rsid w:val="00610136"/>
    <w:rsid w:val="00615F0C"/>
    <w:rsid w:val="006208AA"/>
    <w:rsid w:val="006218E7"/>
    <w:rsid w:val="00626A32"/>
    <w:rsid w:val="00630E3B"/>
    <w:rsid w:val="00630F85"/>
    <w:rsid w:val="00631378"/>
    <w:rsid w:val="006340C7"/>
    <w:rsid w:val="006376B4"/>
    <w:rsid w:val="00637B5E"/>
    <w:rsid w:val="006479A0"/>
    <w:rsid w:val="00657A22"/>
    <w:rsid w:val="00662303"/>
    <w:rsid w:val="006629F6"/>
    <w:rsid w:val="006651B9"/>
    <w:rsid w:val="00665567"/>
    <w:rsid w:val="0066587A"/>
    <w:rsid w:val="00670278"/>
    <w:rsid w:val="00671CC5"/>
    <w:rsid w:val="006732ED"/>
    <w:rsid w:val="0067528C"/>
    <w:rsid w:val="00675A8B"/>
    <w:rsid w:val="00680E63"/>
    <w:rsid w:val="00681C7A"/>
    <w:rsid w:val="00690DA4"/>
    <w:rsid w:val="00691745"/>
    <w:rsid w:val="006923ED"/>
    <w:rsid w:val="00693F4E"/>
    <w:rsid w:val="00694117"/>
    <w:rsid w:val="0069698E"/>
    <w:rsid w:val="0069776C"/>
    <w:rsid w:val="006A3BBE"/>
    <w:rsid w:val="006A563C"/>
    <w:rsid w:val="006A5EB4"/>
    <w:rsid w:val="006B54D8"/>
    <w:rsid w:val="006B6625"/>
    <w:rsid w:val="006B7720"/>
    <w:rsid w:val="006C2642"/>
    <w:rsid w:val="006C3F8F"/>
    <w:rsid w:val="006C3FC4"/>
    <w:rsid w:val="006C6386"/>
    <w:rsid w:val="006C7FD6"/>
    <w:rsid w:val="006D00A4"/>
    <w:rsid w:val="006D357B"/>
    <w:rsid w:val="006E2C97"/>
    <w:rsid w:val="006E56E3"/>
    <w:rsid w:val="006E6693"/>
    <w:rsid w:val="006E7BB8"/>
    <w:rsid w:val="006F1364"/>
    <w:rsid w:val="006F54B2"/>
    <w:rsid w:val="006F70A3"/>
    <w:rsid w:val="0070141D"/>
    <w:rsid w:val="007068DC"/>
    <w:rsid w:val="007227C4"/>
    <w:rsid w:val="007228F6"/>
    <w:rsid w:val="00725F00"/>
    <w:rsid w:val="007261C4"/>
    <w:rsid w:val="00726C0D"/>
    <w:rsid w:val="0073002B"/>
    <w:rsid w:val="007364F8"/>
    <w:rsid w:val="00737365"/>
    <w:rsid w:val="00742F8D"/>
    <w:rsid w:val="007442F2"/>
    <w:rsid w:val="00745585"/>
    <w:rsid w:val="00750E43"/>
    <w:rsid w:val="00754A8C"/>
    <w:rsid w:val="00757CCA"/>
    <w:rsid w:val="00760CF5"/>
    <w:rsid w:val="0076398B"/>
    <w:rsid w:val="00764D5A"/>
    <w:rsid w:val="007660C9"/>
    <w:rsid w:val="00771B42"/>
    <w:rsid w:val="00772D93"/>
    <w:rsid w:val="0077531F"/>
    <w:rsid w:val="00784053"/>
    <w:rsid w:val="00784702"/>
    <w:rsid w:val="00790FF1"/>
    <w:rsid w:val="007921B5"/>
    <w:rsid w:val="0079386D"/>
    <w:rsid w:val="007949B5"/>
    <w:rsid w:val="00794E71"/>
    <w:rsid w:val="00796DE0"/>
    <w:rsid w:val="007A0214"/>
    <w:rsid w:val="007A5684"/>
    <w:rsid w:val="007B13F0"/>
    <w:rsid w:val="007B309C"/>
    <w:rsid w:val="007B37CA"/>
    <w:rsid w:val="007B5DD0"/>
    <w:rsid w:val="007B777A"/>
    <w:rsid w:val="007C2BFE"/>
    <w:rsid w:val="007D340D"/>
    <w:rsid w:val="007D42E6"/>
    <w:rsid w:val="007D776C"/>
    <w:rsid w:val="007E5863"/>
    <w:rsid w:val="007E5A1F"/>
    <w:rsid w:val="007E7E24"/>
    <w:rsid w:val="007F6EB0"/>
    <w:rsid w:val="008018D0"/>
    <w:rsid w:val="0080253E"/>
    <w:rsid w:val="00802AFD"/>
    <w:rsid w:val="00803D70"/>
    <w:rsid w:val="00804CFB"/>
    <w:rsid w:val="00805B4E"/>
    <w:rsid w:val="008064A2"/>
    <w:rsid w:val="008069CD"/>
    <w:rsid w:val="00806B96"/>
    <w:rsid w:val="00817FB8"/>
    <w:rsid w:val="00822448"/>
    <w:rsid w:val="00827C6C"/>
    <w:rsid w:val="00832278"/>
    <w:rsid w:val="00832513"/>
    <w:rsid w:val="00834454"/>
    <w:rsid w:val="00842D18"/>
    <w:rsid w:val="00843EBE"/>
    <w:rsid w:val="008465E8"/>
    <w:rsid w:val="00847CC3"/>
    <w:rsid w:val="008536F3"/>
    <w:rsid w:val="00853E7E"/>
    <w:rsid w:val="00866AD7"/>
    <w:rsid w:val="00876CAB"/>
    <w:rsid w:val="00884BA4"/>
    <w:rsid w:val="00884C58"/>
    <w:rsid w:val="00885A4A"/>
    <w:rsid w:val="00887937"/>
    <w:rsid w:val="008A156D"/>
    <w:rsid w:val="008A5F9F"/>
    <w:rsid w:val="008B4AF5"/>
    <w:rsid w:val="008B720C"/>
    <w:rsid w:val="008B75D9"/>
    <w:rsid w:val="008B7CF2"/>
    <w:rsid w:val="008C042F"/>
    <w:rsid w:val="008D0D47"/>
    <w:rsid w:val="008D0F15"/>
    <w:rsid w:val="008D1B66"/>
    <w:rsid w:val="008E1C37"/>
    <w:rsid w:val="008E24DC"/>
    <w:rsid w:val="008E343B"/>
    <w:rsid w:val="008E7EDA"/>
    <w:rsid w:val="008F0C67"/>
    <w:rsid w:val="00902327"/>
    <w:rsid w:val="00906527"/>
    <w:rsid w:val="0091037F"/>
    <w:rsid w:val="00910440"/>
    <w:rsid w:val="00910B1E"/>
    <w:rsid w:val="009162A7"/>
    <w:rsid w:val="009162DA"/>
    <w:rsid w:val="00917700"/>
    <w:rsid w:val="00925ECE"/>
    <w:rsid w:val="0092634E"/>
    <w:rsid w:val="00945A23"/>
    <w:rsid w:val="00946ADC"/>
    <w:rsid w:val="00947799"/>
    <w:rsid w:val="00950173"/>
    <w:rsid w:val="00950585"/>
    <w:rsid w:val="00950A6E"/>
    <w:rsid w:val="009541AA"/>
    <w:rsid w:val="0095422B"/>
    <w:rsid w:val="00956EEA"/>
    <w:rsid w:val="00957A06"/>
    <w:rsid w:val="00960CB6"/>
    <w:rsid w:val="009634F9"/>
    <w:rsid w:val="009643B0"/>
    <w:rsid w:val="00965C74"/>
    <w:rsid w:val="00966575"/>
    <w:rsid w:val="00971250"/>
    <w:rsid w:val="0097742D"/>
    <w:rsid w:val="00977F17"/>
    <w:rsid w:val="00987791"/>
    <w:rsid w:val="00993838"/>
    <w:rsid w:val="009A06DC"/>
    <w:rsid w:val="009A0A72"/>
    <w:rsid w:val="009A1FB2"/>
    <w:rsid w:val="009A3354"/>
    <w:rsid w:val="009A6438"/>
    <w:rsid w:val="009B4C3C"/>
    <w:rsid w:val="009B50E0"/>
    <w:rsid w:val="009B651F"/>
    <w:rsid w:val="009C2D1B"/>
    <w:rsid w:val="009C30CB"/>
    <w:rsid w:val="009C6019"/>
    <w:rsid w:val="009C6282"/>
    <w:rsid w:val="009C631A"/>
    <w:rsid w:val="009D0E6F"/>
    <w:rsid w:val="009D1404"/>
    <w:rsid w:val="009D3914"/>
    <w:rsid w:val="009D5AB3"/>
    <w:rsid w:val="009D60BE"/>
    <w:rsid w:val="009D62E9"/>
    <w:rsid w:val="009E2F43"/>
    <w:rsid w:val="009E3FD1"/>
    <w:rsid w:val="009E75E7"/>
    <w:rsid w:val="009F131D"/>
    <w:rsid w:val="009F2C7F"/>
    <w:rsid w:val="009F2D1F"/>
    <w:rsid w:val="009F55B9"/>
    <w:rsid w:val="009F77AE"/>
    <w:rsid w:val="00A00FE4"/>
    <w:rsid w:val="00A01D42"/>
    <w:rsid w:val="00A02F26"/>
    <w:rsid w:val="00A0421C"/>
    <w:rsid w:val="00A06490"/>
    <w:rsid w:val="00A14BD5"/>
    <w:rsid w:val="00A1552E"/>
    <w:rsid w:val="00A17C95"/>
    <w:rsid w:val="00A23C58"/>
    <w:rsid w:val="00A26D02"/>
    <w:rsid w:val="00A32482"/>
    <w:rsid w:val="00A33801"/>
    <w:rsid w:val="00A342A8"/>
    <w:rsid w:val="00A41D7A"/>
    <w:rsid w:val="00A423D8"/>
    <w:rsid w:val="00A4262F"/>
    <w:rsid w:val="00A43114"/>
    <w:rsid w:val="00A525DD"/>
    <w:rsid w:val="00A53A61"/>
    <w:rsid w:val="00A54C74"/>
    <w:rsid w:val="00A6055A"/>
    <w:rsid w:val="00A60B93"/>
    <w:rsid w:val="00A62C36"/>
    <w:rsid w:val="00A63791"/>
    <w:rsid w:val="00A64548"/>
    <w:rsid w:val="00A658B7"/>
    <w:rsid w:val="00A7088D"/>
    <w:rsid w:val="00A70E90"/>
    <w:rsid w:val="00A73314"/>
    <w:rsid w:val="00A75A23"/>
    <w:rsid w:val="00A76BD2"/>
    <w:rsid w:val="00A83083"/>
    <w:rsid w:val="00A8315D"/>
    <w:rsid w:val="00A833E0"/>
    <w:rsid w:val="00A8570A"/>
    <w:rsid w:val="00A8662B"/>
    <w:rsid w:val="00A94DEB"/>
    <w:rsid w:val="00A9512B"/>
    <w:rsid w:val="00A9555A"/>
    <w:rsid w:val="00A973F4"/>
    <w:rsid w:val="00AA0D5B"/>
    <w:rsid w:val="00AA1281"/>
    <w:rsid w:val="00AA1CE4"/>
    <w:rsid w:val="00AA3F49"/>
    <w:rsid w:val="00AA4D30"/>
    <w:rsid w:val="00AA5C1A"/>
    <w:rsid w:val="00AA676D"/>
    <w:rsid w:val="00AB2502"/>
    <w:rsid w:val="00AB5325"/>
    <w:rsid w:val="00AC336E"/>
    <w:rsid w:val="00AC6A44"/>
    <w:rsid w:val="00AC773B"/>
    <w:rsid w:val="00AD10E7"/>
    <w:rsid w:val="00AD318E"/>
    <w:rsid w:val="00AD339B"/>
    <w:rsid w:val="00AD6195"/>
    <w:rsid w:val="00AE001D"/>
    <w:rsid w:val="00AE1D47"/>
    <w:rsid w:val="00AE1F2A"/>
    <w:rsid w:val="00AE592F"/>
    <w:rsid w:val="00AE5EEB"/>
    <w:rsid w:val="00AE791B"/>
    <w:rsid w:val="00AF06B6"/>
    <w:rsid w:val="00AF0BE9"/>
    <w:rsid w:val="00AF14BE"/>
    <w:rsid w:val="00B00CF1"/>
    <w:rsid w:val="00B02516"/>
    <w:rsid w:val="00B03957"/>
    <w:rsid w:val="00B03A77"/>
    <w:rsid w:val="00B06DEC"/>
    <w:rsid w:val="00B1374E"/>
    <w:rsid w:val="00B150D4"/>
    <w:rsid w:val="00B173E4"/>
    <w:rsid w:val="00B21B80"/>
    <w:rsid w:val="00B22429"/>
    <w:rsid w:val="00B26A62"/>
    <w:rsid w:val="00B30208"/>
    <w:rsid w:val="00B308D6"/>
    <w:rsid w:val="00B31BA4"/>
    <w:rsid w:val="00B31F9F"/>
    <w:rsid w:val="00B32C3D"/>
    <w:rsid w:val="00B4497A"/>
    <w:rsid w:val="00B469C1"/>
    <w:rsid w:val="00B472DB"/>
    <w:rsid w:val="00B5577E"/>
    <w:rsid w:val="00B55ABA"/>
    <w:rsid w:val="00B621D4"/>
    <w:rsid w:val="00B62729"/>
    <w:rsid w:val="00B637B3"/>
    <w:rsid w:val="00B673F4"/>
    <w:rsid w:val="00B728AB"/>
    <w:rsid w:val="00B731B4"/>
    <w:rsid w:val="00B73526"/>
    <w:rsid w:val="00B7408D"/>
    <w:rsid w:val="00B74549"/>
    <w:rsid w:val="00B804DD"/>
    <w:rsid w:val="00B83B19"/>
    <w:rsid w:val="00B8457A"/>
    <w:rsid w:val="00B8486A"/>
    <w:rsid w:val="00B85381"/>
    <w:rsid w:val="00B854A8"/>
    <w:rsid w:val="00B86551"/>
    <w:rsid w:val="00B86D23"/>
    <w:rsid w:val="00B86D30"/>
    <w:rsid w:val="00B87002"/>
    <w:rsid w:val="00B872E8"/>
    <w:rsid w:val="00B876FB"/>
    <w:rsid w:val="00B911BA"/>
    <w:rsid w:val="00B9291A"/>
    <w:rsid w:val="00B942FC"/>
    <w:rsid w:val="00B94876"/>
    <w:rsid w:val="00B966C0"/>
    <w:rsid w:val="00B96B60"/>
    <w:rsid w:val="00B97230"/>
    <w:rsid w:val="00BA20E7"/>
    <w:rsid w:val="00BA4212"/>
    <w:rsid w:val="00BA5A30"/>
    <w:rsid w:val="00BB13D9"/>
    <w:rsid w:val="00BC0D42"/>
    <w:rsid w:val="00BC172E"/>
    <w:rsid w:val="00BC1905"/>
    <w:rsid w:val="00BC63D3"/>
    <w:rsid w:val="00BD0351"/>
    <w:rsid w:val="00BD4C16"/>
    <w:rsid w:val="00BD50D3"/>
    <w:rsid w:val="00BE2600"/>
    <w:rsid w:val="00BE4E6F"/>
    <w:rsid w:val="00BE6E1F"/>
    <w:rsid w:val="00BF6CDF"/>
    <w:rsid w:val="00C007C7"/>
    <w:rsid w:val="00C06793"/>
    <w:rsid w:val="00C10AF5"/>
    <w:rsid w:val="00C2349C"/>
    <w:rsid w:val="00C2375A"/>
    <w:rsid w:val="00C240B2"/>
    <w:rsid w:val="00C25B38"/>
    <w:rsid w:val="00C306BE"/>
    <w:rsid w:val="00C309CD"/>
    <w:rsid w:val="00C34509"/>
    <w:rsid w:val="00C3474D"/>
    <w:rsid w:val="00C406F6"/>
    <w:rsid w:val="00C433FF"/>
    <w:rsid w:val="00C44665"/>
    <w:rsid w:val="00C45974"/>
    <w:rsid w:val="00C530BA"/>
    <w:rsid w:val="00C56F66"/>
    <w:rsid w:val="00C57BF7"/>
    <w:rsid w:val="00C62E6B"/>
    <w:rsid w:val="00C6399E"/>
    <w:rsid w:val="00C64358"/>
    <w:rsid w:val="00C645A4"/>
    <w:rsid w:val="00C67862"/>
    <w:rsid w:val="00C76C11"/>
    <w:rsid w:val="00C81296"/>
    <w:rsid w:val="00C8155C"/>
    <w:rsid w:val="00C828F9"/>
    <w:rsid w:val="00C82BB3"/>
    <w:rsid w:val="00C8449F"/>
    <w:rsid w:val="00C875E3"/>
    <w:rsid w:val="00C92030"/>
    <w:rsid w:val="00C9736D"/>
    <w:rsid w:val="00C97D8E"/>
    <w:rsid w:val="00CA4CA8"/>
    <w:rsid w:val="00CA63C7"/>
    <w:rsid w:val="00CB07AC"/>
    <w:rsid w:val="00CB2DB7"/>
    <w:rsid w:val="00CB5495"/>
    <w:rsid w:val="00CC21E1"/>
    <w:rsid w:val="00CC64E9"/>
    <w:rsid w:val="00CC6A50"/>
    <w:rsid w:val="00CC776F"/>
    <w:rsid w:val="00CD0B04"/>
    <w:rsid w:val="00CD1ACA"/>
    <w:rsid w:val="00CD2C0D"/>
    <w:rsid w:val="00CD2D4F"/>
    <w:rsid w:val="00CD3A4E"/>
    <w:rsid w:val="00CE0328"/>
    <w:rsid w:val="00CE5B58"/>
    <w:rsid w:val="00CE7A74"/>
    <w:rsid w:val="00CF12C1"/>
    <w:rsid w:val="00CF4FEE"/>
    <w:rsid w:val="00D07894"/>
    <w:rsid w:val="00D116AE"/>
    <w:rsid w:val="00D1206E"/>
    <w:rsid w:val="00D13CE4"/>
    <w:rsid w:val="00D2174F"/>
    <w:rsid w:val="00D22BDC"/>
    <w:rsid w:val="00D2620D"/>
    <w:rsid w:val="00D26BA2"/>
    <w:rsid w:val="00D270C4"/>
    <w:rsid w:val="00D303A6"/>
    <w:rsid w:val="00D32096"/>
    <w:rsid w:val="00D323A6"/>
    <w:rsid w:val="00D327E6"/>
    <w:rsid w:val="00D330F6"/>
    <w:rsid w:val="00D37CFC"/>
    <w:rsid w:val="00D43B0B"/>
    <w:rsid w:val="00D51BA7"/>
    <w:rsid w:val="00D51D69"/>
    <w:rsid w:val="00D53446"/>
    <w:rsid w:val="00D55430"/>
    <w:rsid w:val="00D6543B"/>
    <w:rsid w:val="00D65A0C"/>
    <w:rsid w:val="00D6711F"/>
    <w:rsid w:val="00D6783D"/>
    <w:rsid w:val="00D72A8C"/>
    <w:rsid w:val="00D81313"/>
    <w:rsid w:val="00D81CFF"/>
    <w:rsid w:val="00D83468"/>
    <w:rsid w:val="00D86FA6"/>
    <w:rsid w:val="00D871F9"/>
    <w:rsid w:val="00D913B7"/>
    <w:rsid w:val="00D937E2"/>
    <w:rsid w:val="00D97388"/>
    <w:rsid w:val="00DB156E"/>
    <w:rsid w:val="00DB2BAD"/>
    <w:rsid w:val="00DB4114"/>
    <w:rsid w:val="00DC224D"/>
    <w:rsid w:val="00DC2E71"/>
    <w:rsid w:val="00DC690C"/>
    <w:rsid w:val="00DC70E0"/>
    <w:rsid w:val="00DC7CDD"/>
    <w:rsid w:val="00DD26C2"/>
    <w:rsid w:val="00DD3D8E"/>
    <w:rsid w:val="00DD5618"/>
    <w:rsid w:val="00DE1256"/>
    <w:rsid w:val="00DE16B4"/>
    <w:rsid w:val="00DE195F"/>
    <w:rsid w:val="00DE310B"/>
    <w:rsid w:val="00DE36BB"/>
    <w:rsid w:val="00DE58A7"/>
    <w:rsid w:val="00DE63F9"/>
    <w:rsid w:val="00DF0829"/>
    <w:rsid w:val="00DF2186"/>
    <w:rsid w:val="00DF497E"/>
    <w:rsid w:val="00E05E2D"/>
    <w:rsid w:val="00E07414"/>
    <w:rsid w:val="00E21E72"/>
    <w:rsid w:val="00E22906"/>
    <w:rsid w:val="00E22C92"/>
    <w:rsid w:val="00E23621"/>
    <w:rsid w:val="00E2741D"/>
    <w:rsid w:val="00E330EB"/>
    <w:rsid w:val="00E34193"/>
    <w:rsid w:val="00E363CB"/>
    <w:rsid w:val="00E40365"/>
    <w:rsid w:val="00E424F9"/>
    <w:rsid w:val="00E454AF"/>
    <w:rsid w:val="00E51103"/>
    <w:rsid w:val="00E55D61"/>
    <w:rsid w:val="00E566D5"/>
    <w:rsid w:val="00E56940"/>
    <w:rsid w:val="00E623C2"/>
    <w:rsid w:val="00E6567D"/>
    <w:rsid w:val="00E65D99"/>
    <w:rsid w:val="00E7441E"/>
    <w:rsid w:val="00E84606"/>
    <w:rsid w:val="00E86E4E"/>
    <w:rsid w:val="00E92E95"/>
    <w:rsid w:val="00E95F9F"/>
    <w:rsid w:val="00EA0150"/>
    <w:rsid w:val="00EA07F3"/>
    <w:rsid w:val="00EA15EA"/>
    <w:rsid w:val="00EA2A52"/>
    <w:rsid w:val="00EA6678"/>
    <w:rsid w:val="00EB1E8D"/>
    <w:rsid w:val="00EB2189"/>
    <w:rsid w:val="00EB56EB"/>
    <w:rsid w:val="00EB7064"/>
    <w:rsid w:val="00EB77D5"/>
    <w:rsid w:val="00EB7A7F"/>
    <w:rsid w:val="00EC10BF"/>
    <w:rsid w:val="00EC77B9"/>
    <w:rsid w:val="00ED3715"/>
    <w:rsid w:val="00EE40BF"/>
    <w:rsid w:val="00EE48B6"/>
    <w:rsid w:val="00EF043D"/>
    <w:rsid w:val="00EF2F65"/>
    <w:rsid w:val="00F04875"/>
    <w:rsid w:val="00F07056"/>
    <w:rsid w:val="00F07C93"/>
    <w:rsid w:val="00F12D13"/>
    <w:rsid w:val="00F148BA"/>
    <w:rsid w:val="00F16252"/>
    <w:rsid w:val="00F164B6"/>
    <w:rsid w:val="00F23C80"/>
    <w:rsid w:val="00F24F21"/>
    <w:rsid w:val="00F31207"/>
    <w:rsid w:val="00F33ADC"/>
    <w:rsid w:val="00F35018"/>
    <w:rsid w:val="00F36FBC"/>
    <w:rsid w:val="00F37033"/>
    <w:rsid w:val="00F37527"/>
    <w:rsid w:val="00F378D1"/>
    <w:rsid w:val="00F43C50"/>
    <w:rsid w:val="00F50070"/>
    <w:rsid w:val="00F5082F"/>
    <w:rsid w:val="00F5627B"/>
    <w:rsid w:val="00F57773"/>
    <w:rsid w:val="00F60878"/>
    <w:rsid w:val="00F620F1"/>
    <w:rsid w:val="00F62C64"/>
    <w:rsid w:val="00F64F61"/>
    <w:rsid w:val="00F66464"/>
    <w:rsid w:val="00F667B9"/>
    <w:rsid w:val="00F66CD0"/>
    <w:rsid w:val="00F72658"/>
    <w:rsid w:val="00F81200"/>
    <w:rsid w:val="00F81A89"/>
    <w:rsid w:val="00F8260E"/>
    <w:rsid w:val="00F836FE"/>
    <w:rsid w:val="00F83D0F"/>
    <w:rsid w:val="00F84FCF"/>
    <w:rsid w:val="00F925F7"/>
    <w:rsid w:val="00F92613"/>
    <w:rsid w:val="00F92C62"/>
    <w:rsid w:val="00F939D1"/>
    <w:rsid w:val="00F93FAF"/>
    <w:rsid w:val="00F9461C"/>
    <w:rsid w:val="00F96DC8"/>
    <w:rsid w:val="00FA3885"/>
    <w:rsid w:val="00FB144C"/>
    <w:rsid w:val="00FB2BA8"/>
    <w:rsid w:val="00FB3641"/>
    <w:rsid w:val="00FB6FF3"/>
    <w:rsid w:val="00FC0647"/>
    <w:rsid w:val="00FC1379"/>
    <w:rsid w:val="00FC21D1"/>
    <w:rsid w:val="00FC3B10"/>
    <w:rsid w:val="00FC453A"/>
    <w:rsid w:val="00FD4C77"/>
    <w:rsid w:val="00FD73D3"/>
    <w:rsid w:val="00FE0A3A"/>
    <w:rsid w:val="00FE1030"/>
    <w:rsid w:val="00FE2D78"/>
    <w:rsid w:val="00FE4724"/>
    <w:rsid w:val="00FE5D55"/>
    <w:rsid w:val="00FE5E09"/>
    <w:rsid w:val="00FF6070"/>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D1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12">
    <w:name w:val="Заголовок1"/>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5">
    <w:name w:val="List"/>
    <w:basedOn w:val="af3"/>
    <w:rsid w:val="002B01F5"/>
    <w:pPr>
      <w:suppressAutoHyphens/>
    </w:pPr>
    <w:rPr>
      <w:rFonts w:cs="Mangal"/>
      <w:lang w:eastAsia="zh-CN"/>
    </w:rPr>
  </w:style>
  <w:style w:type="paragraph" w:styleId="af6">
    <w:name w:val="caption"/>
    <w:basedOn w:val="a"/>
    <w:qFormat/>
    <w:rsid w:val="002B01F5"/>
    <w:pPr>
      <w:suppressLineNumbers/>
      <w:suppressAutoHyphens/>
      <w:spacing w:before="120" w:after="120"/>
    </w:pPr>
    <w:rPr>
      <w:rFonts w:cs="Mangal"/>
      <w:i/>
      <w:iCs/>
      <w:sz w:val="24"/>
      <w:szCs w:val="24"/>
      <w:lang w:eastAsia="zh-CN"/>
    </w:rPr>
  </w:style>
  <w:style w:type="paragraph" w:customStyle="1" w:styleId="13">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7">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8">
    <w:name w:val="Placeholder Text"/>
    <w:uiPriority w:val="99"/>
    <w:semiHidden/>
    <w:rsid w:val="002B01F5"/>
    <w:rPr>
      <w:color w:val="808080"/>
    </w:rPr>
  </w:style>
  <w:style w:type="table" w:customStyle="1" w:styleId="14">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B97230"/>
  </w:style>
  <w:style w:type="paragraph" w:customStyle="1" w:styleId="25">
    <w:name w:val="Основной текст с отступом 25"/>
    <w:basedOn w:val="a"/>
    <w:rsid w:val="00B97230"/>
    <w:pPr>
      <w:suppressAutoHyphens/>
      <w:ind w:firstLine="851"/>
      <w:jc w:val="both"/>
    </w:pPr>
    <w:rPr>
      <w:sz w:val="24"/>
      <w:lang w:eastAsia="zh-CN"/>
    </w:rPr>
  </w:style>
  <w:style w:type="numbering" w:customStyle="1" w:styleId="140">
    <w:name w:val="Нет списка14"/>
    <w:next w:val="a2"/>
    <w:uiPriority w:val="99"/>
    <w:semiHidden/>
    <w:unhideWhenUsed/>
    <w:rsid w:val="00B97230"/>
  </w:style>
  <w:style w:type="table" w:customStyle="1" w:styleId="40">
    <w:name w:val="Сетка таблицы4"/>
    <w:basedOn w:val="a1"/>
    <w:next w:val="ad"/>
    <w:uiPriority w:val="39"/>
    <w:rsid w:val="00B97230"/>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39"/>
    <w:rsid w:val="00B97230"/>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39"/>
    <w:rsid w:val="00B97230"/>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A62C36"/>
  </w:style>
  <w:style w:type="paragraph" w:customStyle="1" w:styleId="26">
    <w:name w:val="Основной текст с отступом 26"/>
    <w:basedOn w:val="a"/>
    <w:rsid w:val="00A62C36"/>
    <w:pPr>
      <w:suppressAutoHyphens/>
      <w:ind w:firstLine="851"/>
      <w:jc w:val="both"/>
    </w:pPr>
    <w:rPr>
      <w:sz w:val="24"/>
      <w:lang w:eastAsia="zh-CN"/>
    </w:rPr>
  </w:style>
  <w:style w:type="numbering" w:customStyle="1" w:styleId="15">
    <w:name w:val="Нет списка15"/>
    <w:next w:val="a2"/>
    <w:uiPriority w:val="99"/>
    <w:semiHidden/>
    <w:unhideWhenUsed/>
    <w:rsid w:val="00A62C36"/>
  </w:style>
  <w:style w:type="table" w:customStyle="1" w:styleId="50">
    <w:name w:val="Сетка таблицы5"/>
    <w:basedOn w:val="a1"/>
    <w:next w:val="ad"/>
    <w:uiPriority w:val="39"/>
    <w:rsid w:val="00A62C36"/>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39"/>
    <w:rsid w:val="00A62C36"/>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d"/>
    <w:uiPriority w:val="39"/>
    <w:rsid w:val="00A62C36"/>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DB4114"/>
  </w:style>
  <w:style w:type="paragraph" w:customStyle="1" w:styleId="27">
    <w:name w:val="Основной текст с отступом 27"/>
    <w:basedOn w:val="a"/>
    <w:rsid w:val="00DB4114"/>
    <w:pPr>
      <w:suppressAutoHyphens/>
      <w:ind w:firstLine="851"/>
      <w:jc w:val="both"/>
    </w:pPr>
    <w:rPr>
      <w:sz w:val="24"/>
      <w:lang w:eastAsia="zh-CN"/>
    </w:rPr>
  </w:style>
  <w:style w:type="numbering" w:customStyle="1" w:styleId="16">
    <w:name w:val="Нет списка16"/>
    <w:next w:val="a2"/>
    <w:uiPriority w:val="99"/>
    <w:semiHidden/>
    <w:unhideWhenUsed/>
    <w:rsid w:val="00DB4114"/>
  </w:style>
  <w:style w:type="table" w:customStyle="1" w:styleId="60">
    <w:name w:val="Сетка таблицы6"/>
    <w:basedOn w:val="a1"/>
    <w:next w:val="ad"/>
    <w:uiPriority w:val="39"/>
    <w:rsid w:val="00DB4114"/>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39"/>
    <w:rsid w:val="00DB4114"/>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d"/>
    <w:uiPriority w:val="39"/>
    <w:rsid w:val="00DB4114"/>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C62E6B"/>
    <w:rPr>
      <w:color w:val="800080" w:themeColor="followedHyperlink"/>
      <w:u w:val="single"/>
    </w:rPr>
  </w:style>
  <w:style w:type="paragraph" w:customStyle="1" w:styleId="msonormal0">
    <w:name w:val="msonormal"/>
    <w:basedOn w:val="a"/>
    <w:rsid w:val="00C62E6B"/>
    <w:pPr>
      <w:widowControl/>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1D1"/>
    <w:pPr>
      <w:widowControl w:val="0"/>
      <w:spacing w:after="0"/>
      <w:jc w:val="left"/>
    </w:pPr>
    <w:rPr>
      <w:rFonts w:ascii="Times New Roman" w:eastAsia="Times New Roman" w:hAnsi="Times New Roman" w:cs="Times New Roman"/>
      <w:sz w:val="20"/>
      <w:szCs w:val="20"/>
      <w:lang w:eastAsia="ru-RU"/>
    </w:rPr>
  </w:style>
  <w:style w:type="paragraph" w:styleId="2">
    <w:name w:val="heading 2"/>
    <w:basedOn w:val="a"/>
    <w:next w:val="a"/>
    <w:link w:val="20"/>
    <w:qFormat/>
    <w:rsid w:val="002B01F5"/>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84C"/>
    <w:pPr>
      <w:tabs>
        <w:tab w:val="center" w:pos="4677"/>
        <w:tab w:val="right" w:pos="9355"/>
      </w:tabs>
    </w:pPr>
  </w:style>
  <w:style w:type="character" w:customStyle="1" w:styleId="a4">
    <w:name w:val="Верхний колонтитул Знак"/>
    <w:basedOn w:val="a0"/>
    <w:link w:val="a3"/>
    <w:uiPriority w:val="99"/>
    <w:rsid w:val="005B384C"/>
    <w:rPr>
      <w:rFonts w:ascii="Times New Roman" w:eastAsia="Times New Roman" w:hAnsi="Times New Roman" w:cs="Times New Roman"/>
      <w:sz w:val="20"/>
      <w:szCs w:val="20"/>
      <w:lang w:eastAsia="ru-RU"/>
    </w:rPr>
  </w:style>
  <w:style w:type="character" w:styleId="a5">
    <w:name w:val="page number"/>
    <w:basedOn w:val="a0"/>
    <w:rsid w:val="005B384C"/>
  </w:style>
  <w:style w:type="paragraph" w:styleId="a6">
    <w:name w:val="Normal (Web)"/>
    <w:basedOn w:val="a"/>
    <w:link w:val="a7"/>
    <w:uiPriority w:val="99"/>
    <w:rsid w:val="005B384C"/>
    <w:pPr>
      <w:widowControl/>
      <w:spacing w:before="100" w:beforeAutospacing="1" w:after="100" w:afterAutospacing="1"/>
    </w:pPr>
    <w:rPr>
      <w:sz w:val="24"/>
      <w:szCs w:val="24"/>
    </w:rPr>
  </w:style>
  <w:style w:type="paragraph" w:customStyle="1" w:styleId="21">
    <w:name w:val="Основной текст с отступом 21"/>
    <w:basedOn w:val="a"/>
    <w:uiPriority w:val="99"/>
    <w:rsid w:val="005B384C"/>
    <w:pPr>
      <w:ind w:firstLine="851"/>
      <w:jc w:val="both"/>
    </w:pPr>
    <w:rPr>
      <w:sz w:val="24"/>
    </w:rPr>
  </w:style>
  <w:style w:type="character" w:customStyle="1" w:styleId="a7">
    <w:name w:val="Обычный (веб) Знак"/>
    <w:link w:val="a6"/>
    <w:uiPriority w:val="99"/>
    <w:rsid w:val="005B384C"/>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520414"/>
    <w:rPr>
      <w:rFonts w:ascii="Tahoma" w:hAnsi="Tahoma" w:cs="Tahoma"/>
      <w:sz w:val="16"/>
      <w:szCs w:val="16"/>
    </w:rPr>
  </w:style>
  <w:style w:type="character" w:customStyle="1" w:styleId="a9">
    <w:name w:val="Текст выноски Знак"/>
    <w:basedOn w:val="a0"/>
    <w:link w:val="a8"/>
    <w:uiPriority w:val="99"/>
    <w:rsid w:val="00520414"/>
    <w:rPr>
      <w:rFonts w:ascii="Tahoma" w:eastAsia="Times New Roman" w:hAnsi="Tahoma" w:cs="Tahoma"/>
      <w:sz w:val="16"/>
      <w:szCs w:val="16"/>
      <w:lang w:eastAsia="ru-RU"/>
    </w:rPr>
  </w:style>
  <w:style w:type="paragraph" w:styleId="aa">
    <w:name w:val="List Paragraph"/>
    <w:aliases w:val="Нумерованый список"/>
    <w:basedOn w:val="a"/>
    <w:link w:val="ab"/>
    <w:uiPriority w:val="34"/>
    <w:qFormat/>
    <w:rsid w:val="00FC453A"/>
    <w:pPr>
      <w:ind w:left="720"/>
      <w:contextualSpacing/>
    </w:pPr>
  </w:style>
  <w:style w:type="character" w:styleId="ac">
    <w:name w:val="Hyperlink"/>
    <w:basedOn w:val="a0"/>
    <w:uiPriority w:val="99"/>
    <w:unhideWhenUsed/>
    <w:rsid w:val="00370909"/>
    <w:rPr>
      <w:color w:val="0000FF" w:themeColor="hyperlink"/>
      <w:u w:val="single"/>
    </w:rPr>
  </w:style>
  <w:style w:type="character" w:customStyle="1" w:styleId="extended-textshort">
    <w:name w:val="extended-text__short"/>
    <w:basedOn w:val="a0"/>
    <w:rsid w:val="00102CEC"/>
  </w:style>
  <w:style w:type="table" w:styleId="ad">
    <w:name w:val="Table Grid"/>
    <w:basedOn w:val="a1"/>
    <w:rsid w:val="00960CB6"/>
    <w:pPr>
      <w:widowControl w:val="0"/>
      <w:spacing w:after="0"/>
      <w:jc w:val="left"/>
    </w:pPr>
    <w:rPr>
      <w:rFonts w:ascii="Times New Roman" w:eastAsia="Times New Roman" w:hAnsi="Times New Roman" w:cs="Times New Roman"/>
      <w:sz w:val="20"/>
      <w:szCs w:val="20"/>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F925F7"/>
    <w:pPr>
      <w:ind w:right="41" w:firstLine="660"/>
      <w:jc w:val="both"/>
    </w:pPr>
    <w:rPr>
      <w:sz w:val="28"/>
      <w:lang w:val="x-none" w:eastAsia="x-none"/>
    </w:rPr>
  </w:style>
  <w:style w:type="character" w:customStyle="1" w:styleId="af">
    <w:name w:val="Основной текст с отступом Знак"/>
    <w:basedOn w:val="a0"/>
    <w:link w:val="ae"/>
    <w:uiPriority w:val="99"/>
    <w:rsid w:val="00F925F7"/>
    <w:rPr>
      <w:rFonts w:ascii="Times New Roman" w:eastAsia="Times New Roman" w:hAnsi="Times New Roman" w:cs="Times New Roman"/>
      <w:sz w:val="28"/>
      <w:szCs w:val="20"/>
      <w:lang w:val="x-none" w:eastAsia="x-none"/>
    </w:rPr>
  </w:style>
  <w:style w:type="paragraph" w:customStyle="1" w:styleId="ConsPlusNormal">
    <w:name w:val="ConsPlusNormal"/>
    <w:rsid w:val="00F925F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Default">
    <w:name w:val="Default"/>
    <w:rsid w:val="00F925F7"/>
    <w:pPr>
      <w:suppressAutoHyphens/>
      <w:autoSpaceDE w:val="0"/>
      <w:spacing w:after="0"/>
      <w:jc w:val="left"/>
    </w:pPr>
    <w:rPr>
      <w:rFonts w:ascii="Times New Roman" w:eastAsia="Times New Roman" w:hAnsi="Times New Roman" w:cs="Times New Roman"/>
      <w:color w:val="000000"/>
      <w:sz w:val="24"/>
      <w:szCs w:val="24"/>
      <w:lang w:eastAsia="zh-CN"/>
    </w:rPr>
  </w:style>
  <w:style w:type="paragraph" w:customStyle="1" w:styleId="af0">
    <w:name w:val="Содержимое таблицы"/>
    <w:basedOn w:val="a"/>
    <w:rsid w:val="00F925F7"/>
    <w:pPr>
      <w:widowControl/>
      <w:suppressLineNumbers/>
      <w:suppressAutoHyphens/>
    </w:pPr>
    <w:rPr>
      <w:sz w:val="24"/>
      <w:szCs w:val="24"/>
      <w:lang w:eastAsia="zh-CN"/>
    </w:rPr>
  </w:style>
  <w:style w:type="paragraph" w:styleId="af1">
    <w:name w:val="footer"/>
    <w:basedOn w:val="a"/>
    <w:link w:val="af2"/>
    <w:uiPriority w:val="99"/>
    <w:unhideWhenUsed/>
    <w:rsid w:val="00175CED"/>
    <w:pPr>
      <w:tabs>
        <w:tab w:val="center" w:pos="4677"/>
        <w:tab w:val="right" w:pos="9355"/>
      </w:tabs>
    </w:pPr>
  </w:style>
  <w:style w:type="character" w:customStyle="1" w:styleId="af2">
    <w:name w:val="Нижний колонтитул Знак"/>
    <w:basedOn w:val="a0"/>
    <w:link w:val="af1"/>
    <w:uiPriority w:val="99"/>
    <w:rsid w:val="00175CED"/>
    <w:rPr>
      <w:rFonts w:ascii="Times New Roman" w:eastAsia="Times New Roman" w:hAnsi="Times New Roman" w:cs="Times New Roman"/>
      <w:sz w:val="20"/>
      <w:szCs w:val="20"/>
      <w:lang w:eastAsia="ru-RU"/>
    </w:rPr>
  </w:style>
  <w:style w:type="character" w:customStyle="1" w:styleId="ab">
    <w:name w:val="Абзац списка Знак"/>
    <w:aliases w:val="Нумерованый список Знак"/>
    <w:link w:val="aa"/>
    <w:uiPriority w:val="34"/>
    <w:locked/>
    <w:rsid w:val="0042157E"/>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2B01F5"/>
    <w:rPr>
      <w:rFonts w:ascii="Times New Roman" w:eastAsia="Times New Roman" w:hAnsi="Times New Roman" w:cs="Times New Roman"/>
      <w:b/>
      <w:sz w:val="28"/>
      <w:szCs w:val="20"/>
      <w:lang w:eastAsia="ru-RU"/>
    </w:rPr>
  </w:style>
  <w:style w:type="paragraph" w:styleId="af3">
    <w:name w:val="Body Text"/>
    <w:basedOn w:val="a"/>
    <w:link w:val="af4"/>
    <w:unhideWhenUsed/>
    <w:rsid w:val="002B01F5"/>
    <w:pPr>
      <w:spacing w:after="120"/>
    </w:pPr>
  </w:style>
  <w:style w:type="character" w:customStyle="1" w:styleId="af4">
    <w:name w:val="Основной текст Знак"/>
    <w:basedOn w:val="a0"/>
    <w:link w:val="af3"/>
    <w:rsid w:val="002B01F5"/>
    <w:rPr>
      <w:rFonts w:ascii="Times New Roman" w:eastAsia="Times New Roman" w:hAnsi="Times New Roman" w:cs="Times New Roman"/>
      <w:sz w:val="20"/>
      <w:szCs w:val="20"/>
      <w:lang w:eastAsia="ru-RU"/>
    </w:rPr>
  </w:style>
  <w:style w:type="paragraph" w:customStyle="1" w:styleId="1">
    <w:name w:val="Обычный1"/>
    <w:rsid w:val="002B01F5"/>
    <w:pPr>
      <w:widowControl w:val="0"/>
      <w:suppressAutoHyphens/>
      <w:spacing w:after="0"/>
      <w:jc w:val="left"/>
    </w:pPr>
    <w:rPr>
      <w:rFonts w:ascii="Times New Roman" w:eastAsia="SimSun" w:hAnsi="Times New Roman" w:cs="Mangal"/>
      <w:sz w:val="24"/>
      <w:szCs w:val="24"/>
      <w:lang w:eastAsia="hi-IN" w:bidi="hi-IN"/>
    </w:rPr>
  </w:style>
  <w:style w:type="numbering" w:customStyle="1" w:styleId="10">
    <w:name w:val="Нет списка1"/>
    <w:next w:val="a2"/>
    <w:uiPriority w:val="99"/>
    <w:semiHidden/>
    <w:unhideWhenUsed/>
    <w:rsid w:val="002B01F5"/>
  </w:style>
  <w:style w:type="character" w:customStyle="1" w:styleId="WW8Num4z0">
    <w:name w:val="WW8Num4z0"/>
    <w:rsid w:val="002B01F5"/>
    <w:rPr>
      <w:rFonts w:ascii="Times New Roman" w:hAnsi="Times New Roman" w:cs="Times New Roman"/>
    </w:rPr>
  </w:style>
  <w:style w:type="character" w:customStyle="1" w:styleId="WW8Num8z0">
    <w:name w:val="WW8Num8z0"/>
    <w:rsid w:val="002B01F5"/>
    <w:rPr>
      <w:rFonts w:ascii="Times New Roman" w:hAnsi="Times New Roman" w:cs="Times New Roman"/>
    </w:rPr>
  </w:style>
  <w:style w:type="character" w:customStyle="1" w:styleId="WW8Num10z0">
    <w:name w:val="WW8Num10z0"/>
    <w:rsid w:val="002B01F5"/>
    <w:rPr>
      <w:rFonts w:ascii="Times New Roman" w:hAnsi="Times New Roman" w:cs="Times New Roman"/>
    </w:rPr>
  </w:style>
  <w:style w:type="character" w:customStyle="1" w:styleId="WW8NumSt3z0">
    <w:name w:val="WW8NumSt3z0"/>
    <w:rsid w:val="002B01F5"/>
    <w:rPr>
      <w:rFonts w:ascii="Times New Roman" w:hAnsi="Times New Roman" w:cs="Times New Roman"/>
    </w:rPr>
  </w:style>
  <w:style w:type="character" w:customStyle="1" w:styleId="WW8NumSt5z0">
    <w:name w:val="WW8NumSt5z0"/>
    <w:rsid w:val="002B01F5"/>
    <w:rPr>
      <w:rFonts w:ascii="Times New Roman" w:hAnsi="Times New Roman" w:cs="Times New Roman"/>
    </w:rPr>
  </w:style>
  <w:style w:type="character" w:customStyle="1" w:styleId="WW8NumSt6z0">
    <w:name w:val="WW8NumSt6z0"/>
    <w:rsid w:val="002B01F5"/>
    <w:rPr>
      <w:rFonts w:ascii="Times New Roman" w:hAnsi="Times New Roman" w:cs="Times New Roman"/>
    </w:rPr>
  </w:style>
  <w:style w:type="character" w:customStyle="1" w:styleId="11">
    <w:name w:val="Основной шрифт абзаца1"/>
    <w:rsid w:val="002B01F5"/>
  </w:style>
  <w:style w:type="paragraph" w:customStyle="1" w:styleId="12">
    <w:name w:val="Заголовок1"/>
    <w:basedOn w:val="a"/>
    <w:next w:val="af3"/>
    <w:rsid w:val="002B01F5"/>
    <w:pPr>
      <w:keepNext/>
      <w:suppressAutoHyphens/>
      <w:spacing w:before="240" w:after="120"/>
    </w:pPr>
    <w:rPr>
      <w:rFonts w:ascii="Arial" w:eastAsia="Microsoft YaHei" w:hAnsi="Arial" w:cs="Mangal"/>
      <w:sz w:val="28"/>
      <w:szCs w:val="28"/>
      <w:lang w:eastAsia="zh-CN"/>
    </w:rPr>
  </w:style>
  <w:style w:type="paragraph" w:styleId="af5">
    <w:name w:val="List"/>
    <w:basedOn w:val="af3"/>
    <w:rsid w:val="002B01F5"/>
    <w:pPr>
      <w:suppressAutoHyphens/>
    </w:pPr>
    <w:rPr>
      <w:rFonts w:cs="Mangal"/>
      <w:lang w:eastAsia="zh-CN"/>
    </w:rPr>
  </w:style>
  <w:style w:type="paragraph" w:styleId="af6">
    <w:name w:val="caption"/>
    <w:basedOn w:val="a"/>
    <w:qFormat/>
    <w:rsid w:val="002B01F5"/>
    <w:pPr>
      <w:suppressLineNumbers/>
      <w:suppressAutoHyphens/>
      <w:spacing w:before="120" w:after="120"/>
    </w:pPr>
    <w:rPr>
      <w:rFonts w:cs="Mangal"/>
      <w:i/>
      <w:iCs/>
      <w:sz w:val="24"/>
      <w:szCs w:val="24"/>
      <w:lang w:eastAsia="zh-CN"/>
    </w:rPr>
  </w:style>
  <w:style w:type="paragraph" w:customStyle="1" w:styleId="13">
    <w:name w:val="Указатель1"/>
    <w:basedOn w:val="a"/>
    <w:rsid w:val="002B01F5"/>
    <w:pPr>
      <w:suppressLineNumbers/>
      <w:suppressAutoHyphens/>
    </w:pPr>
    <w:rPr>
      <w:rFonts w:cs="Mangal"/>
      <w:lang w:eastAsia="zh-CN"/>
    </w:rPr>
  </w:style>
  <w:style w:type="paragraph" w:customStyle="1" w:styleId="22">
    <w:name w:val="Основной текст с отступом 22"/>
    <w:basedOn w:val="a"/>
    <w:rsid w:val="002B01F5"/>
    <w:pPr>
      <w:suppressAutoHyphens/>
      <w:ind w:firstLine="851"/>
      <w:jc w:val="both"/>
    </w:pPr>
    <w:rPr>
      <w:sz w:val="24"/>
      <w:lang w:eastAsia="zh-CN"/>
    </w:rPr>
  </w:style>
  <w:style w:type="paragraph" w:customStyle="1" w:styleId="ConsNormal">
    <w:name w:val="ConsNormal"/>
    <w:rsid w:val="002B01F5"/>
    <w:pPr>
      <w:suppressAutoHyphens/>
      <w:autoSpaceDE w:val="0"/>
      <w:spacing w:after="0"/>
      <w:ind w:right="19772" w:firstLine="720"/>
      <w:jc w:val="left"/>
    </w:pPr>
    <w:rPr>
      <w:rFonts w:ascii="Arial" w:eastAsia="Times New Roman" w:hAnsi="Arial" w:cs="Arial"/>
      <w:sz w:val="20"/>
      <w:szCs w:val="20"/>
      <w:lang w:eastAsia="zh-CN"/>
    </w:rPr>
  </w:style>
  <w:style w:type="paragraph" w:customStyle="1" w:styleId="31">
    <w:name w:val="Основной текст 31"/>
    <w:basedOn w:val="a"/>
    <w:rsid w:val="002B01F5"/>
    <w:pPr>
      <w:suppressAutoHyphens/>
    </w:pPr>
    <w:rPr>
      <w:sz w:val="28"/>
      <w:lang w:eastAsia="zh-CN"/>
    </w:rPr>
  </w:style>
  <w:style w:type="paragraph" w:customStyle="1" w:styleId="af7">
    <w:name w:val="Содержимое врезки"/>
    <w:basedOn w:val="af3"/>
    <w:rsid w:val="002B01F5"/>
    <w:pPr>
      <w:suppressAutoHyphens/>
    </w:pPr>
    <w:rPr>
      <w:lang w:eastAsia="zh-CN"/>
    </w:rPr>
  </w:style>
  <w:style w:type="numbering" w:customStyle="1" w:styleId="110">
    <w:name w:val="Нет списка11"/>
    <w:next w:val="a2"/>
    <w:uiPriority w:val="99"/>
    <w:semiHidden/>
    <w:unhideWhenUsed/>
    <w:rsid w:val="002B01F5"/>
  </w:style>
  <w:style w:type="paragraph" w:customStyle="1" w:styleId="ConsPlusTitle">
    <w:name w:val="ConsPlusTitle"/>
    <w:rsid w:val="002B01F5"/>
    <w:pPr>
      <w:widowControl w:val="0"/>
      <w:autoSpaceDE w:val="0"/>
      <w:autoSpaceDN w:val="0"/>
      <w:spacing w:after="0"/>
      <w:jc w:val="left"/>
    </w:pPr>
    <w:rPr>
      <w:rFonts w:ascii="Calibri" w:eastAsia="Times New Roman" w:hAnsi="Calibri" w:cs="Calibri"/>
      <w:b/>
      <w:szCs w:val="20"/>
      <w:lang w:eastAsia="ru-RU"/>
    </w:rPr>
  </w:style>
  <w:style w:type="paragraph" w:customStyle="1" w:styleId="ConsPlusNonformat">
    <w:name w:val="ConsPlusNonformat"/>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Cell">
    <w:name w:val="ConsPlusCell"/>
    <w:rsid w:val="002B01F5"/>
    <w:pPr>
      <w:widowControl w:val="0"/>
      <w:autoSpaceDE w:val="0"/>
      <w:autoSpaceDN w:val="0"/>
      <w:spacing w:after="0"/>
      <w:jc w:val="left"/>
    </w:pPr>
    <w:rPr>
      <w:rFonts w:ascii="Courier New" w:eastAsia="Times New Roman" w:hAnsi="Courier New" w:cs="Courier New"/>
      <w:sz w:val="20"/>
      <w:szCs w:val="20"/>
      <w:lang w:eastAsia="ru-RU"/>
    </w:rPr>
  </w:style>
  <w:style w:type="paragraph" w:customStyle="1" w:styleId="ConsPlusTitlePage">
    <w:name w:val="ConsPlusTitlePage"/>
    <w:rsid w:val="002B01F5"/>
    <w:pPr>
      <w:widowControl w:val="0"/>
      <w:autoSpaceDE w:val="0"/>
      <w:autoSpaceDN w:val="0"/>
      <w:spacing w:after="0"/>
      <w:jc w:val="left"/>
    </w:pPr>
    <w:rPr>
      <w:rFonts w:ascii="Tahoma" w:eastAsia="Times New Roman" w:hAnsi="Tahoma" w:cs="Tahoma"/>
      <w:sz w:val="20"/>
      <w:szCs w:val="20"/>
      <w:lang w:eastAsia="ru-RU"/>
    </w:rPr>
  </w:style>
  <w:style w:type="character" w:styleId="af8">
    <w:name w:val="Placeholder Text"/>
    <w:uiPriority w:val="99"/>
    <w:semiHidden/>
    <w:rsid w:val="002B01F5"/>
    <w:rPr>
      <w:color w:val="808080"/>
    </w:rPr>
  </w:style>
  <w:style w:type="table" w:customStyle="1" w:styleId="14">
    <w:name w:val="Сетка таблицы1"/>
    <w:basedOn w:val="a1"/>
    <w:next w:val="ad"/>
    <w:uiPriority w:val="39"/>
    <w:rsid w:val="002B01F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2F1BFC"/>
  </w:style>
  <w:style w:type="paragraph" w:customStyle="1" w:styleId="230">
    <w:name w:val="Основной текст с отступом 23"/>
    <w:basedOn w:val="a"/>
    <w:rsid w:val="002F1BFC"/>
    <w:pPr>
      <w:suppressAutoHyphens/>
      <w:ind w:firstLine="851"/>
      <w:jc w:val="both"/>
    </w:pPr>
    <w:rPr>
      <w:sz w:val="24"/>
      <w:lang w:eastAsia="zh-CN"/>
    </w:rPr>
  </w:style>
  <w:style w:type="numbering" w:customStyle="1" w:styleId="120">
    <w:name w:val="Нет списка12"/>
    <w:next w:val="a2"/>
    <w:uiPriority w:val="99"/>
    <w:semiHidden/>
    <w:unhideWhenUsed/>
    <w:rsid w:val="002F1BFC"/>
  </w:style>
  <w:style w:type="table" w:customStyle="1" w:styleId="24">
    <w:name w:val="Сетка таблицы2"/>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d"/>
    <w:uiPriority w:val="39"/>
    <w:rsid w:val="002F1BFC"/>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Нет списка3"/>
    <w:next w:val="a2"/>
    <w:uiPriority w:val="99"/>
    <w:semiHidden/>
    <w:unhideWhenUsed/>
    <w:rsid w:val="00E92E95"/>
  </w:style>
  <w:style w:type="paragraph" w:customStyle="1" w:styleId="240">
    <w:name w:val="Основной текст с отступом 24"/>
    <w:basedOn w:val="a"/>
    <w:rsid w:val="00E92E95"/>
    <w:pPr>
      <w:suppressAutoHyphens/>
      <w:ind w:firstLine="851"/>
      <w:jc w:val="both"/>
    </w:pPr>
    <w:rPr>
      <w:sz w:val="24"/>
      <w:lang w:eastAsia="zh-CN"/>
    </w:rPr>
  </w:style>
  <w:style w:type="numbering" w:customStyle="1" w:styleId="130">
    <w:name w:val="Нет списка13"/>
    <w:next w:val="a2"/>
    <w:uiPriority w:val="99"/>
    <w:semiHidden/>
    <w:unhideWhenUsed/>
    <w:rsid w:val="00E92E95"/>
  </w:style>
  <w:style w:type="table" w:customStyle="1" w:styleId="30">
    <w:name w:val="Сетка таблицы3"/>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39"/>
    <w:rsid w:val="00E92E95"/>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B97230"/>
  </w:style>
  <w:style w:type="paragraph" w:customStyle="1" w:styleId="25">
    <w:name w:val="Основной текст с отступом 25"/>
    <w:basedOn w:val="a"/>
    <w:rsid w:val="00B97230"/>
    <w:pPr>
      <w:suppressAutoHyphens/>
      <w:ind w:firstLine="851"/>
      <w:jc w:val="both"/>
    </w:pPr>
    <w:rPr>
      <w:sz w:val="24"/>
      <w:lang w:eastAsia="zh-CN"/>
    </w:rPr>
  </w:style>
  <w:style w:type="numbering" w:customStyle="1" w:styleId="140">
    <w:name w:val="Нет списка14"/>
    <w:next w:val="a2"/>
    <w:uiPriority w:val="99"/>
    <w:semiHidden/>
    <w:unhideWhenUsed/>
    <w:rsid w:val="00B97230"/>
  </w:style>
  <w:style w:type="table" w:customStyle="1" w:styleId="40">
    <w:name w:val="Сетка таблицы4"/>
    <w:basedOn w:val="a1"/>
    <w:next w:val="ad"/>
    <w:uiPriority w:val="39"/>
    <w:rsid w:val="00B97230"/>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d"/>
    <w:uiPriority w:val="39"/>
    <w:rsid w:val="00B97230"/>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39"/>
    <w:rsid w:val="00B97230"/>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A62C36"/>
  </w:style>
  <w:style w:type="paragraph" w:customStyle="1" w:styleId="26">
    <w:name w:val="Основной текст с отступом 26"/>
    <w:basedOn w:val="a"/>
    <w:rsid w:val="00A62C36"/>
    <w:pPr>
      <w:suppressAutoHyphens/>
      <w:ind w:firstLine="851"/>
      <w:jc w:val="both"/>
    </w:pPr>
    <w:rPr>
      <w:sz w:val="24"/>
      <w:lang w:eastAsia="zh-CN"/>
    </w:rPr>
  </w:style>
  <w:style w:type="numbering" w:customStyle="1" w:styleId="15">
    <w:name w:val="Нет списка15"/>
    <w:next w:val="a2"/>
    <w:uiPriority w:val="99"/>
    <w:semiHidden/>
    <w:unhideWhenUsed/>
    <w:rsid w:val="00A62C36"/>
  </w:style>
  <w:style w:type="table" w:customStyle="1" w:styleId="50">
    <w:name w:val="Сетка таблицы5"/>
    <w:basedOn w:val="a1"/>
    <w:next w:val="ad"/>
    <w:uiPriority w:val="39"/>
    <w:rsid w:val="00A62C36"/>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d"/>
    <w:uiPriority w:val="39"/>
    <w:rsid w:val="00A62C36"/>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1"/>
    <w:next w:val="ad"/>
    <w:uiPriority w:val="39"/>
    <w:rsid w:val="00A62C36"/>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DB4114"/>
  </w:style>
  <w:style w:type="paragraph" w:customStyle="1" w:styleId="27">
    <w:name w:val="Основной текст с отступом 27"/>
    <w:basedOn w:val="a"/>
    <w:rsid w:val="00DB4114"/>
    <w:pPr>
      <w:suppressAutoHyphens/>
      <w:ind w:firstLine="851"/>
      <w:jc w:val="both"/>
    </w:pPr>
    <w:rPr>
      <w:sz w:val="24"/>
      <w:lang w:eastAsia="zh-CN"/>
    </w:rPr>
  </w:style>
  <w:style w:type="numbering" w:customStyle="1" w:styleId="16">
    <w:name w:val="Нет списка16"/>
    <w:next w:val="a2"/>
    <w:uiPriority w:val="99"/>
    <w:semiHidden/>
    <w:unhideWhenUsed/>
    <w:rsid w:val="00DB4114"/>
  </w:style>
  <w:style w:type="table" w:customStyle="1" w:styleId="60">
    <w:name w:val="Сетка таблицы6"/>
    <w:basedOn w:val="a1"/>
    <w:next w:val="ad"/>
    <w:uiPriority w:val="39"/>
    <w:rsid w:val="00DB4114"/>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d"/>
    <w:uiPriority w:val="39"/>
    <w:rsid w:val="00DB4114"/>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1"/>
    <w:next w:val="ad"/>
    <w:uiPriority w:val="39"/>
    <w:rsid w:val="00DB4114"/>
    <w:pPr>
      <w:spacing w:after="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basedOn w:val="a0"/>
    <w:uiPriority w:val="99"/>
    <w:semiHidden/>
    <w:unhideWhenUsed/>
    <w:rsid w:val="00C62E6B"/>
    <w:rPr>
      <w:color w:val="800080" w:themeColor="followedHyperlink"/>
      <w:u w:val="single"/>
    </w:rPr>
  </w:style>
  <w:style w:type="paragraph" w:customStyle="1" w:styleId="msonormal0">
    <w:name w:val="msonormal"/>
    <w:basedOn w:val="a"/>
    <w:rsid w:val="00C62E6B"/>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819">
      <w:bodyDiv w:val="1"/>
      <w:marLeft w:val="0"/>
      <w:marRight w:val="0"/>
      <w:marTop w:val="0"/>
      <w:marBottom w:val="0"/>
      <w:divBdr>
        <w:top w:val="none" w:sz="0" w:space="0" w:color="auto"/>
        <w:left w:val="none" w:sz="0" w:space="0" w:color="auto"/>
        <w:bottom w:val="none" w:sz="0" w:space="0" w:color="auto"/>
        <w:right w:val="none" w:sz="0" w:space="0" w:color="auto"/>
      </w:divBdr>
    </w:div>
    <w:div w:id="122617863">
      <w:bodyDiv w:val="1"/>
      <w:marLeft w:val="0"/>
      <w:marRight w:val="0"/>
      <w:marTop w:val="0"/>
      <w:marBottom w:val="0"/>
      <w:divBdr>
        <w:top w:val="none" w:sz="0" w:space="0" w:color="auto"/>
        <w:left w:val="none" w:sz="0" w:space="0" w:color="auto"/>
        <w:bottom w:val="none" w:sz="0" w:space="0" w:color="auto"/>
        <w:right w:val="none" w:sz="0" w:space="0" w:color="auto"/>
      </w:divBdr>
    </w:div>
    <w:div w:id="153179810">
      <w:bodyDiv w:val="1"/>
      <w:marLeft w:val="0"/>
      <w:marRight w:val="0"/>
      <w:marTop w:val="0"/>
      <w:marBottom w:val="0"/>
      <w:divBdr>
        <w:top w:val="none" w:sz="0" w:space="0" w:color="auto"/>
        <w:left w:val="none" w:sz="0" w:space="0" w:color="auto"/>
        <w:bottom w:val="none" w:sz="0" w:space="0" w:color="auto"/>
        <w:right w:val="none" w:sz="0" w:space="0" w:color="auto"/>
      </w:divBdr>
    </w:div>
    <w:div w:id="413401407">
      <w:bodyDiv w:val="1"/>
      <w:marLeft w:val="0"/>
      <w:marRight w:val="0"/>
      <w:marTop w:val="0"/>
      <w:marBottom w:val="0"/>
      <w:divBdr>
        <w:top w:val="none" w:sz="0" w:space="0" w:color="auto"/>
        <w:left w:val="none" w:sz="0" w:space="0" w:color="auto"/>
        <w:bottom w:val="none" w:sz="0" w:space="0" w:color="auto"/>
        <w:right w:val="none" w:sz="0" w:space="0" w:color="auto"/>
      </w:divBdr>
    </w:div>
    <w:div w:id="512376751">
      <w:bodyDiv w:val="1"/>
      <w:marLeft w:val="0"/>
      <w:marRight w:val="0"/>
      <w:marTop w:val="0"/>
      <w:marBottom w:val="0"/>
      <w:divBdr>
        <w:top w:val="none" w:sz="0" w:space="0" w:color="auto"/>
        <w:left w:val="none" w:sz="0" w:space="0" w:color="auto"/>
        <w:bottom w:val="none" w:sz="0" w:space="0" w:color="auto"/>
        <w:right w:val="none" w:sz="0" w:space="0" w:color="auto"/>
      </w:divBdr>
    </w:div>
    <w:div w:id="580793327">
      <w:bodyDiv w:val="1"/>
      <w:marLeft w:val="0"/>
      <w:marRight w:val="0"/>
      <w:marTop w:val="0"/>
      <w:marBottom w:val="0"/>
      <w:divBdr>
        <w:top w:val="none" w:sz="0" w:space="0" w:color="auto"/>
        <w:left w:val="none" w:sz="0" w:space="0" w:color="auto"/>
        <w:bottom w:val="none" w:sz="0" w:space="0" w:color="auto"/>
        <w:right w:val="none" w:sz="0" w:space="0" w:color="auto"/>
      </w:divBdr>
    </w:div>
    <w:div w:id="671757135">
      <w:bodyDiv w:val="1"/>
      <w:marLeft w:val="0"/>
      <w:marRight w:val="0"/>
      <w:marTop w:val="0"/>
      <w:marBottom w:val="0"/>
      <w:divBdr>
        <w:top w:val="none" w:sz="0" w:space="0" w:color="auto"/>
        <w:left w:val="none" w:sz="0" w:space="0" w:color="auto"/>
        <w:bottom w:val="none" w:sz="0" w:space="0" w:color="auto"/>
        <w:right w:val="none" w:sz="0" w:space="0" w:color="auto"/>
      </w:divBdr>
    </w:div>
    <w:div w:id="768745567">
      <w:bodyDiv w:val="1"/>
      <w:marLeft w:val="0"/>
      <w:marRight w:val="0"/>
      <w:marTop w:val="0"/>
      <w:marBottom w:val="0"/>
      <w:divBdr>
        <w:top w:val="none" w:sz="0" w:space="0" w:color="auto"/>
        <w:left w:val="none" w:sz="0" w:space="0" w:color="auto"/>
        <w:bottom w:val="none" w:sz="0" w:space="0" w:color="auto"/>
        <w:right w:val="none" w:sz="0" w:space="0" w:color="auto"/>
      </w:divBdr>
    </w:div>
    <w:div w:id="778187832">
      <w:bodyDiv w:val="1"/>
      <w:marLeft w:val="0"/>
      <w:marRight w:val="0"/>
      <w:marTop w:val="0"/>
      <w:marBottom w:val="0"/>
      <w:divBdr>
        <w:top w:val="none" w:sz="0" w:space="0" w:color="auto"/>
        <w:left w:val="none" w:sz="0" w:space="0" w:color="auto"/>
        <w:bottom w:val="none" w:sz="0" w:space="0" w:color="auto"/>
        <w:right w:val="none" w:sz="0" w:space="0" w:color="auto"/>
      </w:divBdr>
    </w:div>
    <w:div w:id="792362219">
      <w:bodyDiv w:val="1"/>
      <w:marLeft w:val="0"/>
      <w:marRight w:val="0"/>
      <w:marTop w:val="0"/>
      <w:marBottom w:val="0"/>
      <w:divBdr>
        <w:top w:val="none" w:sz="0" w:space="0" w:color="auto"/>
        <w:left w:val="none" w:sz="0" w:space="0" w:color="auto"/>
        <w:bottom w:val="none" w:sz="0" w:space="0" w:color="auto"/>
        <w:right w:val="none" w:sz="0" w:space="0" w:color="auto"/>
      </w:divBdr>
    </w:div>
    <w:div w:id="872305482">
      <w:bodyDiv w:val="1"/>
      <w:marLeft w:val="0"/>
      <w:marRight w:val="0"/>
      <w:marTop w:val="0"/>
      <w:marBottom w:val="0"/>
      <w:divBdr>
        <w:top w:val="none" w:sz="0" w:space="0" w:color="auto"/>
        <w:left w:val="none" w:sz="0" w:space="0" w:color="auto"/>
        <w:bottom w:val="none" w:sz="0" w:space="0" w:color="auto"/>
        <w:right w:val="none" w:sz="0" w:space="0" w:color="auto"/>
      </w:divBdr>
    </w:div>
    <w:div w:id="1039234588">
      <w:bodyDiv w:val="1"/>
      <w:marLeft w:val="0"/>
      <w:marRight w:val="0"/>
      <w:marTop w:val="0"/>
      <w:marBottom w:val="0"/>
      <w:divBdr>
        <w:top w:val="none" w:sz="0" w:space="0" w:color="auto"/>
        <w:left w:val="none" w:sz="0" w:space="0" w:color="auto"/>
        <w:bottom w:val="none" w:sz="0" w:space="0" w:color="auto"/>
        <w:right w:val="none" w:sz="0" w:space="0" w:color="auto"/>
      </w:divBdr>
    </w:div>
    <w:div w:id="1051459715">
      <w:bodyDiv w:val="1"/>
      <w:marLeft w:val="0"/>
      <w:marRight w:val="0"/>
      <w:marTop w:val="0"/>
      <w:marBottom w:val="0"/>
      <w:divBdr>
        <w:top w:val="none" w:sz="0" w:space="0" w:color="auto"/>
        <w:left w:val="none" w:sz="0" w:space="0" w:color="auto"/>
        <w:bottom w:val="none" w:sz="0" w:space="0" w:color="auto"/>
        <w:right w:val="none" w:sz="0" w:space="0" w:color="auto"/>
      </w:divBdr>
    </w:div>
    <w:div w:id="1081491865">
      <w:bodyDiv w:val="1"/>
      <w:marLeft w:val="0"/>
      <w:marRight w:val="0"/>
      <w:marTop w:val="0"/>
      <w:marBottom w:val="0"/>
      <w:divBdr>
        <w:top w:val="none" w:sz="0" w:space="0" w:color="auto"/>
        <w:left w:val="none" w:sz="0" w:space="0" w:color="auto"/>
        <w:bottom w:val="none" w:sz="0" w:space="0" w:color="auto"/>
        <w:right w:val="none" w:sz="0" w:space="0" w:color="auto"/>
      </w:divBdr>
    </w:div>
    <w:div w:id="1289774642">
      <w:bodyDiv w:val="1"/>
      <w:marLeft w:val="0"/>
      <w:marRight w:val="0"/>
      <w:marTop w:val="0"/>
      <w:marBottom w:val="0"/>
      <w:divBdr>
        <w:top w:val="none" w:sz="0" w:space="0" w:color="auto"/>
        <w:left w:val="none" w:sz="0" w:space="0" w:color="auto"/>
        <w:bottom w:val="none" w:sz="0" w:space="0" w:color="auto"/>
        <w:right w:val="none" w:sz="0" w:space="0" w:color="auto"/>
      </w:divBdr>
    </w:div>
    <w:div w:id="1401099002">
      <w:bodyDiv w:val="1"/>
      <w:marLeft w:val="0"/>
      <w:marRight w:val="0"/>
      <w:marTop w:val="0"/>
      <w:marBottom w:val="0"/>
      <w:divBdr>
        <w:top w:val="none" w:sz="0" w:space="0" w:color="auto"/>
        <w:left w:val="none" w:sz="0" w:space="0" w:color="auto"/>
        <w:bottom w:val="none" w:sz="0" w:space="0" w:color="auto"/>
        <w:right w:val="none" w:sz="0" w:space="0" w:color="auto"/>
      </w:divBdr>
    </w:div>
    <w:div w:id="1542474096">
      <w:bodyDiv w:val="1"/>
      <w:marLeft w:val="0"/>
      <w:marRight w:val="0"/>
      <w:marTop w:val="0"/>
      <w:marBottom w:val="0"/>
      <w:divBdr>
        <w:top w:val="none" w:sz="0" w:space="0" w:color="auto"/>
        <w:left w:val="none" w:sz="0" w:space="0" w:color="auto"/>
        <w:bottom w:val="none" w:sz="0" w:space="0" w:color="auto"/>
        <w:right w:val="none" w:sz="0" w:space="0" w:color="auto"/>
      </w:divBdr>
    </w:div>
    <w:div w:id="1676304321">
      <w:bodyDiv w:val="1"/>
      <w:marLeft w:val="0"/>
      <w:marRight w:val="0"/>
      <w:marTop w:val="0"/>
      <w:marBottom w:val="0"/>
      <w:divBdr>
        <w:top w:val="none" w:sz="0" w:space="0" w:color="auto"/>
        <w:left w:val="none" w:sz="0" w:space="0" w:color="auto"/>
        <w:bottom w:val="none" w:sz="0" w:space="0" w:color="auto"/>
        <w:right w:val="none" w:sz="0" w:space="0" w:color="auto"/>
      </w:divBdr>
    </w:div>
    <w:div w:id="1681346222">
      <w:bodyDiv w:val="1"/>
      <w:marLeft w:val="0"/>
      <w:marRight w:val="0"/>
      <w:marTop w:val="0"/>
      <w:marBottom w:val="0"/>
      <w:divBdr>
        <w:top w:val="none" w:sz="0" w:space="0" w:color="auto"/>
        <w:left w:val="none" w:sz="0" w:space="0" w:color="auto"/>
        <w:bottom w:val="none" w:sz="0" w:space="0" w:color="auto"/>
        <w:right w:val="none" w:sz="0" w:space="0" w:color="auto"/>
      </w:divBdr>
    </w:div>
    <w:div w:id="1761874370">
      <w:bodyDiv w:val="1"/>
      <w:marLeft w:val="0"/>
      <w:marRight w:val="0"/>
      <w:marTop w:val="0"/>
      <w:marBottom w:val="0"/>
      <w:divBdr>
        <w:top w:val="none" w:sz="0" w:space="0" w:color="auto"/>
        <w:left w:val="none" w:sz="0" w:space="0" w:color="auto"/>
        <w:bottom w:val="none" w:sz="0" w:space="0" w:color="auto"/>
        <w:right w:val="none" w:sz="0" w:space="0" w:color="auto"/>
      </w:divBdr>
    </w:div>
    <w:div w:id="1834252212">
      <w:bodyDiv w:val="1"/>
      <w:marLeft w:val="0"/>
      <w:marRight w:val="0"/>
      <w:marTop w:val="0"/>
      <w:marBottom w:val="0"/>
      <w:divBdr>
        <w:top w:val="none" w:sz="0" w:space="0" w:color="auto"/>
        <w:left w:val="none" w:sz="0" w:space="0" w:color="auto"/>
        <w:bottom w:val="none" w:sz="0" w:space="0" w:color="auto"/>
        <w:right w:val="none" w:sz="0" w:space="0" w:color="auto"/>
      </w:divBdr>
    </w:div>
    <w:div w:id="1862543883">
      <w:bodyDiv w:val="1"/>
      <w:marLeft w:val="0"/>
      <w:marRight w:val="0"/>
      <w:marTop w:val="0"/>
      <w:marBottom w:val="0"/>
      <w:divBdr>
        <w:top w:val="none" w:sz="0" w:space="0" w:color="auto"/>
        <w:left w:val="none" w:sz="0" w:space="0" w:color="auto"/>
        <w:bottom w:val="none" w:sz="0" w:space="0" w:color="auto"/>
        <w:right w:val="none" w:sz="0" w:space="0" w:color="auto"/>
      </w:divBdr>
    </w:div>
    <w:div w:id="1959481943">
      <w:bodyDiv w:val="1"/>
      <w:marLeft w:val="0"/>
      <w:marRight w:val="0"/>
      <w:marTop w:val="0"/>
      <w:marBottom w:val="0"/>
      <w:divBdr>
        <w:top w:val="none" w:sz="0" w:space="0" w:color="auto"/>
        <w:left w:val="none" w:sz="0" w:space="0" w:color="auto"/>
        <w:bottom w:val="none" w:sz="0" w:space="0" w:color="auto"/>
        <w:right w:val="none" w:sz="0" w:space="0" w:color="auto"/>
      </w:divBdr>
    </w:div>
    <w:div w:id="1980109316">
      <w:bodyDiv w:val="1"/>
      <w:marLeft w:val="0"/>
      <w:marRight w:val="0"/>
      <w:marTop w:val="0"/>
      <w:marBottom w:val="0"/>
      <w:divBdr>
        <w:top w:val="none" w:sz="0" w:space="0" w:color="auto"/>
        <w:left w:val="none" w:sz="0" w:space="0" w:color="auto"/>
        <w:bottom w:val="none" w:sz="0" w:space="0" w:color="auto"/>
        <w:right w:val="none" w:sz="0" w:space="0" w:color="auto"/>
      </w:divBdr>
    </w:div>
    <w:div w:id="2099793186">
      <w:bodyDiv w:val="1"/>
      <w:marLeft w:val="0"/>
      <w:marRight w:val="0"/>
      <w:marTop w:val="0"/>
      <w:marBottom w:val="0"/>
      <w:divBdr>
        <w:top w:val="none" w:sz="0" w:space="0" w:color="auto"/>
        <w:left w:val="none" w:sz="0" w:space="0" w:color="auto"/>
        <w:bottom w:val="none" w:sz="0" w:space="0" w:color="auto"/>
        <w:right w:val="none" w:sz="0" w:space="0" w:color="auto"/>
      </w:divBdr>
    </w:div>
    <w:div w:id="21251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bitr.garant.ru/document/redirect/70119304/200181" TargetMode="External"/><Relationship Id="rId18" Type="http://schemas.openxmlformats.org/officeDocument/2006/relationships/image" Target="media/image7.emf"/><Relationship Id="rId26" Type="http://schemas.openxmlformats.org/officeDocument/2006/relationships/hyperlink" Target="http://wiki-org.ru/wiki/%D0%A4%D1%80%D0%BE%D0%BB%D0%B8%D1%89%D0%B8" TargetMode="External"/><Relationship Id="rId3" Type="http://schemas.openxmlformats.org/officeDocument/2006/relationships/styles" Target="styles.xml"/><Relationship Id="rId21" Type="http://schemas.openxmlformats.org/officeDocument/2006/relationships/hyperlink" Target="consultantplus://offline/ref=D354802B7D0C824FED35FDE26B0F39D816EFBAA27389A5E134B3068AD7DF51D6D7176A3FC79BB4B5273039C899BF8970A79DFBB27ACCR6M" TargetMode="External"/><Relationship Id="rId7" Type="http://schemas.openxmlformats.org/officeDocument/2006/relationships/footnotes" Target="footnotes.xml"/><Relationship Id="rId12" Type="http://schemas.openxmlformats.org/officeDocument/2006/relationships/hyperlink" Target="https://arbitr.garant.ru/document/redirect/70119304/200179" TargetMode="External"/><Relationship Id="rId17" Type="http://schemas.openxmlformats.org/officeDocument/2006/relationships/image" Target="media/image6.emf"/><Relationship Id="rId25" Type="http://schemas.openxmlformats.org/officeDocument/2006/relationships/hyperlink" Target="http://wiki-org.ru/wiki/2008_%D0%B3%D0%BE%D0%B4"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yperlink" Target="consultantplus://offline/ref=D521B6AFCD8A28B32EFA80456E84429F66FCF2E2ECB42852819539EF6BC0CC4BE74A331B64715179C6A5976D2731D5EC28750974B45BC664D6Z5J" TargetMode="External"/><Relationship Id="rId29" Type="http://schemas.openxmlformats.org/officeDocument/2006/relationships/hyperlink" Target="http://wiki-org.ru/wiki/%D0%9F%D0%B5%D1%81%D1%82%D1%8F%D0%BA%D0%BE%D0%B2%D1%81%D0%BA%D0%B8%D0%B9_%D1%80%D0%B0%D0%B9%D0%BE%D0%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hyperlink" Target="http://wiki-org.ru/wiki/2008_%D0%B3%D0%BE%D0%B4" TargetMode="External"/><Relationship Id="rId10" Type="http://schemas.openxmlformats.org/officeDocument/2006/relationships/header" Target="header2.xml"/><Relationship Id="rId19" Type="http://schemas.openxmlformats.org/officeDocument/2006/relationships/hyperlink" Target="consultantplus://offline/ref=D521B6AFCD8A28B32EFA80456E84429F66FCF2E2ECB42852819539EF6BC0CC4BE74A331B64715179C6A5976D2731D5EC28750974B45BC664D6Z5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yperlink" Target="https://login.consultant.ru/link/?req=doc&amp;base=LAW&amp;n=461120&amp;dst=358" TargetMode="External"/><Relationship Id="rId27" Type="http://schemas.openxmlformats.org/officeDocument/2006/relationships/hyperlink" Target="http://wiki-org.ru/wiki/%D0%92%D0%BE%D0%BB%D0%BE%D0%B4%D0%B0%D1%80%D1%81%D0%BA%D0%B8%D0%B9_%D1%80%D0%B0%D0%B9%D0%BE%D0%BD_%D0%9D%D0%B8%D0%B6%D0%B5%D0%B3%D0%BE%D1%80%D0%BE%D0%B4%D1%81%D0%BA%D0%BE%D0%B9_%D0%BE%D0%B1%D0%BB%D0%B0%D1%81%D1%82%D0%B8" TargetMode="External"/><Relationship Id="rId30" Type="http://schemas.openxmlformats.org/officeDocument/2006/relationships/hyperlink" Target="http://wiki-org.ru/wiki/%D0%98%D0%B2%D0%B0%D0%BD%D0%BE%D0%B2%D1%81%D0%BA%D0%B0%D1%8F_%D0%BE%D0%B1%D0%BB%D0%B0%D1%81%D1%82%D1%8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D131-28B5-4A3D-8163-B8422F81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77</Pages>
  <Words>35709</Words>
  <Characters>203545</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RST</Company>
  <LinksUpToDate>false</LinksUpToDate>
  <CharactersWithSpaces>238777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0084</dc:creator>
  <cp:keywords/>
  <dc:description/>
  <cp:lastModifiedBy>Коннова Е.А.</cp:lastModifiedBy>
  <cp:revision>7</cp:revision>
  <cp:lastPrinted>2024-10-29T15:38:00Z</cp:lastPrinted>
  <dcterms:created xsi:type="dcterms:W3CDTF">2024-12-24T07:48:00Z</dcterms:created>
  <dcterms:modified xsi:type="dcterms:W3CDTF">2024-12-25T11:38:00Z</dcterms:modified>
</cp:coreProperties>
</file>