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07.10.2019 N 1289</w:t>
              <w:br/>
              <w:t xml:space="preserve">(ред. от 23.06.2020)</w:t>
              <w:br/>
              <w:t xml:space="preserve">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октября 2019 г. N 1289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ТРЕБОВАНИЯХ</w:t>
      </w:r>
    </w:p>
    <w:p>
      <w:pPr>
        <w:pStyle w:val="2"/>
        <w:jc w:val="center"/>
      </w:pPr>
      <w:r>
        <w:rPr>
          <w:sz w:val="20"/>
        </w:rPr>
        <w:t xml:space="preserve">К СНИЖЕНИЮ ГОСУДАРСТВЕННЫМИ (МУНИЦИПАЛЬНЫМИ) УЧРЕЖДЕНИЯМИ</w:t>
      </w:r>
    </w:p>
    <w:p>
      <w:pPr>
        <w:pStyle w:val="2"/>
        <w:jc w:val="center"/>
      </w:pPr>
      <w:r>
        <w:rPr>
          <w:sz w:val="20"/>
        </w:rPr>
        <w:t xml:space="preserve">В СОПОСТАВИМЫХ УСЛОВИЯХ СУММАРНОГО ОБЪЕМА ПОТРЕБЛЯЕМЫХ ИМИ</w:t>
      </w:r>
    </w:p>
    <w:p>
      <w:pPr>
        <w:pStyle w:val="2"/>
        <w:jc w:val="center"/>
      </w:pPr>
      <w:r>
        <w:rPr>
          <w:sz w:val="20"/>
        </w:rPr>
        <w:t xml:space="preserve">ДИЗЕЛЬНОГО И ИНОГО ТОПЛИВА, МАЗУТА, ПРИРОДНОГО ГАЗА,</w:t>
      </w:r>
    </w:p>
    <w:p>
      <w:pPr>
        <w:pStyle w:val="2"/>
        <w:jc w:val="center"/>
      </w:pPr>
      <w:r>
        <w:rPr>
          <w:sz w:val="20"/>
        </w:rPr>
        <w:t xml:space="preserve">ТЕПЛОВОЙ ЭНЕРГИИ, ЭЛЕКТРИЧЕСКОЙ ЭНЕРГИИ, УГЛЯ,</w:t>
      </w:r>
    </w:p>
    <w:p>
      <w:pPr>
        <w:pStyle w:val="2"/>
        <w:jc w:val="center"/>
      </w:pPr>
      <w:r>
        <w:rPr>
          <w:sz w:val="20"/>
        </w:rPr>
        <w:t xml:space="preserve">А ТАКЖЕ ОБЪЕМА ПОТРЕБЛЯЕМОЙ ИМИ ВОДЫ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23.06.2020 N 914 &quot;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23.06.2020 N 914)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1 статьи 24</w:t>
        </w:r>
      </w:hyperlink>
      <w:r>
        <w:rPr>
          <w:sz w:val="20"/>
        </w:rP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экономического развития Российской Федерации утвердить до 31 марта 2020 г. </w:t>
      </w:r>
      <w:hyperlink w:history="0" r:id="rId9" w:tooltip="Приказ Минэкономразвития России от 15.07.2020 N 425 (ред. от 09.03.2023) &quot;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&quot; {КонсультантПлюс}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по определению потенциала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октября 2019 г. N 1289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СНИЖЕНИЮ ГОСУДАРСТВЕННЫМИ (МУНИЦИПАЛЬНЫМИ) УЧРЕЖДЕНИЯМИ</w:t>
      </w:r>
    </w:p>
    <w:p>
      <w:pPr>
        <w:pStyle w:val="2"/>
        <w:jc w:val="center"/>
      </w:pPr>
      <w:r>
        <w:rPr>
          <w:sz w:val="20"/>
        </w:rPr>
        <w:t xml:space="preserve">В СОПОСТАВИМЫХ УСЛОВИЯХ СУММАРНОГО ОБЪЕМА ПОТРЕБЛЯЕМЫХ ИМИ</w:t>
      </w:r>
    </w:p>
    <w:p>
      <w:pPr>
        <w:pStyle w:val="2"/>
        <w:jc w:val="center"/>
      </w:pPr>
      <w:r>
        <w:rPr>
          <w:sz w:val="20"/>
        </w:rPr>
        <w:t xml:space="preserve">ДИЗЕЛЬНОГО И ИНОГО ТОПЛИВА, МАЗУТА, ПРИРОДНОГО ГАЗА,</w:t>
      </w:r>
    </w:p>
    <w:p>
      <w:pPr>
        <w:pStyle w:val="2"/>
        <w:jc w:val="center"/>
      </w:pPr>
      <w:r>
        <w:rPr>
          <w:sz w:val="20"/>
        </w:rPr>
        <w:t xml:space="preserve">ТЕПЛОВОЙ ЭНЕРГИИ, ЭЛЕКТРИЧЕСКОЙ ЭНЕРГИИ, УГЛЯ,</w:t>
      </w:r>
    </w:p>
    <w:p>
      <w:pPr>
        <w:pStyle w:val="2"/>
        <w:jc w:val="center"/>
      </w:pPr>
      <w:r>
        <w:rPr>
          <w:sz w:val="20"/>
        </w:rPr>
        <w:t xml:space="preserve">А ТАКЖЕ ОБЪЕМА ПОТРЕБЛЯЕМОЙ ИМИ ВОДЫ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Правительства РФ от 23.06.2020 N 914 &quot;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23.06.2020 N 914)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документ устанавливает требования к снижению государственным (муниципальным) учреждением (далее - организация) в сопоставимых условиях суммарного объема потребляемых им дизельного и иного топлива, мазута, природного газа, тепловой энергии, электрической энергии, угля (далее - энергетические ресурсы), а также объема потребляемой им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23.06.2020 N 914 &quot;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23.06.2020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Целевой уровень снижения потребления ресурсов устанавливается на 3-летний период с 2021 года с последующей его актуализацией на очередной 3-летний период до 1 июля года, предшествующего очередному 3-летнему периоду.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Базовым годом, по отношению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каждого последующего 3-летнего периода базовым годом, по отношению к показателям которого устанавливается целевой уровень снижения потребления ресурсов, является год, предшествующий очередному 3-летнему периоду, на который устанавливается соответствующий целевой уровень снижения потребления ресурсов.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2" w:tooltip="Постановление Правительства РФ от 23.06.2020 N 914 &quot;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23.06.2020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 силу. - </w:t>
      </w:r>
      <w:hyperlink w:history="0" r:id="rId13" w:tooltip="Постановление Правительства РФ от 23.06.2020 N 914 &quot;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23.06.2020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Целевой уровень снижения потребления ресурсов устанавливается главными распорядителями бюджетных средств в соответствии с </w:t>
      </w:r>
      <w:hyperlink w:history="0" r:id="rId14" w:tooltip="Приказ Минэкономразвития России от 15.07.2020 N 425 (ред. от 09.03.2023) &quot;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&quot; {КонсультантПлюс}">
        <w:r>
          <w:rPr>
            <w:sz w:val="20"/>
            <w:color w:val="0000ff"/>
          </w:rPr>
          <w:t xml:space="preserve">методическими рекомендациями</w:t>
        </w:r>
      </w:hyperlink>
      <w:r>
        <w:rPr>
          <w:sz w:val="20"/>
        </w:rPr>
        <w:t xml:space="preserve">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утвержденными Министерством экономического развития Российской Федерации, в том числе на основании результатов проведенных энергетических обследований и данных деклараций о потреблении энергетических ресурсов.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15" w:tooltip="Постановление Правительства РФ от 23.06.2020 N 914 &quot;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23.06.2020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Достижение целевого уровня снижения потребления ресурсов обеспечивается за счет реализации мероприятий программ энергосбережения и повышения энергетической эффективности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Организации обязаны разработать или скорректировать ранее утвержденные программы энергосбережения и повышения энергетической эффективности в соответствии с установленными целевыми уровнями снижения потребления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отношении мероприятий утвержденных в установленном порядке программ энергосбережения и повышения энергетической эффективности, направленных на достижение целевого уровня снижения потребления ресурсов и не обеспеченных бюджетным финансированием, организации обязаны осуществить действия, направленные на заключение энергосервисного договора (контракта),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07.10.2019 N 1289</w:t>
            <w:br/>
            <w:t>(ред. от 23.06.2020)</w:t>
            <w:br/>
            <w:t>"О требованиях к снижению государственными (мун...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5807&amp;dst=100005" TargetMode = "External"/>
	<Relationship Id="rId8" Type="http://schemas.openxmlformats.org/officeDocument/2006/relationships/hyperlink" Target="https://login.consultant.ru/link/?req=doc&amp;base=LAW&amp;n=449642&amp;dst=132" TargetMode = "External"/>
	<Relationship Id="rId9" Type="http://schemas.openxmlformats.org/officeDocument/2006/relationships/hyperlink" Target="https://login.consultant.ru/link/?req=doc&amp;base=LAW&amp;n=442220&amp;dst=100009" TargetMode = "External"/>
	<Relationship Id="rId10" Type="http://schemas.openxmlformats.org/officeDocument/2006/relationships/hyperlink" Target="https://login.consultant.ru/link/?req=doc&amp;base=LAW&amp;n=355807&amp;dst=100005" TargetMode = "External"/>
	<Relationship Id="rId11" Type="http://schemas.openxmlformats.org/officeDocument/2006/relationships/hyperlink" Target="https://login.consultant.ru/link/?req=doc&amp;base=LAW&amp;n=355807&amp;dst=100011" TargetMode = "External"/>
	<Relationship Id="rId12" Type="http://schemas.openxmlformats.org/officeDocument/2006/relationships/hyperlink" Target="https://login.consultant.ru/link/?req=doc&amp;base=LAW&amp;n=355807&amp;dst=100012" TargetMode = "External"/>
	<Relationship Id="rId13" Type="http://schemas.openxmlformats.org/officeDocument/2006/relationships/hyperlink" Target="https://login.consultant.ru/link/?req=doc&amp;base=LAW&amp;n=355807&amp;dst=100015" TargetMode = "External"/>
	<Relationship Id="rId14" Type="http://schemas.openxmlformats.org/officeDocument/2006/relationships/hyperlink" Target="https://login.consultant.ru/link/?req=doc&amp;base=LAW&amp;n=442220&amp;dst=100324" TargetMode = "External"/>
	<Relationship Id="rId15" Type="http://schemas.openxmlformats.org/officeDocument/2006/relationships/hyperlink" Target="https://login.consultant.ru/link/?req=doc&amp;base=LAW&amp;n=355807&amp;dst=10001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07.10.2019 N 1289
(ред. от 23.06.2020)
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dc:title>
  <dcterms:created xsi:type="dcterms:W3CDTF">2024-01-30T06:35:14Z</dcterms:created>
</cp:coreProperties>
</file>