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76CF" w14:textId="77777777" w:rsidR="001F61F5" w:rsidRPr="00F23E7E" w:rsidRDefault="001F61F5" w:rsidP="004A5646">
      <w:pPr>
        <w:tabs>
          <w:tab w:val="left" w:pos="2694"/>
          <w:tab w:val="left" w:pos="8789"/>
        </w:tabs>
        <w:jc w:val="right"/>
        <w:rPr>
          <w:b/>
          <w:sz w:val="24"/>
          <w:szCs w:val="24"/>
        </w:rPr>
      </w:pPr>
      <w:r w:rsidRPr="00F23E7E">
        <w:rPr>
          <w:b/>
          <w:sz w:val="24"/>
          <w:szCs w:val="24"/>
        </w:rPr>
        <w:t>Утверждаю</w:t>
      </w:r>
    </w:p>
    <w:p w14:paraId="397F9F38" w14:textId="77777777" w:rsidR="001F61F5" w:rsidRPr="00F23E7E" w:rsidRDefault="001F61F5" w:rsidP="004A5646">
      <w:pPr>
        <w:tabs>
          <w:tab w:val="left" w:pos="8789"/>
        </w:tabs>
        <w:jc w:val="right"/>
        <w:rPr>
          <w:sz w:val="24"/>
          <w:szCs w:val="24"/>
        </w:rPr>
      </w:pPr>
      <w:r w:rsidRPr="00F23E7E">
        <w:rPr>
          <w:sz w:val="24"/>
          <w:szCs w:val="24"/>
        </w:rPr>
        <w:t>Председатель Правления</w:t>
      </w:r>
    </w:p>
    <w:p w14:paraId="700BEDC6" w14:textId="77777777" w:rsidR="001F61F5" w:rsidRPr="00F23E7E" w:rsidRDefault="001F61F5" w:rsidP="004A5646">
      <w:pPr>
        <w:tabs>
          <w:tab w:val="left" w:pos="8789"/>
        </w:tabs>
        <w:jc w:val="right"/>
        <w:rPr>
          <w:sz w:val="24"/>
          <w:szCs w:val="24"/>
        </w:rPr>
      </w:pPr>
      <w:r w:rsidRPr="00F23E7E">
        <w:rPr>
          <w:sz w:val="24"/>
          <w:szCs w:val="24"/>
        </w:rPr>
        <w:t>Департамента энергетики и тарифов</w:t>
      </w:r>
    </w:p>
    <w:p w14:paraId="14ADBB3F" w14:textId="77777777" w:rsidR="001F61F5" w:rsidRPr="00F23E7E" w:rsidRDefault="001F61F5" w:rsidP="004A5646">
      <w:pPr>
        <w:tabs>
          <w:tab w:val="left" w:pos="8789"/>
        </w:tabs>
        <w:jc w:val="right"/>
        <w:rPr>
          <w:sz w:val="24"/>
          <w:szCs w:val="24"/>
        </w:rPr>
      </w:pPr>
      <w:r w:rsidRPr="00F23E7E">
        <w:rPr>
          <w:sz w:val="24"/>
          <w:szCs w:val="24"/>
        </w:rPr>
        <w:t>Ивановской области</w:t>
      </w:r>
    </w:p>
    <w:p w14:paraId="67F50C2B" w14:textId="77777777" w:rsidR="001F61F5" w:rsidRPr="00F23E7E" w:rsidRDefault="001F61F5" w:rsidP="004A5646">
      <w:pPr>
        <w:tabs>
          <w:tab w:val="left" w:pos="8789"/>
        </w:tabs>
        <w:jc w:val="right"/>
        <w:rPr>
          <w:sz w:val="24"/>
          <w:szCs w:val="24"/>
        </w:rPr>
      </w:pPr>
    </w:p>
    <w:p w14:paraId="3EE0B4DF" w14:textId="4A0CC77D" w:rsidR="001F61F5" w:rsidRPr="00F23E7E" w:rsidRDefault="001F61F5" w:rsidP="004A5646">
      <w:pPr>
        <w:tabs>
          <w:tab w:val="left" w:pos="8789"/>
        </w:tabs>
        <w:jc w:val="right"/>
        <w:rPr>
          <w:b/>
          <w:sz w:val="24"/>
          <w:szCs w:val="24"/>
        </w:rPr>
      </w:pPr>
      <w:r w:rsidRPr="00F23E7E">
        <w:rPr>
          <w:sz w:val="24"/>
          <w:szCs w:val="24"/>
        </w:rPr>
        <w:t>______________________</w:t>
      </w:r>
      <w:r w:rsidR="008860A1">
        <w:rPr>
          <w:sz w:val="24"/>
          <w:szCs w:val="24"/>
        </w:rPr>
        <w:t>С.Е. Бугаева</w:t>
      </w:r>
    </w:p>
    <w:p w14:paraId="4D87B464" w14:textId="77777777" w:rsidR="001F61F5" w:rsidRPr="00F23E7E" w:rsidRDefault="001F61F5" w:rsidP="004A5646">
      <w:pPr>
        <w:tabs>
          <w:tab w:val="left" w:pos="8789"/>
        </w:tabs>
        <w:jc w:val="center"/>
        <w:rPr>
          <w:b/>
          <w:sz w:val="24"/>
          <w:szCs w:val="24"/>
          <w:u w:val="single"/>
        </w:rPr>
      </w:pPr>
    </w:p>
    <w:p w14:paraId="6A2030F3" w14:textId="1DA1D066" w:rsidR="001F61F5" w:rsidRPr="00F23E7E" w:rsidRDefault="001F61F5" w:rsidP="004A5646">
      <w:pPr>
        <w:tabs>
          <w:tab w:val="left" w:pos="8789"/>
        </w:tabs>
        <w:jc w:val="center"/>
        <w:rPr>
          <w:b/>
          <w:sz w:val="24"/>
          <w:szCs w:val="24"/>
          <w:u w:val="single"/>
        </w:rPr>
      </w:pPr>
      <w:r w:rsidRPr="00F23E7E">
        <w:rPr>
          <w:b/>
          <w:sz w:val="24"/>
          <w:szCs w:val="24"/>
          <w:u w:val="single"/>
        </w:rPr>
        <w:t xml:space="preserve">П Р О Т О К О </w:t>
      </w:r>
      <w:r w:rsidR="00A422F5" w:rsidRPr="00F23E7E">
        <w:rPr>
          <w:b/>
          <w:sz w:val="24"/>
          <w:szCs w:val="24"/>
          <w:u w:val="single"/>
        </w:rPr>
        <w:t>Л №</w:t>
      </w:r>
      <w:r w:rsidRPr="00F23E7E">
        <w:rPr>
          <w:b/>
          <w:sz w:val="24"/>
          <w:szCs w:val="24"/>
          <w:u w:val="single"/>
        </w:rPr>
        <w:t xml:space="preserve"> </w:t>
      </w:r>
      <w:r w:rsidR="00365155">
        <w:rPr>
          <w:b/>
          <w:sz w:val="24"/>
          <w:szCs w:val="24"/>
          <w:u w:val="single"/>
        </w:rPr>
        <w:t>21/1</w:t>
      </w:r>
    </w:p>
    <w:p w14:paraId="7002C533" w14:textId="77777777" w:rsidR="00F96DE7" w:rsidRPr="00F23E7E" w:rsidRDefault="00F96DE7" w:rsidP="004A5646">
      <w:pPr>
        <w:tabs>
          <w:tab w:val="left" w:pos="8789"/>
        </w:tabs>
        <w:jc w:val="center"/>
        <w:rPr>
          <w:b/>
          <w:sz w:val="24"/>
          <w:szCs w:val="24"/>
          <w:u w:val="single"/>
        </w:rPr>
      </w:pPr>
    </w:p>
    <w:p w14:paraId="35541716" w14:textId="77777777" w:rsidR="001F61F5" w:rsidRPr="00F23E7E" w:rsidRDefault="001F61F5" w:rsidP="004A5646">
      <w:pPr>
        <w:tabs>
          <w:tab w:val="left" w:pos="8789"/>
        </w:tabs>
        <w:jc w:val="center"/>
        <w:rPr>
          <w:sz w:val="24"/>
          <w:szCs w:val="24"/>
        </w:rPr>
      </w:pPr>
      <w:r w:rsidRPr="00F23E7E">
        <w:rPr>
          <w:sz w:val="24"/>
          <w:szCs w:val="24"/>
        </w:rPr>
        <w:t>заседания Правления Департамента энергетики и тарифов Ивановской области</w:t>
      </w:r>
    </w:p>
    <w:p w14:paraId="76066DA6" w14:textId="77777777" w:rsidR="001F61F5" w:rsidRPr="00F23E7E" w:rsidRDefault="001F61F5" w:rsidP="004A5646">
      <w:pPr>
        <w:tabs>
          <w:tab w:val="left" w:pos="8789"/>
        </w:tabs>
        <w:jc w:val="center"/>
        <w:rPr>
          <w:sz w:val="24"/>
          <w:szCs w:val="24"/>
        </w:rPr>
      </w:pPr>
    </w:p>
    <w:p w14:paraId="6FA95E28" w14:textId="52083676" w:rsidR="001F61F5" w:rsidRPr="00F23E7E" w:rsidRDefault="00365155" w:rsidP="004A5646">
      <w:pPr>
        <w:rPr>
          <w:sz w:val="24"/>
          <w:szCs w:val="24"/>
        </w:rPr>
      </w:pPr>
      <w:r>
        <w:rPr>
          <w:sz w:val="24"/>
          <w:szCs w:val="24"/>
        </w:rPr>
        <w:t>21 июня</w:t>
      </w:r>
      <w:r w:rsidR="006E4B11" w:rsidRPr="00F23E7E">
        <w:rPr>
          <w:sz w:val="24"/>
          <w:szCs w:val="24"/>
        </w:rPr>
        <w:t xml:space="preserve"> </w:t>
      </w:r>
      <w:r w:rsidR="001F61F5" w:rsidRPr="00F23E7E">
        <w:rPr>
          <w:sz w:val="24"/>
          <w:szCs w:val="24"/>
        </w:rPr>
        <w:t>202</w:t>
      </w:r>
      <w:r w:rsidR="008860A1">
        <w:rPr>
          <w:sz w:val="24"/>
          <w:szCs w:val="24"/>
        </w:rPr>
        <w:t>4</w:t>
      </w:r>
      <w:r w:rsidR="001F61F5" w:rsidRPr="00F23E7E">
        <w:rPr>
          <w:sz w:val="24"/>
          <w:szCs w:val="24"/>
        </w:rPr>
        <w:t xml:space="preserve"> г.</w:t>
      </w:r>
      <w:r w:rsidR="001F61F5" w:rsidRPr="00F23E7E">
        <w:rPr>
          <w:sz w:val="24"/>
          <w:szCs w:val="24"/>
        </w:rPr>
        <w:tab/>
        <w:t xml:space="preserve"> </w:t>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t xml:space="preserve">              </w:t>
      </w:r>
      <w:r w:rsidR="00BE79D0" w:rsidRPr="00F23E7E">
        <w:rPr>
          <w:sz w:val="24"/>
          <w:szCs w:val="24"/>
        </w:rPr>
        <w:t xml:space="preserve">       </w:t>
      </w:r>
      <w:r w:rsidR="00F725EC" w:rsidRPr="00F23E7E">
        <w:rPr>
          <w:sz w:val="24"/>
          <w:szCs w:val="24"/>
        </w:rPr>
        <w:t xml:space="preserve">          </w:t>
      </w:r>
      <w:r w:rsidR="001F61F5" w:rsidRPr="00F23E7E">
        <w:rPr>
          <w:sz w:val="24"/>
          <w:szCs w:val="24"/>
        </w:rPr>
        <w:t>г. Иваново</w:t>
      </w:r>
    </w:p>
    <w:p w14:paraId="4F8E1140" w14:textId="77777777" w:rsidR="001F61F5" w:rsidRPr="00F23E7E" w:rsidRDefault="001F61F5" w:rsidP="004A5646">
      <w:pPr>
        <w:tabs>
          <w:tab w:val="left" w:pos="8789"/>
        </w:tabs>
        <w:jc w:val="center"/>
        <w:rPr>
          <w:sz w:val="24"/>
          <w:szCs w:val="24"/>
        </w:rPr>
      </w:pPr>
    </w:p>
    <w:p w14:paraId="1838B3AC" w14:textId="77777777" w:rsidR="000047E6" w:rsidRPr="00F23E7E" w:rsidRDefault="000047E6" w:rsidP="004A5646">
      <w:pPr>
        <w:pStyle w:val="24"/>
        <w:widowControl/>
        <w:ind w:firstLine="0"/>
        <w:rPr>
          <w:szCs w:val="24"/>
        </w:rPr>
      </w:pPr>
      <w:r w:rsidRPr="00F23E7E">
        <w:rPr>
          <w:szCs w:val="24"/>
        </w:rPr>
        <w:t>Присутствовали:</w:t>
      </w:r>
    </w:p>
    <w:p w14:paraId="525184C8" w14:textId="783BA4E5" w:rsidR="00BB5018" w:rsidRPr="00F23E7E" w:rsidRDefault="000047E6" w:rsidP="004A5646">
      <w:pPr>
        <w:pStyle w:val="24"/>
        <w:widowControl/>
        <w:ind w:firstLine="0"/>
        <w:rPr>
          <w:szCs w:val="24"/>
        </w:rPr>
      </w:pPr>
      <w:r w:rsidRPr="00F23E7E">
        <w:rPr>
          <w:szCs w:val="24"/>
        </w:rPr>
        <w:t xml:space="preserve">Председатель Правления: </w:t>
      </w:r>
      <w:r w:rsidR="008860A1" w:rsidRPr="008860A1">
        <w:rPr>
          <w:szCs w:val="24"/>
        </w:rPr>
        <w:t xml:space="preserve">Бугаева </w:t>
      </w:r>
      <w:proofErr w:type="gramStart"/>
      <w:r w:rsidR="008860A1" w:rsidRPr="008860A1">
        <w:rPr>
          <w:szCs w:val="24"/>
        </w:rPr>
        <w:t>С.Е</w:t>
      </w:r>
      <w:proofErr w:type="gramEnd"/>
    </w:p>
    <w:p w14:paraId="1C5FC872" w14:textId="1212DC6C" w:rsidR="00D240A5" w:rsidRPr="00F23E7E" w:rsidRDefault="000047E6" w:rsidP="004A5646">
      <w:pPr>
        <w:pStyle w:val="24"/>
        <w:widowControl/>
        <w:ind w:firstLine="0"/>
        <w:rPr>
          <w:szCs w:val="24"/>
        </w:rPr>
      </w:pPr>
      <w:r w:rsidRPr="00F23E7E">
        <w:rPr>
          <w:szCs w:val="24"/>
        </w:rPr>
        <w:t xml:space="preserve">Члены Правления: </w:t>
      </w:r>
      <w:r w:rsidR="00C64ECD" w:rsidRPr="00F23E7E">
        <w:rPr>
          <w:szCs w:val="24"/>
        </w:rPr>
        <w:t xml:space="preserve">Гущина Н.Б., </w:t>
      </w:r>
      <w:proofErr w:type="spellStart"/>
      <w:r w:rsidR="00365155">
        <w:rPr>
          <w:szCs w:val="24"/>
        </w:rPr>
        <w:t>Турбачкина</w:t>
      </w:r>
      <w:proofErr w:type="spellEnd"/>
      <w:r w:rsidR="00365155">
        <w:rPr>
          <w:szCs w:val="24"/>
        </w:rPr>
        <w:t xml:space="preserve"> Е.В., Агапова О.П.</w:t>
      </w:r>
    </w:p>
    <w:p w14:paraId="21998473" w14:textId="5CCD0221" w:rsidR="00BB5018" w:rsidRPr="00F13133" w:rsidRDefault="000047E6" w:rsidP="004A5646">
      <w:pPr>
        <w:pStyle w:val="24"/>
        <w:widowControl/>
        <w:ind w:firstLine="0"/>
        <w:rPr>
          <w:color w:val="FF0000"/>
          <w:szCs w:val="24"/>
        </w:rPr>
      </w:pPr>
      <w:r w:rsidRPr="00F23E7E">
        <w:rPr>
          <w:szCs w:val="24"/>
        </w:rPr>
        <w:t xml:space="preserve">Ответственный секретарь </w:t>
      </w:r>
      <w:r w:rsidRPr="00505AFE">
        <w:rPr>
          <w:szCs w:val="24"/>
        </w:rPr>
        <w:t xml:space="preserve">правления: </w:t>
      </w:r>
      <w:proofErr w:type="spellStart"/>
      <w:r w:rsidR="00505AFE" w:rsidRPr="00505AFE">
        <w:rPr>
          <w:szCs w:val="24"/>
        </w:rPr>
        <w:t>Карика</w:t>
      </w:r>
      <w:proofErr w:type="spellEnd"/>
      <w:r w:rsidR="00505AFE" w:rsidRPr="00505AFE">
        <w:rPr>
          <w:szCs w:val="24"/>
        </w:rPr>
        <w:t xml:space="preserve"> О.Н.</w:t>
      </w:r>
    </w:p>
    <w:p w14:paraId="197AEAC0" w14:textId="29BC39F9" w:rsidR="00597C04" w:rsidRPr="00F23E7E" w:rsidRDefault="000047E6" w:rsidP="004A5646">
      <w:pPr>
        <w:pStyle w:val="24"/>
        <w:widowControl/>
        <w:ind w:firstLine="0"/>
        <w:rPr>
          <w:szCs w:val="24"/>
        </w:rPr>
      </w:pPr>
      <w:r w:rsidRPr="00F23E7E">
        <w:rPr>
          <w:szCs w:val="24"/>
        </w:rPr>
        <w:t xml:space="preserve">От Департамента энергетики и тарифов Ивановской области: </w:t>
      </w:r>
      <w:r w:rsidR="00365155">
        <w:rPr>
          <w:szCs w:val="24"/>
        </w:rPr>
        <w:t>Зуева Е.В.</w:t>
      </w:r>
    </w:p>
    <w:p w14:paraId="1B8C795B" w14:textId="77777777" w:rsidR="00123D78" w:rsidRDefault="000047E6" w:rsidP="004A5646">
      <w:pPr>
        <w:pStyle w:val="24"/>
        <w:widowControl/>
        <w:ind w:firstLine="0"/>
        <w:rPr>
          <w:szCs w:val="24"/>
        </w:rPr>
      </w:pPr>
      <w:r w:rsidRPr="00F23E7E">
        <w:rPr>
          <w:szCs w:val="24"/>
        </w:rPr>
        <w:t xml:space="preserve">От УФАС по Ивановской области: </w:t>
      </w:r>
      <w:proofErr w:type="spellStart"/>
      <w:r w:rsidR="00743103" w:rsidRPr="00F23E7E">
        <w:rPr>
          <w:szCs w:val="24"/>
        </w:rPr>
        <w:t>Виднова</w:t>
      </w:r>
      <w:proofErr w:type="spellEnd"/>
      <w:r w:rsidR="00743103" w:rsidRPr="00F23E7E">
        <w:rPr>
          <w:szCs w:val="24"/>
        </w:rPr>
        <w:t xml:space="preserve"> З.Б.</w:t>
      </w:r>
    </w:p>
    <w:p w14:paraId="168B1EAB" w14:textId="77777777" w:rsidR="00755D76" w:rsidRDefault="00755D76" w:rsidP="004A5646">
      <w:pPr>
        <w:jc w:val="center"/>
        <w:rPr>
          <w:b/>
          <w:sz w:val="8"/>
          <w:szCs w:val="8"/>
        </w:rPr>
      </w:pPr>
    </w:p>
    <w:p w14:paraId="1C73DBEF" w14:textId="77777777" w:rsidR="00577B75" w:rsidRPr="00F23E7E" w:rsidRDefault="00577B75" w:rsidP="004A5646">
      <w:pPr>
        <w:jc w:val="center"/>
        <w:rPr>
          <w:b/>
          <w:sz w:val="8"/>
          <w:szCs w:val="8"/>
        </w:rPr>
      </w:pPr>
    </w:p>
    <w:p w14:paraId="722436E6" w14:textId="77777777" w:rsidR="00F3495C" w:rsidRPr="00F23E7E" w:rsidRDefault="00F3495C" w:rsidP="004A5646">
      <w:pPr>
        <w:jc w:val="center"/>
        <w:rPr>
          <w:b/>
          <w:sz w:val="24"/>
          <w:szCs w:val="24"/>
        </w:rPr>
      </w:pPr>
      <w:r w:rsidRPr="00F23E7E">
        <w:rPr>
          <w:b/>
          <w:sz w:val="24"/>
          <w:szCs w:val="24"/>
        </w:rPr>
        <w:t>П О В Е С Т К А:</w:t>
      </w:r>
    </w:p>
    <w:p w14:paraId="725AF8E8" w14:textId="77777777" w:rsidR="00A363F5" w:rsidRPr="00F23E7E" w:rsidRDefault="00A363F5" w:rsidP="004A5646">
      <w:pPr>
        <w:jc w:val="center"/>
        <w:rPr>
          <w:b/>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23E7E" w14:paraId="28A54DFA" w14:textId="77777777" w:rsidTr="00B016E9">
        <w:trPr>
          <w:trHeight w:val="401"/>
        </w:trPr>
        <w:tc>
          <w:tcPr>
            <w:tcW w:w="567" w:type="dxa"/>
            <w:vAlign w:val="center"/>
          </w:tcPr>
          <w:p w14:paraId="270BD717" w14:textId="77777777" w:rsidR="00B016E9" w:rsidRPr="00F23E7E" w:rsidRDefault="00B016E9" w:rsidP="004A5646">
            <w:pPr>
              <w:jc w:val="center"/>
              <w:rPr>
                <w:b/>
                <w:sz w:val="24"/>
                <w:szCs w:val="24"/>
              </w:rPr>
            </w:pPr>
            <w:r w:rsidRPr="00F23E7E">
              <w:rPr>
                <w:b/>
                <w:sz w:val="24"/>
                <w:szCs w:val="24"/>
              </w:rPr>
              <w:t>№ п/п</w:t>
            </w:r>
          </w:p>
        </w:tc>
        <w:tc>
          <w:tcPr>
            <w:tcW w:w="9639" w:type="dxa"/>
            <w:vAlign w:val="center"/>
          </w:tcPr>
          <w:p w14:paraId="0C475C1C" w14:textId="77777777" w:rsidR="00B016E9" w:rsidRPr="00F23E7E" w:rsidRDefault="00B016E9" w:rsidP="004A5646">
            <w:pPr>
              <w:tabs>
                <w:tab w:val="left" w:pos="1276"/>
              </w:tabs>
              <w:autoSpaceDE w:val="0"/>
              <w:autoSpaceDN w:val="0"/>
              <w:adjustRightInd w:val="0"/>
              <w:jc w:val="center"/>
              <w:rPr>
                <w:b/>
                <w:bCs/>
                <w:sz w:val="24"/>
                <w:szCs w:val="24"/>
              </w:rPr>
            </w:pPr>
            <w:r w:rsidRPr="00F23E7E">
              <w:rPr>
                <w:b/>
                <w:bCs/>
                <w:sz w:val="24"/>
                <w:szCs w:val="24"/>
              </w:rPr>
              <w:t>Наименование вопроса</w:t>
            </w:r>
          </w:p>
        </w:tc>
      </w:tr>
      <w:tr w:rsidR="00505AFE" w:rsidRPr="00505AFE" w14:paraId="3B6829E8" w14:textId="77777777" w:rsidTr="001A6726">
        <w:trPr>
          <w:trHeight w:val="401"/>
        </w:trPr>
        <w:tc>
          <w:tcPr>
            <w:tcW w:w="567" w:type="dxa"/>
          </w:tcPr>
          <w:p w14:paraId="68AD4550" w14:textId="77777777" w:rsidR="008F469F" w:rsidRPr="00505AFE" w:rsidRDefault="008F469F" w:rsidP="008F469F">
            <w:pPr>
              <w:jc w:val="center"/>
              <w:rPr>
                <w:sz w:val="24"/>
                <w:szCs w:val="24"/>
              </w:rPr>
            </w:pPr>
            <w:r w:rsidRPr="00505AFE">
              <w:rPr>
                <w:sz w:val="24"/>
                <w:szCs w:val="24"/>
              </w:rPr>
              <w:t>1.</w:t>
            </w:r>
          </w:p>
        </w:tc>
        <w:tc>
          <w:tcPr>
            <w:tcW w:w="9639" w:type="dxa"/>
          </w:tcPr>
          <w:p w14:paraId="5A48F191" w14:textId="4C2E98A9" w:rsidR="008F469F" w:rsidRPr="00505AFE" w:rsidRDefault="00365155" w:rsidP="007140DA">
            <w:pPr>
              <w:jc w:val="both"/>
              <w:rPr>
                <w:sz w:val="24"/>
                <w:szCs w:val="24"/>
              </w:rPr>
            </w:pPr>
            <w:r w:rsidRPr="00505AFE">
              <w:rPr>
                <w:sz w:val="24"/>
                <w:szCs w:val="24"/>
              </w:rPr>
              <w:t>Об установлении долгосрочных тарифов на тепловую энергию для потребителей ООО «ИнвестЭнерго</w:t>
            </w:r>
            <w:r w:rsidRPr="00505AFE">
              <w:rPr>
                <w:sz w:val="24"/>
              </w:rPr>
              <w:t xml:space="preserve">» </w:t>
            </w:r>
            <w:r w:rsidR="00F13133" w:rsidRPr="00505AFE">
              <w:rPr>
                <w:bCs/>
                <w:sz w:val="24"/>
              </w:rPr>
              <w:t xml:space="preserve">(от БМК с. </w:t>
            </w:r>
            <w:proofErr w:type="spellStart"/>
            <w:r w:rsidR="00F13133" w:rsidRPr="00505AFE">
              <w:rPr>
                <w:bCs/>
                <w:sz w:val="24"/>
              </w:rPr>
              <w:t>Михалево</w:t>
            </w:r>
            <w:proofErr w:type="spellEnd"/>
            <w:r w:rsidR="00F13133" w:rsidRPr="00505AFE">
              <w:rPr>
                <w:bCs/>
                <w:sz w:val="24"/>
              </w:rPr>
              <w:t xml:space="preserve"> Ивановского района)</w:t>
            </w:r>
            <w:r w:rsidRPr="00505AFE">
              <w:rPr>
                <w:sz w:val="24"/>
              </w:rPr>
              <w:t xml:space="preserve"> на 2024-2026 годы</w:t>
            </w:r>
          </w:p>
        </w:tc>
      </w:tr>
    </w:tbl>
    <w:p w14:paraId="33F4D1D9" w14:textId="77777777" w:rsidR="004C6880" w:rsidRPr="00505AFE" w:rsidRDefault="00FF3699" w:rsidP="004A5646">
      <w:pPr>
        <w:pStyle w:val="ConsNormal"/>
        <w:tabs>
          <w:tab w:val="left" w:pos="851"/>
          <w:tab w:val="left" w:pos="993"/>
          <w:tab w:val="left" w:pos="4020"/>
        </w:tabs>
        <w:ind w:firstLine="567"/>
        <w:jc w:val="both"/>
        <w:rPr>
          <w:rFonts w:ascii="Times New Roman" w:hAnsi="Times New Roman"/>
          <w:b/>
          <w:sz w:val="24"/>
          <w:szCs w:val="24"/>
        </w:rPr>
      </w:pPr>
      <w:r w:rsidRPr="00505AFE">
        <w:rPr>
          <w:rFonts w:ascii="Times New Roman" w:hAnsi="Times New Roman"/>
          <w:b/>
          <w:sz w:val="24"/>
          <w:szCs w:val="24"/>
        </w:rPr>
        <w:t xml:space="preserve"> </w:t>
      </w:r>
    </w:p>
    <w:p w14:paraId="465E1367" w14:textId="54ED1232" w:rsidR="008F469F" w:rsidRPr="00505AFE" w:rsidRDefault="00940D20" w:rsidP="007140DA">
      <w:pPr>
        <w:pStyle w:val="24"/>
        <w:widowControl/>
        <w:numPr>
          <w:ilvl w:val="0"/>
          <w:numId w:val="1"/>
        </w:numPr>
        <w:tabs>
          <w:tab w:val="left" w:pos="851"/>
          <w:tab w:val="left" w:pos="993"/>
          <w:tab w:val="left" w:pos="1560"/>
        </w:tabs>
        <w:ind w:left="0" w:firstLine="709"/>
        <w:rPr>
          <w:bCs/>
          <w:szCs w:val="24"/>
        </w:rPr>
      </w:pPr>
      <w:r w:rsidRPr="00505AFE">
        <w:rPr>
          <w:b/>
          <w:szCs w:val="24"/>
        </w:rPr>
        <w:t>СЛУШАЛИ</w:t>
      </w:r>
      <w:proofErr w:type="gramStart"/>
      <w:r w:rsidRPr="00505AFE">
        <w:rPr>
          <w:b/>
          <w:szCs w:val="24"/>
        </w:rPr>
        <w:t xml:space="preserve">: </w:t>
      </w:r>
      <w:r w:rsidR="00365155" w:rsidRPr="00505AFE">
        <w:rPr>
          <w:b/>
          <w:szCs w:val="24"/>
        </w:rPr>
        <w:t>Об</w:t>
      </w:r>
      <w:proofErr w:type="gramEnd"/>
      <w:r w:rsidR="00365155" w:rsidRPr="00505AFE">
        <w:rPr>
          <w:b/>
          <w:szCs w:val="24"/>
        </w:rPr>
        <w:t xml:space="preserve"> установлении долгосрочных тарифов на тепловую энергию для потребителей ООО «ИнвестЭнерго» </w:t>
      </w:r>
      <w:r w:rsidR="00F13133" w:rsidRPr="00505AFE">
        <w:rPr>
          <w:bCs/>
          <w:szCs w:val="24"/>
        </w:rPr>
        <w:t xml:space="preserve">(от БМК с. </w:t>
      </w:r>
      <w:proofErr w:type="spellStart"/>
      <w:r w:rsidR="00F13133" w:rsidRPr="00505AFE">
        <w:rPr>
          <w:bCs/>
          <w:szCs w:val="24"/>
        </w:rPr>
        <w:t>Михалево</w:t>
      </w:r>
      <w:proofErr w:type="spellEnd"/>
      <w:r w:rsidR="00F13133" w:rsidRPr="00505AFE">
        <w:rPr>
          <w:bCs/>
          <w:szCs w:val="24"/>
        </w:rPr>
        <w:t xml:space="preserve"> Ивановского района) </w:t>
      </w:r>
      <w:r w:rsidR="00365155" w:rsidRPr="00505AFE">
        <w:rPr>
          <w:b/>
          <w:szCs w:val="24"/>
        </w:rPr>
        <w:t>на 2024-2026 годы</w:t>
      </w:r>
      <w:r w:rsidR="008F469F" w:rsidRPr="00505AFE">
        <w:rPr>
          <w:b/>
          <w:szCs w:val="24"/>
        </w:rPr>
        <w:t xml:space="preserve"> (</w:t>
      </w:r>
      <w:r w:rsidR="00365155" w:rsidRPr="00505AFE">
        <w:rPr>
          <w:b/>
          <w:szCs w:val="24"/>
        </w:rPr>
        <w:t>Зуева Е.В.)</w:t>
      </w:r>
    </w:p>
    <w:p w14:paraId="2D8B4922" w14:textId="5E69F2F8" w:rsidR="00AB1C19" w:rsidRPr="00505AFE" w:rsidRDefault="00AB1C19" w:rsidP="008F469F">
      <w:pPr>
        <w:pStyle w:val="24"/>
        <w:widowControl/>
        <w:tabs>
          <w:tab w:val="left" w:pos="851"/>
          <w:tab w:val="left" w:pos="993"/>
          <w:tab w:val="left" w:pos="1560"/>
        </w:tabs>
        <w:ind w:firstLine="709"/>
        <w:rPr>
          <w:bCs/>
          <w:szCs w:val="24"/>
        </w:rPr>
      </w:pPr>
      <w:r w:rsidRPr="00505AFE">
        <w:rPr>
          <w:bCs/>
          <w:szCs w:val="24"/>
        </w:rPr>
        <w:t xml:space="preserve">В связи с обращением </w:t>
      </w:r>
      <w:r w:rsidR="00365155" w:rsidRPr="00505AFE">
        <w:rPr>
          <w:bCs/>
          <w:szCs w:val="24"/>
        </w:rPr>
        <w:t xml:space="preserve">ООО «ИнвестЭнерго» (Ивановский район, с </w:t>
      </w:r>
      <w:proofErr w:type="spellStart"/>
      <w:r w:rsidR="00365155" w:rsidRPr="00505AFE">
        <w:rPr>
          <w:bCs/>
          <w:szCs w:val="24"/>
        </w:rPr>
        <w:t>Михалево</w:t>
      </w:r>
      <w:proofErr w:type="spellEnd"/>
      <w:r w:rsidR="00365155" w:rsidRPr="00505AFE">
        <w:rPr>
          <w:bCs/>
          <w:szCs w:val="24"/>
        </w:rPr>
        <w:t>)</w:t>
      </w:r>
      <w:r w:rsidR="007140DA" w:rsidRPr="00505AFE">
        <w:rPr>
          <w:bCs/>
          <w:szCs w:val="24"/>
        </w:rPr>
        <w:t xml:space="preserve"> </w:t>
      </w:r>
      <w:r w:rsidRPr="00505AFE">
        <w:rPr>
          <w:bCs/>
          <w:szCs w:val="24"/>
        </w:rPr>
        <w:t xml:space="preserve">приказом Департамента энергетики и тарифов Ивановской области </w:t>
      </w:r>
      <w:r w:rsidR="00D90DAA" w:rsidRPr="00505AFE">
        <w:rPr>
          <w:bCs/>
          <w:szCs w:val="24"/>
        </w:rPr>
        <w:t xml:space="preserve">от </w:t>
      </w:r>
      <w:r w:rsidR="00365155" w:rsidRPr="00505AFE">
        <w:rPr>
          <w:bCs/>
          <w:szCs w:val="24"/>
        </w:rPr>
        <w:t>06.05.2024 № 20-у</w:t>
      </w:r>
      <w:r w:rsidR="00B878D1" w:rsidRPr="00505AFE">
        <w:rPr>
          <w:bCs/>
          <w:szCs w:val="24"/>
        </w:rPr>
        <w:t xml:space="preserve"> </w:t>
      </w:r>
      <w:r w:rsidRPr="00505AFE">
        <w:rPr>
          <w:bCs/>
          <w:szCs w:val="24"/>
        </w:rPr>
        <w:t>открыт</w:t>
      </w:r>
      <w:r w:rsidR="007140DA" w:rsidRPr="00505AFE">
        <w:rPr>
          <w:bCs/>
          <w:szCs w:val="24"/>
        </w:rPr>
        <w:t>о</w:t>
      </w:r>
      <w:r w:rsidRPr="00505AFE">
        <w:rPr>
          <w:bCs/>
          <w:szCs w:val="24"/>
        </w:rPr>
        <w:t xml:space="preserve"> тарифн</w:t>
      </w:r>
      <w:r w:rsidR="007140DA" w:rsidRPr="00505AFE">
        <w:rPr>
          <w:bCs/>
          <w:szCs w:val="24"/>
        </w:rPr>
        <w:t>о</w:t>
      </w:r>
      <w:r w:rsidRPr="00505AFE">
        <w:rPr>
          <w:bCs/>
          <w:szCs w:val="24"/>
        </w:rPr>
        <w:t>е дел</w:t>
      </w:r>
      <w:r w:rsidR="007140DA" w:rsidRPr="00505AFE">
        <w:rPr>
          <w:bCs/>
          <w:szCs w:val="24"/>
        </w:rPr>
        <w:t xml:space="preserve">о об установлении </w:t>
      </w:r>
      <w:r w:rsidR="00365155" w:rsidRPr="00505AFE">
        <w:rPr>
          <w:bCs/>
          <w:szCs w:val="24"/>
        </w:rPr>
        <w:t xml:space="preserve">долгосрочных </w:t>
      </w:r>
      <w:r w:rsidR="007140DA" w:rsidRPr="00505AFE">
        <w:rPr>
          <w:bCs/>
          <w:szCs w:val="24"/>
        </w:rPr>
        <w:t>тарифов на тепловую энергию (</w:t>
      </w:r>
      <w:r w:rsidR="00365155" w:rsidRPr="00505AFE">
        <w:rPr>
          <w:bCs/>
          <w:szCs w:val="24"/>
        </w:rPr>
        <w:t>от блочно-модульной котельной</w:t>
      </w:r>
      <w:r w:rsidR="007140DA" w:rsidRPr="00505AFE">
        <w:rPr>
          <w:bCs/>
          <w:szCs w:val="24"/>
        </w:rPr>
        <w:t xml:space="preserve"> с. </w:t>
      </w:r>
      <w:proofErr w:type="spellStart"/>
      <w:r w:rsidR="00365155" w:rsidRPr="00505AFE">
        <w:rPr>
          <w:bCs/>
          <w:szCs w:val="24"/>
        </w:rPr>
        <w:t>Михалево</w:t>
      </w:r>
      <w:proofErr w:type="spellEnd"/>
      <w:r w:rsidR="007140DA" w:rsidRPr="00505AFE">
        <w:rPr>
          <w:bCs/>
          <w:szCs w:val="24"/>
        </w:rPr>
        <w:t xml:space="preserve"> </w:t>
      </w:r>
      <w:r w:rsidR="00365155" w:rsidRPr="00505AFE">
        <w:rPr>
          <w:bCs/>
          <w:szCs w:val="24"/>
        </w:rPr>
        <w:t>Ивановск</w:t>
      </w:r>
      <w:r w:rsidR="00D90DAA" w:rsidRPr="00505AFE">
        <w:rPr>
          <w:bCs/>
          <w:szCs w:val="24"/>
        </w:rPr>
        <w:t>ого</w:t>
      </w:r>
      <w:r w:rsidR="007140DA" w:rsidRPr="00505AFE">
        <w:rPr>
          <w:bCs/>
          <w:szCs w:val="24"/>
        </w:rPr>
        <w:t xml:space="preserve"> </w:t>
      </w:r>
      <w:proofErr w:type="spellStart"/>
      <w:r w:rsidR="007140DA" w:rsidRPr="00505AFE">
        <w:rPr>
          <w:bCs/>
          <w:szCs w:val="24"/>
        </w:rPr>
        <w:t>м.р</w:t>
      </w:r>
      <w:proofErr w:type="spellEnd"/>
      <w:r w:rsidR="007140DA" w:rsidRPr="00505AFE">
        <w:rPr>
          <w:bCs/>
          <w:szCs w:val="24"/>
        </w:rPr>
        <w:t>.) на 2024</w:t>
      </w:r>
      <w:r w:rsidR="00365155" w:rsidRPr="00505AFE">
        <w:rPr>
          <w:bCs/>
          <w:szCs w:val="24"/>
        </w:rPr>
        <w:t>-2026</w:t>
      </w:r>
      <w:r w:rsidR="007140DA" w:rsidRPr="00505AFE">
        <w:rPr>
          <w:bCs/>
          <w:szCs w:val="24"/>
        </w:rPr>
        <w:t xml:space="preserve"> год</w:t>
      </w:r>
      <w:r w:rsidR="00365155" w:rsidRPr="00505AFE">
        <w:rPr>
          <w:bCs/>
          <w:szCs w:val="24"/>
        </w:rPr>
        <w:t>ы</w:t>
      </w:r>
      <w:r w:rsidR="007140DA" w:rsidRPr="00505AFE">
        <w:rPr>
          <w:bCs/>
          <w:szCs w:val="24"/>
        </w:rPr>
        <w:t xml:space="preserve">. Методом регулирования тарифов указанным приказом определен метод </w:t>
      </w:r>
      <w:r w:rsidR="00365155" w:rsidRPr="00505AFE">
        <w:rPr>
          <w:bCs/>
          <w:szCs w:val="24"/>
        </w:rPr>
        <w:t>индексации установленных тарифов</w:t>
      </w:r>
      <w:r w:rsidR="00D90DAA" w:rsidRPr="00505AFE">
        <w:rPr>
          <w:bCs/>
          <w:szCs w:val="24"/>
        </w:rPr>
        <w:t>, долгосрочный период регулирования -</w:t>
      </w:r>
      <w:r w:rsidR="00365155" w:rsidRPr="00505AFE">
        <w:rPr>
          <w:bCs/>
          <w:szCs w:val="24"/>
        </w:rPr>
        <w:t xml:space="preserve"> 2024-2028 годы. В соответствии с пунктом 30 Правил регулирования цен (тарифов) в сфере теплоснабжения, утвержденных постановлением Правительства РФ от 22.10.2012 №1075 «О ценообразовании в сфере теплоснабжения», приказом Департамента энергетики и тарифов Ивановской области от 24.05.2024 № 44-п срок рассмотрения тарифной заявки продлен на 30 календарных дней.</w:t>
      </w:r>
    </w:p>
    <w:p w14:paraId="1695D815" w14:textId="5AD1CACE" w:rsidR="00AC02C9" w:rsidRPr="00505AFE" w:rsidRDefault="00F1693F" w:rsidP="004A5646">
      <w:pPr>
        <w:pStyle w:val="24"/>
        <w:widowControl/>
        <w:ind w:firstLine="709"/>
        <w:rPr>
          <w:bCs/>
          <w:szCs w:val="24"/>
        </w:rPr>
      </w:pPr>
      <w:r w:rsidRPr="00505AFE">
        <w:rPr>
          <w:bCs/>
          <w:szCs w:val="24"/>
        </w:rPr>
        <w:t xml:space="preserve">ООО «ИнвестЭнерго» </w:t>
      </w:r>
      <w:r w:rsidR="002A04A6" w:rsidRPr="00505AFE">
        <w:rPr>
          <w:bCs/>
          <w:szCs w:val="24"/>
        </w:rPr>
        <w:t xml:space="preserve">эксплуатирует </w:t>
      </w:r>
      <w:r w:rsidR="00437631" w:rsidRPr="00505AFE">
        <w:rPr>
          <w:bCs/>
          <w:szCs w:val="24"/>
        </w:rPr>
        <w:t>объекты теплоснабжения</w:t>
      </w:r>
      <w:r w:rsidR="00D90DAA" w:rsidRPr="00505AFE">
        <w:rPr>
          <w:bCs/>
          <w:szCs w:val="24"/>
        </w:rPr>
        <w:t xml:space="preserve"> в с. </w:t>
      </w:r>
      <w:proofErr w:type="spellStart"/>
      <w:r w:rsidR="00D90DAA" w:rsidRPr="00505AFE">
        <w:rPr>
          <w:bCs/>
          <w:szCs w:val="24"/>
        </w:rPr>
        <w:t>Михалево</w:t>
      </w:r>
      <w:proofErr w:type="spellEnd"/>
      <w:r w:rsidR="00D90DAA" w:rsidRPr="00505AFE">
        <w:rPr>
          <w:bCs/>
          <w:szCs w:val="24"/>
        </w:rPr>
        <w:t xml:space="preserve"> </w:t>
      </w:r>
      <w:r w:rsidRPr="00505AFE">
        <w:rPr>
          <w:bCs/>
          <w:szCs w:val="24"/>
        </w:rPr>
        <w:t xml:space="preserve">на основании концессионного соглашения от 01.04.2022 №8-с </w:t>
      </w:r>
      <w:r w:rsidR="00EC1452" w:rsidRPr="00505AFE">
        <w:rPr>
          <w:bCs/>
          <w:szCs w:val="24"/>
        </w:rPr>
        <w:t>(</w:t>
      </w:r>
      <w:r w:rsidR="00D90DAA" w:rsidRPr="00505AFE">
        <w:rPr>
          <w:bCs/>
          <w:szCs w:val="24"/>
        </w:rPr>
        <w:t xml:space="preserve">с изменениями </w:t>
      </w:r>
      <w:r w:rsidRPr="00505AFE">
        <w:rPr>
          <w:bCs/>
          <w:szCs w:val="24"/>
        </w:rPr>
        <w:t>от 24.04.2024 года)</w:t>
      </w:r>
      <w:r w:rsidR="00AC02C9" w:rsidRPr="00505AFE">
        <w:rPr>
          <w:bCs/>
          <w:szCs w:val="24"/>
        </w:rPr>
        <w:t>.</w:t>
      </w:r>
    </w:p>
    <w:p w14:paraId="53E8B419" w14:textId="19ECBCFB" w:rsidR="007140DA" w:rsidRDefault="00F1693F" w:rsidP="004A5646">
      <w:pPr>
        <w:pStyle w:val="24"/>
        <w:widowControl/>
        <w:ind w:firstLine="709"/>
        <w:rPr>
          <w:bCs/>
          <w:szCs w:val="24"/>
        </w:rPr>
      </w:pPr>
      <w:r>
        <w:rPr>
          <w:bCs/>
          <w:szCs w:val="24"/>
        </w:rPr>
        <w:t xml:space="preserve"> </w:t>
      </w:r>
      <w:r w:rsidR="00AC02C9" w:rsidRPr="00AC02C9">
        <w:rPr>
          <w:bCs/>
          <w:szCs w:val="24"/>
        </w:rPr>
        <w:t>В соответствии с пунктом 51 Основ ценообразования в сфере теплоснабжения (далее - Основы ценообразования) утвержденных Постановлением П</w:t>
      </w:r>
      <w:r w:rsidR="00D90DAA">
        <w:rPr>
          <w:bCs/>
          <w:szCs w:val="24"/>
        </w:rPr>
        <w:t>равительства РФ от 22.10.2012 № </w:t>
      </w:r>
      <w:r w:rsidR="00AC02C9" w:rsidRPr="00AC02C9">
        <w:rPr>
          <w:bCs/>
          <w:szCs w:val="24"/>
        </w:rPr>
        <w:t>1075,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долгосрочные тарифы устанавливаются на основе значений долгосрочных параметров регулирования деятельности концессионера, предусмотренных концессионным соглашением, в случае заключения концессионного соглашения с лицом, выступившим с инициативой заключения концессионного соглашения.</w:t>
      </w:r>
    </w:p>
    <w:p w14:paraId="34C259D5" w14:textId="400C6AF3" w:rsidR="00AB1C19" w:rsidRPr="00AB1C19" w:rsidRDefault="00AB1C19" w:rsidP="004A5646">
      <w:pPr>
        <w:pStyle w:val="24"/>
        <w:widowControl/>
        <w:ind w:firstLine="709"/>
        <w:rPr>
          <w:bCs/>
          <w:szCs w:val="24"/>
        </w:rPr>
      </w:pPr>
      <w:r w:rsidRPr="00AB1C19">
        <w:rPr>
          <w:bCs/>
          <w:szCs w:val="24"/>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00EB19CC" w:rsidRPr="00EB19CC">
        <w:rPr>
          <w:bCs/>
          <w:szCs w:val="24"/>
        </w:rPr>
        <w:t>Сценарны</w:t>
      </w:r>
      <w:r w:rsidR="001340A9">
        <w:rPr>
          <w:bCs/>
          <w:szCs w:val="24"/>
        </w:rPr>
        <w:t>ми</w:t>
      </w:r>
      <w:r w:rsidR="00EB19CC" w:rsidRPr="00EB19CC">
        <w:rPr>
          <w:bCs/>
          <w:szCs w:val="24"/>
        </w:rPr>
        <w:t xml:space="preserve"> условия</w:t>
      </w:r>
      <w:r w:rsidR="00EB19CC">
        <w:rPr>
          <w:bCs/>
          <w:szCs w:val="24"/>
        </w:rPr>
        <w:t>ми</w:t>
      </w:r>
      <w:r w:rsidR="00EB19CC" w:rsidRPr="00EB19CC">
        <w:rPr>
          <w:bCs/>
          <w:szCs w:val="24"/>
        </w:rPr>
        <w:t xml:space="preserve"> функционирования экономики Российской Федерации, основны</w:t>
      </w:r>
      <w:r w:rsidR="00EB19CC">
        <w:rPr>
          <w:bCs/>
          <w:szCs w:val="24"/>
        </w:rPr>
        <w:t>ми</w:t>
      </w:r>
      <w:r w:rsidR="00EB19CC" w:rsidRPr="00EB19CC">
        <w:rPr>
          <w:bCs/>
          <w:szCs w:val="24"/>
        </w:rPr>
        <w:t xml:space="preserve"> параметр</w:t>
      </w:r>
      <w:r w:rsidR="00EB19CC">
        <w:rPr>
          <w:bCs/>
          <w:szCs w:val="24"/>
        </w:rPr>
        <w:t>ами</w:t>
      </w:r>
      <w:r w:rsidR="00EB19CC" w:rsidRPr="00EB19CC">
        <w:rPr>
          <w:bCs/>
          <w:szCs w:val="24"/>
        </w:rPr>
        <w:t xml:space="preserve"> прогноза социально-экономического развития </w:t>
      </w:r>
      <w:r w:rsidR="00EB19CC" w:rsidRPr="00EB19CC">
        <w:rPr>
          <w:bCs/>
          <w:szCs w:val="24"/>
        </w:rPr>
        <w:lastRenderedPageBreak/>
        <w:t xml:space="preserve">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2025 год и на плановый период 2026 и 2027 годов </w:t>
      </w:r>
      <w:r w:rsidR="001A3665" w:rsidRPr="001A3665">
        <w:rPr>
          <w:bCs/>
          <w:szCs w:val="24"/>
        </w:rPr>
        <w:t>(пункт 28 Основ ценообразования в сфере теплоснабжения, утвержденных Постановлением Правительства РФ от 22.10.2012 №1075).</w:t>
      </w:r>
      <w:r w:rsidR="001A3665">
        <w:rPr>
          <w:bCs/>
          <w:szCs w:val="24"/>
        </w:rPr>
        <w:t xml:space="preserve"> </w:t>
      </w:r>
    </w:p>
    <w:p w14:paraId="6AD8D692" w14:textId="00D8C0DD" w:rsidR="00AB1C19" w:rsidRPr="00505AFE" w:rsidRDefault="00AB1C19" w:rsidP="004A5646">
      <w:pPr>
        <w:pStyle w:val="24"/>
        <w:widowControl/>
        <w:ind w:firstLine="709"/>
        <w:rPr>
          <w:bCs/>
          <w:szCs w:val="24"/>
        </w:rPr>
      </w:pPr>
      <w:r w:rsidRPr="00505AFE">
        <w:rPr>
          <w:bCs/>
          <w:szCs w:val="24"/>
        </w:rPr>
        <w:t xml:space="preserve">Экспертной группой Департамента проведена экспертиза расчетов </w:t>
      </w:r>
      <w:r w:rsidR="003E169B" w:rsidRPr="00505AFE">
        <w:rPr>
          <w:bCs/>
          <w:szCs w:val="24"/>
        </w:rPr>
        <w:t xml:space="preserve">указанных </w:t>
      </w:r>
      <w:r w:rsidRPr="00505AFE">
        <w:rPr>
          <w:bCs/>
          <w:szCs w:val="24"/>
        </w:rPr>
        <w:t>тарифов</w:t>
      </w:r>
      <w:r w:rsidR="0031732D" w:rsidRPr="00505AFE">
        <w:rPr>
          <w:bCs/>
          <w:szCs w:val="24"/>
        </w:rPr>
        <w:t xml:space="preserve"> на </w:t>
      </w:r>
      <w:r w:rsidR="004600CA" w:rsidRPr="00505AFE">
        <w:rPr>
          <w:bCs/>
          <w:szCs w:val="24"/>
        </w:rPr>
        <w:t>тепловую энергию</w:t>
      </w:r>
      <w:r w:rsidRPr="00505AFE">
        <w:rPr>
          <w:bCs/>
          <w:szCs w:val="24"/>
        </w:rPr>
        <w:t xml:space="preserve">. По результатам экспертизы материалов тарифного дела подготовлено экспертное заключение. </w:t>
      </w:r>
    </w:p>
    <w:p w14:paraId="740F557C" w14:textId="77777777" w:rsidR="004E3152" w:rsidRPr="00505AFE" w:rsidRDefault="004E3152" w:rsidP="004E3152">
      <w:pPr>
        <w:pStyle w:val="24"/>
        <w:widowControl/>
        <w:ind w:firstLine="709"/>
        <w:rPr>
          <w:bCs/>
          <w:szCs w:val="24"/>
        </w:rPr>
      </w:pPr>
      <w:r w:rsidRPr="00505AFE">
        <w:rPr>
          <w:bCs/>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0EE7FEB" w14:textId="1E58A03D" w:rsidR="004E3152" w:rsidRPr="00505AFE" w:rsidRDefault="004E3152" w:rsidP="00EC1452">
      <w:pPr>
        <w:pStyle w:val="24"/>
        <w:widowControl/>
        <w:ind w:firstLine="709"/>
        <w:rPr>
          <w:bCs/>
          <w:szCs w:val="24"/>
        </w:rPr>
      </w:pPr>
      <w:r w:rsidRPr="00505AFE">
        <w:rPr>
          <w:bCs/>
          <w:szCs w:val="24"/>
        </w:rPr>
        <w:t xml:space="preserve">Льготный тариф на тепловую энергию для населения </w:t>
      </w:r>
      <w:r w:rsidR="00EC1452" w:rsidRPr="00505AFE">
        <w:rPr>
          <w:bCs/>
          <w:szCs w:val="24"/>
        </w:rPr>
        <w:t xml:space="preserve">на первое полугодие 2024 года </w:t>
      </w:r>
      <w:r w:rsidRPr="00505AFE">
        <w:rPr>
          <w:bCs/>
          <w:szCs w:val="24"/>
        </w:rPr>
        <w:t>определен на уровне</w:t>
      </w:r>
      <w:r w:rsidR="00EC1452" w:rsidRPr="00505AFE">
        <w:rPr>
          <w:bCs/>
          <w:szCs w:val="24"/>
        </w:rPr>
        <w:t xml:space="preserve"> льготного тарифа на тепловую энергию, утвержденного постановлением Департамента от 22.11.2022 № 52-т/2 (в редакции Постановления Департамента от 06.12.2022 № 58-т/1)</w:t>
      </w:r>
      <w:r w:rsidR="00D90DAA" w:rsidRPr="00505AFE">
        <w:rPr>
          <w:bCs/>
          <w:szCs w:val="24"/>
        </w:rPr>
        <w:t xml:space="preserve"> и действующего на 31 декабря 2023 г.</w:t>
      </w:r>
    </w:p>
    <w:p w14:paraId="62364419" w14:textId="24E237B0" w:rsidR="00EC1452" w:rsidRPr="00505AFE" w:rsidRDefault="00AC02C9" w:rsidP="004E3152">
      <w:pPr>
        <w:pStyle w:val="24"/>
        <w:widowControl/>
        <w:ind w:firstLine="709"/>
        <w:rPr>
          <w:bCs/>
          <w:szCs w:val="24"/>
        </w:rPr>
      </w:pPr>
      <w:r w:rsidRPr="00505AFE">
        <w:rPr>
          <w:bCs/>
          <w:szCs w:val="24"/>
        </w:rPr>
        <w:t xml:space="preserve">Льготный тариф на тепловую энергию для населения на второе полугодие 2024 года определен с увеличением 01.07.2024 г. на 8,4% к тарифу </w:t>
      </w:r>
      <w:r w:rsidR="00D90DAA" w:rsidRPr="00505AFE">
        <w:rPr>
          <w:bCs/>
          <w:szCs w:val="24"/>
        </w:rPr>
        <w:t>декабря 2023 г.</w:t>
      </w:r>
      <w:r w:rsidRPr="00505AFE">
        <w:rPr>
          <w:bCs/>
          <w:szCs w:val="24"/>
        </w:rPr>
        <w:t>, что не превышает предельные (максимальные) индексы изменения размера вносимой гражданами платы за коммунальные услуги для муниципальных образований Ивановской области на второе полугодие 2024 года, определенные Указом Губернатора Ивановской области от 14.12.2023 №130-уг в размере 13,7%.</w:t>
      </w:r>
    </w:p>
    <w:p w14:paraId="4BE6DC5D" w14:textId="157F1CE1" w:rsidR="00F94CF8" w:rsidRPr="00505AFE" w:rsidRDefault="00AC02C9" w:rsidP="00F94CF8">
      <w:pPr>
        <w:pStyle w:val="24"/>
        <w:widowControl/>
        <w:ind w:firstLine="709"/>
        <w:rPr>
          <w:bCs/>
          <w:szCs w:val="24"/>
        </w:rPr>
      </w:pPr>
      <w:r w:rsidRPr="00505AFE">
        <w:rPr>
          <w:bCs/>
          <w:szCs w:val="24"/>
        </w:rPr>
        <w:t xml:space="preserve">Организация ознакомлена с уровнями тарифов к утверждению. Письмом от </w:t>
      </w:r>
      <w:r w:rsidR="009C64AD" w:rsidRPr="00505AFE">
        <w:rPr>
          <w:bCs/>
          <w:szCs w:val="24"/>
        </w:rPr>
        <w:t>20.06.2024 № </w:t>
      </w:r>
      <w:r w:rsidR="0007683D" w:rsidRPr="00505AFE">
        <w:rPr>
          <w:bCs/>
          <w:szCs w:val="24"/>
        </w:rPr>
        <w:t>75-06</w:t>
      </w:r>
      <w:r w:rsidRPr="00505AFE">
        <w:rPr>
          <w:bCs/>
          <w:szCs w:val="24"/>
        </w:rPr>
        <w:t xml:space="preserve"> </w:t>
      </w:r>
      <w:r w:rsidR="0007683D" w:rsidRPr="00505AFE">
        <w:rPr>
          <w:bCs/>
          <w:szCs w:val="24"/>
        </w:rPr>
        <w:t>ООО «ИнвестЭнерго»</w:t>
      </w:r>
      <w:r w:rsidRPr="00505AFE">
        <w:rPr>
          <w:bCs/>
          <w:szCs w:val="24"/>
        </w:rPr>
        <w:t xml:space="preserve"> </w:t>
      </w:r>
      <w:r w:rsidR="0007683D" w:rsidRPr="00505AFE">
        <w:rPr>
          <w:bCs/>
          <w:szCs w:val="24"/>
        </w:rPr>
        <w:t xml:space="preserve">направлено письменное согласие с предлагаемыми к утверждению уровнями тарифов и </w:t>
      </w:r>
      <w:r w:rsidRPr="00505AFE">
        <w:rPr>
          <w:bCs/>
          <w:szCs w:val="24"/>
        </w:rPr>
        <w:t xml:space="preserve">предложило утвердить тарифы без присутствия представителей </w:t>
      </w:r>
      <w:r w:rsidR="009C64AD" w:rsidRPr="00505AFE">
        <w:rPr>
          <w:bCs/>
          <w:szCs w:val="24"/>
        </w:rPr>
        <w:t>организации</w:t>
      </w:r>
      <w:r w:rsidRPr="00505AFE">
        <w:rPr>
          <w:bCs/>
          <w:szCs w:val="24"/>
        </w:rPr>
        <w:t>.</w:t>
      </w:r>
    </w:p>
    <w:p w14:paraId="1BAC9235" w14:textId="15F0526F" w:rsidR="00AB1C19" w:rsidRPr="00505AFE" w:rsidRDefault="00AB1C19" w:rsidP="004A5646">
      <w:pPr>
        <w:pStyle w:val="24"/>
        <w:widowControl/>
        <w:ind w:firstLine="709"/>
        <w:rPr>
          <w:bCs/>
          <w:szCs w:val="24"/>
        </w:rPr>
      </w:pPr>
      <w:r w:rsidRPr="00505AFE">
        <w:rPr>
          <w:bCs/>
          <w:szCs w:val="24"/>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w:t>
      </w:r>
      <w:r w:rsidR="0031732D" w:rsidRPr="00505AFE">
        <w:rPr>
          <w:bCs/>
          <w:szCs w:val="24"/>
        </w:rPr>
        <w:t>т</w:t>
      </w:r>
      <w:r w:rsidR="003E169B" w:rsidRPr="00505AFE">
        <w:rPr>
          <w:bCs/>
          <w:szCs w:val="24"/>
        </w:rPr>
        <w:t>епловую энергию</w:t>
      </w:r>
      <w:r w:rsidR="009C64AD" w:rsidRPr="00505AFE">
        <w:rPr>
          <w:bCs/>
          <w:szCs w:val="24"/>
        </w:rPr>
        <w:t>,</w:t>
      </w:r>
      <w:r w:rsidR="003E169B" w:rsidRPr="00505AFE">
        <w:rPr>
          <w:bCs/>
          <w:szCs w:val="24"/>
        </w:rPr>
        <w:t xml:space="preserve"> </w:t>
      </w:r>
      <w:r w:rsidRPr="00505AFE">
        <w:rPr>
          <w:bCs/>
          <w:szCs w:val="24"/>
        </w:rPr>
        <w:t>приведены в приложени</w:t>
      </w:r>
      <w:r w:rsidR="004600CA" w:rsidRPr="00505AFE">
        <w:rPr>
          <w:bCs/>
          <w:szCs w:val="24"/>
        </w:rPr>
        <w:t>и</w:t>
      </w:r>
      <w:r w:rsidRPr="00505AFE">
        <w:rPr>
          <w:bCs/>
          <w:szCs w:val="24"/>
        </w:rPr>
        <w:t xml:space="preserve"> </w:t>
      </w:r>
      <w:r w:rsidR="00171C98" w:rsidRPr="00505AFE">
        <w:rPr>
          <w:bCs/>
          <w:szCs w:val="24"/>
        </w:rPr>
        <w:t>1</w:t>
      </w:r>
      <w:r w:rsidRPr="00505AFE">
        <w:rPr>
          <w:bCs/>
          <w:szCs w:val="24"/>
        </w:rPr>
        <w:t>/</w:t>
      </w:r>
      <w:r w:rsidR="004600CA" w:rsidRPr="00505AFE">
        <w:rPr>
          <w:bCs/>
          <w:szCs w:val="24"/>
        </w:rPr>
        <w:t>1</w:t>
      </w:r>
      <w:r w:rsidRPr="00505AFE">
        <w:rPr>
          <w:bCs/>
          <w:szCs w:val="24"/>
        </w:rPr>
        <w:t>.</w:t>
      </w:r>
    </w:p>
    <w:p w14:paraId="4671B5C6" w14:textId="77777777" w:rsidR="00171C98" w:rsidRPr="00505AFE" w:rsidRDefault="00171C98" w:rsidP="004A5646">
      <w:pPr>
        <w:pStyle w:val="24"/>
        <w:widowControl/>
        <w:tabs>
          <w:tab w:val="left" w:pos="851"/>
          <w:tab w:val="left" w:pos="1276"/>
          <w:tab w:val="left" w:pos="1560"/>
        </w:tabs>
        <w:rPr>
          <w:bCs/>
          <w:szCs w:val="24"/>
        </w:rPr>
      </w:pPr>
    </w:p>
    <w:p w14:paraId="13574174" w14:textId="77777777" w:rsidR="00171C98" w:rsidRPr="00505AFE" w:rsidRDefault="00171C98" w:rsidP="004A5646">
      <w:pPr>
        <w:pStyle w:val="24"/>
        <w:widowControl/>
        <w:tabs>
          <w:tab w:val="left" w:pos="851"/>
          <w:tab w:val="left" w:pos="1276"/>
          <w:tab w:val="left" w:pos="1560"/>
        </w:tabs>
        <w:rPr>
          <w:b/>
          <w:szCs w:val="24"/>
        </w:rPr>
      </w:pPr>
      <w:r w:rsidRPr="00505AFE">
        <w:rPr>
          <w:b/>
          <w:szCs w:val="24"/>
        </w:rPr>
        <w:t>РЕШИЛИ:</w:t>
      </w:r>
    </w:p>
    <w:p w14:paraId="5CC455FD" w14:textId="7A66F4FF" w:rsidR="001733C9" w:rsidRPr="00296951" w:rsidRDefault="001733C9" w:rsidP="001733C9">
      <w:pPr>
        <w:widowControl/>
        <w:autoSpaceDE w:val="0"/>
        <w:autoSpaceDN w:val="0"/>
        <w:adjustRightInd w:val="0"/>
        <w:ind w:firstLine="900"/>
        <w:jc w:val="both"/>
        <w:rPr>
          <w:strike/>
          <w:color w:val="C00000"/>
          <w:sz w:val="24"/>
          <w:szCs w:val="24"/>
        </w:rPr>
      </w:pPr>
      <w:bookmarkStart w:id="0" w:name="_Hlk119841402"/>
      <w:bookmarkStart w:id="1" w:name="_Hlk119841415"/>
      <w:r w:rsidRPr="001733C9">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00296951">
        <w:rPr>
          <w:sz w:val="24"/>
          <w:szCs w:val="24"/>
        </w:rPr>
        <w:t>:</w:t>
      </w:r>
    </w:p>
    <w:p w14:paraId="7323A1C0" w14:textId="77777777" w:rsidR="001733C9" w:rsidRPr="001733C9" w:rsidRDefault="001733C9" w:rsidP="00505AFE">
      <w:pPr>
        <w:widowControl/>
        <w:tabs>
          <w:tab w:val="left" w:pos="993"/>
        </w:tabs>
        <w:autoSpaceDE w:val="0"/>
        <w:autoSpaceDN w:val="0"/>
        <w:adjustRightInd w:val="0"/>
        <w:ind w:firstLine="709"/>
        <w:jc w:val="both"/>
        <w:rPr>
          <w:b/>
          <w:sz w:val="24"/>
          <w:szCs w:val="24"/>
        </w:rPr>
      </w:pPr>
    </w:p>
    <w:p w14:paraId="4E67411D" w14:textId="17BCB546" w:rsidR="00505AFE" w:rsidRDefault="00505AFE" w:rsidP="00505AFE">
      <w:pPr>
        <w:pStyle w:val="2"/>
        <w:numPr>
          <w:ilvl w:val="0"/>
          <w:numId w:val="15"/>
        </w:numPr>
        <w:tabs>
          <w:tab w:val="left" w:pos="993"/>
          <w:tab w:val="left" w:pos="1134"/>
        </w:tabs>
        <w:ind w:left="0" w:firstLine="709"/>
        <w:rPr>
          <w:b w:val="0"/>
          <w:sz w:val="24"/>
          <w:szCs w:val="24"/>
        </w:rPr>
      </w:pPr>
      <w:r w:rsidRPr="00505AFE">
        <w:rPr>
          <w:b w:val="0"/>
          <w:sz w:val="24"/>
          <w:szCs w:val="24"/>
        </w:rPr>
        <w:t xml:space="preserve">Установить долгосрочные тарифы на тепловую энергию для потребителей </w:t>
      </w:r>
      <w:r w:rsidRPr="00505AFE">
        <w:rPr>
          <w:b w:val="0"/>
          <w:bCs/>
          <w:sz w:val="24"/>
          <w:szCs w:val="24"/>
        </w:rPr>
        <w:t xml:space="preserve">ООО «ИнвестЭнерго» (от БМК с. </w:t>
      </w:r>
      <w:proofErr w:type="spellStart"/>
      <w:r w:rsidRPr="00505AFE">
        <w:rPr>
          <w:b w:val="0"/>
          <w:bCs/>
          <w:sz w:val="24"/>
          <w:szCs w:val="24"/>
        </w:rPr>
        <w:t>Михалево</w:t>
      </w:r>
      <w:proofErr w:type="spellEnd"/>
      <w:r w:rsidRPr="00505AFE">
        <w:rPr>
          <w:b w:val="0"/>
          <w:bCs/>
          <w:sz w:val="24"/>
          <w:szCs w:val="24"/>
        </w:rPr>
        <w:t xml:space="preserve"> Ивановского района) на </w:t>
      </w:r>
      <w:r w:rsidRPr="00505AFE">
        <w:rPr>
          <w:b w:val="0"/>
          <w:sz w:val="24"/>
          <w:szCs w:val="24"/>
        </w:rPr>
        <w:t>2024-2026 годы.</w:t>
      </w:r>
    </w:p>
    <w:p w14:paraId="65A94A61" w14:textId="77777777" w:rsidR="00505AFE" w:rsidRDefault="00505AFE" w:rsidP="00505AFE"/>
    <w:p w14:paraId="0015356C" w14:textId="77777777" w:rsidR="00505AFE" w:rsidRPr="003C0ED1" w:rsidRDefault="00505AFE" w:rsidP="00505AFE">
      <w:pPr>
        <w:widowControl/>
        <w:autoSpaceDE w:val="0"/>
        <w:autoSpaceDN w:val="0"/>
        <w:adjustRightInd w:val="0"/>
        <w:jc w:val="center"/>
        <w:rPr>
          <w:b/>
          <w:bCs/>
          <w:sz w:val="22"/>
          <w:szCs w:val="22"/>
        </w:rPr>
      </w:pPr>
      <w:bookmarkStart w:id="2" w:name="_Hlk83393632"/>
      <w:r w:rsidRPr="003C0ED1">
        <w:rPr>
          <w:b/>
          <w:bCs/>
          <w:sz w:val="22"/>
          <w:szCs w:val="22"/>
        </w:rPr>
        <w:t>Тарифы на тепловую энергию (мощность), поставляемую потребителям</w:t>
      </w:r>
    </w:p>
    <w:p w14:paraId="48AF2296" w14:textId="77777777" w:rsidR="00505AFE" w:rsidRPr="003C0ED1" w:rsidRDefault="00505AFE" w:rsidP="00505AFE">
      <w:pPr>
        <w:widowControl/>
        <w:autoSpaceDE w:val="0"/>
        <w:autoSpaceDN w:val="0"/>
        <w:adjustRightInd w:val="0"/>
        <w:jc w:val="center"/>
        <w:rPr>
          <w:b/>
          <w:bCs/>
          <w:sz w:val="22"/>
          <w:szCs w:val="22"/>
        </w:rPr>
      </w:pPr>
    </w:p>
    <w:tbl>
      <w:tblPr>
        <w:tblW w:w="106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842"/>
        <w:gridCol w:w="1559"/>
        <w:gridCol w:w="715"/>
        <w:gridCol w:w="1270"/>
        <w:gridCol w:w="1243"/>
        <w:gridCol w:w="745"/>
        <w:gridCol w:w="672"/>
        <w:gridCol w:w="745"/>
        <w:gridCol w:w="559"/>
        <w:gridCol w:w="662"/>
      </w:tblGrid>
      <w:tr w:rsidR="00505AFE" w:rsidRPr="0002583D" w14:paraId="64C9354F" w14:textId="77777777" w:rsidTr="00FD2C02">
        <w:trPr>
          <w:trHeight w:val="98"/>
        </w:trPr>
        <w:tc>
          <w:tcPr>
            <w:tcW w:w="601" w:type="dxa"/>
            <w:vMerge w:val="restart"/>
            <w:shd w:val="clear" w:color="auto" w:fill="auto"/>
            <w:vAlign w:val="center"/>
          </w:tcPr>
          <w:p w14:paraId="01CEB0BC" w14:textId="77777777" w:rsidR="00505AFE" w:rsidRPr="0002583D" w:rsidRDefault="00505AFE" w:rsidP="00FD2C02">
            <w:pPr>
              <w:widowControl/>
              <w:jc w:val="center"/>
              <w:rPr>
                <w:sz w:val="22"/>
                <w:szCs w:val="22"/>
              </w:rPr>
            </w:pPr>
            <w:r w:rsidRPr="0002583D">
              <w:rPr>
                <w:sz w:val="22"/>
                <w:szCs w:val="22"/>
              </w:rPr>
              <w:t>№ п/п</w:t>
            </w:r>
          </w:p>
        </w:tc>
        <w:tc>
          <w:tcPr>
            <w:tcW w:w="1842" w:type="dxa"/>
            <w:vMerge w:val="restart"/>
            <w:shd w:val="clear" w:color="auto" w:fill="auto"/>
            <w:vAlign w:val="center"/>
          </w:tcPr>
          <w:p w14:paraId="715ECE0C" w14:textId="77777777" w:rsidR="00505AFE" w:rsidRPr="0002583D" w:rsidRDefault="00505AFE" w:rsidP="00FD2C02">
            <w:pPr>
              <w:widowControl/>
              <w:jc w:val="center"/>
              <w:rPr>
                <w:sz w:val="22"/>
                <w:szCs w:val="22"/>
              </w:rPr>
            </w:pPr>
            <w:r w:rsidRPr="0002583D">
              <w:rPr>
                <w:sz w:val="22"/>
                <w:szCs w:val="22"/>
              </w:rPr>
              <w:t>Наименование регулируемой организации</w:t>
            </w:r>
          </w:p>
        </w:tc>
        <w:tc>
          <w:tcPr>
            <w:tcW w:w="1559" w:type="dxa"/>
            <w:vMerge w:val="restart"/>
            <w:shd w:val="clear" w:color="auto" w:fill="auto"/>
            <w:noWrap/>
            <w:vAlign w:val="center"/>
          </w:tcPr>
          <w:p w14:paraId="5D139394" w14:textId="77777777" w:rsidR="00505AFE" w:rsidRPr="0002583D" w:rsidRDefault="00505AFE" w:rsidP="00FD2C02">
            <w:pPr>
              <w:widowControl/>
              <w:jc w:val="center"/>
              <w:rPr>
                <w:sz w:val="22"/>
                <w:szCs w:val="22"/>
              </w:rPr>
            </w:pPr>
            <w:r w:rsidRPr="0002583D">
              <w:rPr>
                <w:sz w:val="22"/>
                <w:szCs w:val="22"/>
              </w:rPr>
              <w:t>Вид тарифа</w:t>
            </w:r>
          </w:p>
        </w:tc>
        <w:tc>
          <w:tcPr>
            <w:tcW w:w="715" w:type="dxa"/>
            <w:vMerge w:val="restart"/>
            <w:shd w:val="clear" w:color="auto" w:fill="auto"/>
            <w:noWrap/>
            <w:vAlign w:val="center"/>
          </w:tcPr>
          <w:p w14:paraId="531170DA" w14:textId="77777777" w:rsidR="00505AFE" w:rsidRPr="0002583D" w:rsidRDefault="00505AFE" w:rsidP="00FD2C02">
            <w:pPr>
              <w:widowControl/>
              <w:jc w:val="center"/>
              <w:rPr>
                <w:sz w:val="22"/>
                <w:szCs w:val="22"/>
              </w:rPr>
            </w:pPr>
            <w:r w:rsidRPr="0002583D">
              <w:rPr>
                <w:sz w:val="22"/>
                <w:szCs w:val="22"/>
              </w:rPr>
              <w:t>Год</w:t>
            </w:r>
          </w:p>
        </w:tc>
        <w:tc>
          <w:tcPr>
            <w:tcW w:w="2513" w:type="dxa"/>
            <w:gridSpan w:val="2"/>
            <w:shd w:val="clear" w:color="auto" w:fill="auto"/>
            <w:noWrap/>
            <w:vAlign w:val="center"/>
          </w:tcPr>
          <w:p w14:paraId="5F233E19" w14:textId="77777777" w:rsidR="00505AFE" w:rsidRPr="0002583D" w:rsidRDefault="00505AFE" w:rsidP="00FD2C02">
            <w:pPr>
              <w:widowControl/>
              <w:jc w:val="center"/>
              <w:rPr>
                <w:sz w:val="22"/>
                <w:szCs w:val="22"/>
              </w:rPr>
            </w:pPr>
            <w:r w:rsidRPr="0002583D">
              <w:rPr>
                <w:sz w:val="22"/>
                <w:szCs w:val="22"/>
              </w:rPr>
              <w:t>Вода</w:t>
            </w:r>
          </w:p>
        </w:tc>
        <w:tc>
          <w:tcPr>
            <w:tcW w:w="2721" w:type="dxa"/>
            <w:gridSpan w:val="4"/>
            <w:shd w:val="clear" w:color="auto" w:fill="auto"/>
            <w:noWrap/>
            <w:vAlign w:val="center"/>
          </w:tcPr>
          <w:p w14:paraId="66123C4A" w14:textId="77777777" w:rsidR="00505AFE" w:rsidRPr="0002583D" w:rsidRDefault="00505AFE" w:rsidP="00FD2C02">
            <w:pPr>
              <w:widowControl/>
              <w:jc w:val="center"/>
              <w:rPr>
                <w:sz w:val="22"/>
                <w:szCs w:val="22"/>
              </w:rPr>
            </w:pPr>
            <w:r w:rsidRPr="0002583D">
              <w:rPr>
                <w:sz w:val="22"/>
                <w:szCs w:val="22"/>
              </w:rPr>
              <w:t>Отборный пар давлением</w:t>
            </w:r>
          </w:p>
        </w:tc>
        <w:tc>
          <w:tcPr>
            <w:tcW w:w="662" w:type="dxa"/>
            <w:vMerge w:val="restart"/>
            <w:shd w:val="clear" w:color="auto" w:fill="auto"/>
            <w:vAlign w:val="center"/>
          </w:tcPr>
          <w:p w14:paraId="649FE2B5" w14:textId="77777777" w:rsidR="00505AFE" w:rsidRPr="0002583D" w:rsidRDefault="00505AFE" w:rsidP="00FD2C02">
            <w:pPr>
              <w:widowControl/>
              <w:jc w:val="center"/>
              <w:rPr>
                <w:sz w:val="22"/>
                <w:szCs w:val="22"/>
              </w:rPr>
            </w:pPr>
            <w:r w:rsidRPr="0002583D">
              <w:rPr>
                <w:szCs w:val="22"/>
              </w:rPr>
              <w:t>Острый и редуцированный пар</w:t>
            </w:r>
          </w:p>
        </w:tc>
      </w:tr>
      <w:tr w:rsidR="00505AFE" w:rsidRPr="0002583D" w14:paraId="1E82CFDB" w14:textId="77777777" w:rsidTr="00FD2C02">
        <w:trPr>
          <w:trHeight w:val="1285"/>
        </w:trPr>
        <w:tc>
          <w:tcPr>
            <w:tcW w:w="601" w:type="dxa"/>
            <w:vMerge/>
            <w:tcBorders>
              <w:bottom w:val="single" w:sz="4" w:space="0" w:color="auto"/>
            </w:tcBorders>
            <w:shd w:val="clear" w:color="auto" w:fill="auto"/>
            <w:noWrap/>
            <w:vAlign w:val="center"/>
          </w:tcPr>
          <w:p w14:paraId="160F05B2" w14:textId="77777777" w:rsidR="00505AFE" w:rsidRPr="0002583D" w:rsidRDefault="00505AFE" w:rsidP="00FD2C02">
            <w:pPr>
              <w:widowControl/>
              <w:jc w:val="center"/>
              <w:rPr>
                <w:sz w:val="22"/>
                <w:szCs w:val="22"/>
              </w:rPr>
            </w:pPr>
          </w:p>
        </w:tc>
        <w:tc>
          <w:tcPr>
            <w:tcW w:w="1842" w:type="dxa"/>
            <w:vMerge/>
            <w:tcBorders>
              <w:bottom w:val="single" w:sz="4" w:space="0" w:color="auto"/>
            </w:tcBorders>
            <w:shd w:val="clear" w:color="auto" w:fill="auto"/>
            <w:vAlign w:val="center"/>
          </w:tcPr>
          <w:p w14:paraId="595A4A04" w14:textId="77777777" w:rsidR="00505AFE" w:rsidRPr="0002583D" w:rsidRDefault="00505AFE" w:rsidP="00FD2C02">
            <w:pPr>
              <w:widowControl/>
              <w:rPr>
                <w:sz w:val="22"/>
                <w:szCs w:val="22"/>
              </w:rPr>
            </w:pPr>
          </w:p>
        </w:tc>
        <w:tc>
          <w:tcPr>
            <w:tcW w:w="1559" w:type="dxa"/>
            <w:vMerge/>
            <w:tcBorders>
              <w:bottom w:val="single" w:sz="4" w:space="0" w:color="auto"/>
            </w:tcBorders>
            <w:shd w:val="clear" w:color="auto" w:fill="auto"/>
            <w:noWrap/>
            <w:vAlign w:val="center"/>
          </w:tcPr>
          <w:p w14:paraId="77D658D0" w14:textId="77777777" w:rsidR="00505AFE" w:rsidRPr="0002583D" w:rsidRDefault="00505AFE" w:rsidP="00FD2C02">
            <w:pPr>
              <w:widowControl/>
              <w:jc w:val="center"/>
              <w:rPr>
                <w:sz w:val="22"/>
                <w:szCs w:val="22"/>
              </w:rPr>
            </w:pPr>
          </w:p>
        </w:tc>
        <w:tc>
          <w:tcPr>
            <w:tcW w:w="715" w:type="dxa"/>
            <w:vMerge/>
            <w:tcBorders>
              <w:bottom w:val="single" w:sz="4" w:space="0" w:color="auto"/>
            </w:tcBorders>
            <w:shd w:val="clear" w:color="auto" w:fill="auto"/>
            <w:noWrap/>
            <w:vAlign w:val="center"/>
          </w:tcPr>
          <w:p w14:paraId="751A09D6" w14:textId="77777777" w:rsidR="00505AFE" w:rsidRPr="0002583D" w:rsidRDefault="00505AFE" w:rsidP="00FD2C02">
            <w:pPr>
              <w:widowControl/>
              <w:jc w:val="center"/>
              <w:rPr>
                <w:sz w:val="22"/>
                <w:szCs w:val="22"/>
              </w:rPr>
            </w:pPr>
          </w:p>
        </w:tc>
        <w:tc>
          <w:tcPr>
            <w:tcW w:w="1270" w:type="dxa"/>
            <w:tcBorders>
              <w:bottom w:val="single" w:sz="4" w:space="0" w:color="auto"/>
            </w:tcBorders>
            <w:shd w:val="clear" w:color="auto" w:fill="auto"/>
            <w:noWrap/>
            <w:vAlign w:val="center"/>
          </w:tcPr>
          <w:p w14:paraId="02F854B3" w14:textId="77777777" w:rsidR="00505AFE" w:rsidRPr="0002583D" w:rsidRDefault="00505AFE" w:rsidP="00FD2C02">
            <w:pPr>
              <w:widowControl/>
              <w:jc w:val="center"/>
              <w:rPr>
                <w:sz w:val="22"/>
                <w:szCs w:val="22"/>
              </w:rPr>
            </w:pPr>
            <w:r w:rsidRPr="0002583D">
              <w:rPr>
                <w:sz w:val="22"/>
                <w:szCs w:val="22"/>
              </w:rPr>
              <w:t>1 полугодие</w:t>
            </w:r>
          </w:p>
          <w:p w14:paraId="0BD6178B" w14:textId="77777777" w:rsidR="00505AFE" w:rsidRPr="0002583D" w:rsidRDefault="00505AFE" w:rsidP="00FD2C02">
            <w:pPr>
              <w:widowControl/>
              <w:jc w:val="center"/>
              <w:rPr>
                <w:sz w:val="22"/>
                <w:szCs w:val="22"/>
              </w:rPr>
            </w:pPr>
            <w:r w:rsidRPr="0002583D">
              <w:rPr>
                <w:sz w:val="22"/>
                <w:szCs w:val="22"/>
              </w:rPr>
              <w:t>&lt;*&gt;</w:t>
            </w:r>
          </w:p>
        </w:tc>
        <w:tc>
          <w:tcPr>
            <w:tcW w:w="1243" w:type="dxa"/>
            <w:tcBorders>
              <w:bottom w:val="single" w:sz="4" w:space="0" w:color="auto"/>
            </w:tcBorders>
            <w:shd w:val="clear" w:color="auto" w:fill="auto"/>
            <w:vAlign w:val="center"/>
          </w:tcPr>
          <w:p w14:paraId="2F51F209" w14:textId="77777777" w:rsidR="00505AFE" w:rsidRPr="0002583D" w:rsidRDefault="00505AFE" w:rsidP="00FD2C02">
            <w:pPr>
              <w:widowControl/>
              <w:jc w:val="center"/>
              <w:rPr>
                <w:sz w:val="22"/>
                <w:szCs w:val="22"/>
              </w:rPr>
            </w:pPr>
            <w:r w:rsidRPr="0002583D">
              <w:rPr>
                <w:sz w:val="22"/>
                <w:szCs w:val="22"/>
              </w:rPr>
              <w:t xml:space="preserve">2 </w:t>
            </w:r>
          </w:p>
          <w:p w14:paraId="75BF1920" w14:textId="77777777" w:rsidR="00505AFE" w:rsidRPr="0002583D" w:rsidRDefault="00505AFE" w:rsidP="00FD2C02">
            <w:pPr>
              <w:widowControl/>
              <w:ind w:left="-140" w:right="-108"/>
              <w:jc w:val="center"/>
              <w:rPr>
                <w:sz w:val="22"/>
                <w:szCs w:val="22"/>
                <w:lang w:val="en-US"/>
              </w:rPr>
            </w:pPr>
            <w:r w:rsidRPr="0002583D">
              <w:rPr>
                <w:sz w:val="22"/>
                <w:szCs w:val="22"/>
              </w:rPr>
              <w:t xml:space="preserve">полугодие </w:t>
            </w:r>
          </w:p>
        </w:tc>
        <w:tc>
          <w:tcPr>
            <w:tcW w:w="745" w:type="dxa"/>
            <w:tcBorders>
              <w:bottom w:val="single" w:sz="4" w:space="0" w:color="auto"/>
            </w:tcBorders>
            <w:shd w:val="clear" w:color="auto" w:fill="auto"/>
            <w:vAlign w:val="center"/>
          </w:tcPr>
          <w:p w14:paraId="3F33D7B9" w14:textId="77777777" w:rsidR="00505AFE" w:rsidRPr="0002583D" w:rsidRDefault="00505AFE" w:rsidP="00FD2C02">
            <w:pPr>
              <w:jc w:val="center"/>
              <w:rPr>
                <w:szCs w:val="22"/>
              </w:rPr>
            </w:pPr>
            <w:r w:rsidRPr="0002583D">
              <w:rPr>
                <w:szCs w:val="22"/>
              </w:rPr>
              <w:t>от 1,2 до 2,5 кг/</w:t>
            </w:r>
          </w:p>
          <w:p w14:paraId="42E7B670" w14:textId="77777777" w:rsidR="00505AFE" w:rsidRPr="0002583D" w:rsidRDefault="00505AFE" w:rsidP="00FD2C02">
            <w:pPr>
              <w:widowControl/>
              <w:jc w:val="center"/>
              <w:rPr>
                <w:szCs w:val="22"/>
              </w:rPr>
            </w:pPr>
            <w:r w:rsidRPr="0002583D">
              <w:rPr>
                <w:szCs w:val="22"/>
              </w:rPr>
              <w:t>см</w:t>
            </w:r>
            <w:r w:rsidRPr="0002583D">
              <w:rPr>
                <w:szCs w:val="22"/>
                <w:vertAlign w:val="superscript"/>
              </w:rPr>
              <w:t>2</w:t>
            </w:r>
          </w:p>
        </w:tc>
        <w:tc>
          <w:tcPr>
            <w:tcW w:w="672" w:type="dxa"/>
            <w:tcBorders>
              <w:bottom w:val="single" w:sz="4" w:space="0" w:color="auto"/>
            </w:tcBorders>
            <w:vAlign w:val="center"/>
          </w:tcPr>
          <w:p w14:paraId="4E4EC58C" w14:textId="77777777" w:rsidR="00505AFE" w:rsidRPr="0002583D" w:rsidRDefault="00505AFE" w:rsidP="00FD2C02">
            <w:pPr>
              <w:widowControl/>
              <w:jc w:val="center"/>
              <w:rPr>
                <w:szCs w:val="22"/>
              </w:rPr>
            </w:pPr>
            <w:r w:rsidRPr="0002583D">
              <w:rPr>
                <w:szCs w:val="22"/>
              </w:rPr>
              <w:t>от 2,5 до 7,0 кг/см</w:t>
            </w:r>
            <w:r w:rsidRPr="0002583D">
              <w:rPr>
                <w:szCs w:val="22"/>
                <w:vertAlign w:val="superscript"/>
              </w:rPr>
              <w:t>2</w:t>
            </w:r>
          </w:p>
        </w:tc>
        <w:tc>
          <w:tcPr>
            <w:tcW w:w="745" w:type="dxa"/>
            <w:tcBorders>
              <w:bottom w:val="single" w:sz="4" w:space="0" w:color="auto"/>
            </w:tcBorders>
            <w:vAlign w:val="center"/>
          </w:tcPr>
          <w:p w14:paraId="3EFD640D" w14:textId="77777777" w:rsidR="00505AFE" w:rsidRPr="0002583D" w:rsidRDefault="00505AFE" w:rsidP="00FD2C02">
            <w:pPr>
              <w:widowControl/>
              <w:jc w:val="center"/>
              <w:rPr>
                <w:szCs w:val="22"/>
              </w:rPr>
            </w:pPr>
            <w:r w:rsidRPr="0002583D">
              <w:rPr>
                <w:szCs w:val="22"/>
              </w:rPr>
              <w:t>от 7,0 до 13,0 кг/</w:t>
            </w:r>
          </w:p>
          <w:p w14:paraId="19F4188C" w14:textId="77777777" w:rsidR="00505AFE" w:rsidRPr="0002583D" w:rsidRDefault="00505AFE" w:rsidP="00FD2C02">
            <w:pPr>
              <w:widowControl/>
              <w:jc w:val="center"/>
              <w:rPr>
                <w:szCs w:val="22"/>
              </w:rPr>
            </w:pPr>
            <w:r w:rsidRPr="0002583D">
              <w:rPr>
                <w:szCs w:val="22"/>
              </w:rPr>
              <w:t>см</w:t>
            </w:r>
            <w:r w:rsidRPr="0002583D">
              <w:rPr>
                <w:szCs w:val="22"/>
                <w:vertAlign w:val="superscript"/>
              </w:rPr>
              <w:t>2</w:t>
            </w:r>
          </w:p>
        </w:tc>
        <w:tc>
          <w:tcPr>
            <w:tcW w:w="559" w:type="dxa"/>
            <w:tcBorders>
              <w:bottom w:val="single" w:sz="4" w:space="0" w:color="auto"/>
            </w:tcBorders>
            <w:vAlign w:val="center"/>
          </w:tcPr>
          <w:p w14:paraId="445E73D3" w14:textId="77777777" w:rsidR="00505AFE" w:rsidRPr="0002583D" w:rsidRDefault="00505AFE" w:rsidP="00FD2C02">
            <w:pPr>
              <w:widowControl/>
              <w:ind w:right="-108" w:hanging="109"/>
              <w:jc w:val="center"/>
              <w:rPr>
                <w:szCs w:val="22"/>
              </w:rPr>
            </w:pPr>
            <w:r w:rsidRPr="0002583D">
              <w:rPr>
                <w:szCs w:val="22"/>
              </w:rPr>
              <w:t>Свыше 13,0 кг/</w:t>
            </w:r>
          </w:p>
          <w:p w14:paraId="768E2BA2" w14:textId="77777777" w:rsidR="00505AFE" w:rsidRPr="0002583D" w:rsidRDefault="00505AFE" w:rsidP="00FD2C02">
            <w:pPr>
              <w:widowControl/>
              <w:jc w:val="center"/>
              <w:rPr>
                <w:szCs w:val="22"/>
              </w:rPr>
            </w:pPr>
            <w:r w:rsidRPr="0002583D">
              <w:rPr>
                <w:szCs w:val="22"/>
              </w:rPr>
              <w:t>см</w:t>
            </w:r>
            <w:r w:rsidRPr="0002583D">
              <w:rPr>
                <w:szCs w:val="22"/>
                <w:vertAlign w:val="superscript"/>
              </w:rPr>
              <w:t>2</w:t>
            </w:r>
          </w:p>
        </w:tc>
        <w:tc>
          <w:tcPr>
            <w:tcW w:w="662" w:type="dxa"/>
            <w:vMerge/>
            <w:tcBorders>
              <w:bottom w:val="single" w:sz="4" w:space="0" w:color="auto"/>
            </w:tcBorders>
            <w:shd w:val="clear" w:color="auto" w:fill="auto"/>
            <w:vAlign w:val="center"/>
          </w:tcPr>
          <w:p w14:paraId="472CD8B7" w14:textId="77777777" w:rsidR="00505AFE" w:rsidRPr="0002583D" w:rsidRDefault="00505AFE" w:rsidP="00FD2C02">
            <w:pPr>
              <w:jc w:val="center"/>
              <w:rPr>
                <w:sz w:val="22"/>
                <w:szCs w:val="22"/>
              </w:rPr>
            </w:pPr>
          </w:p>
        </w:tc>
      </w:tr>
      <w:tr w:rsidR="00505AFE" w:rsidRPr="0002583D" w14:paraId="36894FAC" w14:textId="77777777" w:rsidTr="00FD2C02">
        <w:trPr>
          <w:trHeight w:val="333"/>
        </w:trPr>
        <w:tc>
          <w:tcPr>
            <w:tcW w:w="10613" w:type="dxa"/>
            <w:gridSpan w:val="11"/>
            <w:shd w:val="clear" w:color="auto" w:fill="auto"/>
            <w:noWrap/>
            <w:vAlign w:val="center"/>
          </w:tcPr>
          <w:p w14:paraId="1B6CC334" w14:textId="77777777" w:rsidR="00505AFE" w:rsidRPr="008D25F7" w:rsidRDefault="00505AFE" w:rsidP="00FD2C02">
            <w:pPr>
              <w:jc w:val="center"/>
              <w:rPr>
                <w:sz w:val="22"/>
                <w:szCs w:val="22"/>
              </w:rPr>
            </w:pPr>
            <w:r w:rsidRPr="008D25F7">
              <w:rPr>
                <w:sz w:val="22"/>
                <w:szCs w:val="22"/>
              </w:rPr>
              <w:t>Для потребителей, в случае отсутствия дифференциации тарифов по схеме подключения</w:t>
            </w:r>
          </w:p>
        </w:tc>
      </w:tr>
      <w:tr w:rsidR="00505AFE" w:rsidRPr="0002583D" w14:paraId="55CCD24E" w14:textId="77777777" w:rsidTr="00FD2C02">
        <w:trPr>
          <w:trHeight w:val="510"/>
        </w:trPr>
        <w:tc>
          <w:tcPr>
            <w:tcW w:w="601" w:type="dxa"/>
            <w:vMerge w:val="restart"/>
            <w:shd w:val="clear" w:color="auto" w:fill="auto"/>
            <w:noWrap/>
            <w:vAlign w:val="center"/>
          </w:tcPr>
          <w:p w14:paraId="4CC252A6" w14:textId="77777777" w:rsidR="00505AFE" w:rsidRPr="0002583D" w:rsidRDefault="00505AFE" w:rsidP="00FD2C02">
            <w:pPr>
              <w:jc w:val="center"/>
              <w:rPr>
                <w:sz w:val="22"/>
                <w:szCs w:val="22"/>
              </w:rPr>
            </w:pPr>
            <w:r w:rsidRPr="0002583D">
              <w:rPr>
                <w:sz w:val="22"/>
                <w:szCs w:val="22"/>
              </w:rPr>
              <w:t>1.</w:t>
            </w:r>
          </w:p>
        </w:tc>
        <w:tc>
          <w:tcPr>
            <w:tcW w:w="1842" w:type="dxa"/>
            <w:vMerge w:val="restart"/>
            <w:shd w:val="clear" w:color="auto" w:fill="auto"/>
            <w:vAlign w:val="center"/>
          </w:tcPr>
          <w:p w14:paraId="55E989FD" w14:textId="77777777" w:rsidR="00505AFE" w:rsidRPr="0002583D" w:rsidRDefault="00505AFE" w:rsidP="00FD2C02">
            <w:pPr>
              <w:widowControl/>
              <w:rPr>
                <w:sz w:val="22"/>
                <w:szCs w:val="22"/>
              </w:rPr>
            </w:pPr>
            <w:r w:rsidRPr="0002583D">
              <w:rPr>
                <w:sz w:val="22"/>
                <w:szCs w:val="22"/>
              </w:rPr>
              <w:t xml:space="preserve">ООО «ИнвестЭнерго» (от БМК с. </w:t>
            </w:r>
            <w:proofErr w:type="spellStart"/>
            <w:r w:rsidRPr="0002583D">
              <w:rPr>
                <w:sz w:val="22"/>
                <w:szCs w:val="22"/>
              </w:rPr>
              <w:t>Михалево</w:t>
            </w:r>
            <w:proofErr w:type="spellEnd"/>
            <w:r w:rsidRPr="0002583D">
              <w:rPr>
                <w:sz w:val="22"/>
                <w:szCs w:val="22"/>
              </w:rPr>
              <w:t xml:space="preserve"> Ивановского района)</w:t>
            </w:r>
          </w:p>
        </w:tc>
        <w:tc>
          <w:tcPr>
            <w:tcW w:w="1559" w:type="dxa"/>
            <w:vMerge w:val="restart"/>
            <w:shd w:val="clear" w:color="auto" w:fill="auto"/>
            <w:vAlign w:val="center"/>
          </w:tcPr>
          <w:p w14:paraId="7B5F8706" w14:textId="77777777" w:rsidR="00505AFE" w:rsidRPr="008D25F7" w:rsidRDefault="00505AFE" w:rsidP="00FD2C02">
            <w:pPr>
              <w:widowControl/>
              <w:autoSpaceDE w:val="0"/>
              <w:autoSpaceDN w:val="0"/>
              <w:adjustRightInd w:val="0"/>
              <w:jc w:val="both"/>
              <w:rPr>
                <w:sz w:val="22"/>
                <w:szCs w:val="22"/>
              </w:rPr>
            </w:pPr>
            <w:r w:rsidRPr="008D25F7">
              <w:rPr>
                <w:sz w:val="22"/>
                <w:szCs w:val="22"/>
              </w:rPr>
              <w:t>Одноставочный, руб./Гкал, (НДС не облагается)</w:t>
            </w:r>
          </w:p>
        </w:tc>
        <w:tc>
          <w:tcPr>
            <w:tcW w:w="715" w:type="dxa"/>
            <w:shd w:val="clear" w:color="auto" w:fill="auto"/>
            <w:noWrap/>
            <w:vAlign w:val="center"/>
          </w:tcPr>
          <w:p w14:paraId="1ACBE266" w14:textId="77777777" w:rsidR="00505AFE" w:rsidRPr="008D25F7" w:rsidRDefault="00505AFE" w:rsidP="00FD2C02">
            <w:pPr>
              <w:widowControl/>
              <w:jc w:val="center"/>
              <w:rPr>
                <w:sz w:val="22"/>
                <w:szCs w:val="22"/>
              </w:rPr>
            </w:pPr>
            <w:r w:rsidRPr="008D25F7">
              <w:rPr>
                <w:sz w:val="22"/>
                <w:szCs w:val="22"/>
              </w:rPr>
              <w:t>2024</w:t>
            </w:r>
          </w:p>
        </w:tc>
        <w:tc>
          <w:tcPr>
            <w:tcW w:w="1270" w:type="dxa"/>
            <w:shd w:val="clear" w:color="auto" w:fill="auto"/>
            <w:noWrap/>
            <w:vAlign w:val="center"/>
          </w:tcPr>
          <w:p w14:paraId="1AB92837" w14:textId="106D97CD" w:rsidR="00505AFE" w:rsidRPr="008D25F7" w:rsidRDefault="001B0379" w:rsidP="00FD2C02">
            <w:pPr>
              <w:widowControl/>
              <w:jc w:val="center"/>
              <w:rPr>
                <w:sz w:val="22"/>
                <w:szCs w:val="22"/>
              </w:rPr>
            </w:pPr>
            <w:r w:rsidRPr="001B0379">
              <w:rPr>
                <w:sz w:val="22"/>
                <w:szCs w:val="22"/>
              </w:rPr>
              <w:t>3 954,3</w:t>
            </w:r>
            <w:r w:rsidR="00A43575">
              <w:rPr>
                <w:sz w:val="22"/>
                <w:szCs w:val="22"/>
              </w:rPr>
              <w:t>1</w:t>
            </w:r>
          </w:p>
        </w:tc>
        <w:tc>
          <w:tcPr>
            <w:tcW w:w="1243" w:type="dxa"/>
            <w:shd w:val="clear" w:color="auto" w:fill="auto"/>
            <w:vAlign w:val="center"/>
          </w:tcPr>
          <w:p w14:paraId="4C48928F" w14:textId="77777777" w:rsidR="00505AFE" w:rsidRPr="008D25F7" w:rsidRDefault="00505AFE" w:rsidP="00FD2C02">
            <w:pPr>
              <w:widowControl/>
              <w:jc w:val="center"/>
              <w:rPr>
                <w:sz w:val="22"/>
                <w:szCs w:val="22"/>
              </w:rPr>
            </w:pPr>
            <w:r w:rsidRPr="008D25F7">
              <w:rPr>
                <w:sz w:val="22"/>
                <w:szCs w:val="22"/>
              </w:rPr>
              <w:t>4 116,21</w:t>
            </w:r>
          </w:p>
        </w:tc>
        <w:tc>
          <w:tcPr>
            <w:tcW w:w="745" w:type="dxa"/>
            <w:shd w:val="clear" w:color="auto" w:fill="auto"/>
            <w:noWrap/>
            <w:vAlign w:val="center"/>
          </w:tcPr>
          <w:p w14:paraId="172B43DB" w14:textId="77777777" w:rsidR="00505AFE" w:rsidRPr="008D25F7" w:rsidRDefault="00505AFE" w:rsidP="00FD2C02">
            <w:pPr>
              <w:widowControl/>
              <w:jc w:val="center"/>
              <w:rPr>
                <w:sz w:val="22"/>
                <w:szCs w:val="22"/>
              </w:rPr>
            </w:pPr>
            <w:r w:rsidRPr="008D25F7">
              <w:rPr>
                <w:sz w:val="22"/>
                <w:szCs w:val="22"/>
              </w:rPr>
              <w:t>-</w:t>
            </w:r>
          </w:p>
        </w:tc>
        <w:tc>
          <w:tcPr>
            <w:tcW w:w="672" w:type="dxa"/>
            <w:vAlign w:val="center"/>
          </w:tcPr>
          <w:p w14:paraId="71D6DC1B" w14:textId="77777777" w:rsidR="00505AFE" w:rsidRPr="0002583D" w:rsidRDefault="00505AFE" w:rsidP="00FD2C02">
            <w:pPr>
              <w:widowControl/>
              <w:jc w:val="center"/>
              <w:rPr>
                <w:sz w:val="22"/>
                <w:szCs w:val="22"/>
              </w:rPr>
            </w:pPr>
            <w:r w:rsidRPr="0002583D">
              <w:rPr>
                <w:sz w:val="22"/>
                <w:szCs w:val="22"/>
              </w:rPr>
              <w:t>-</w:t>
            </w:r>
          </w:p>
        </w:tc>
        <w:tc>
          <w:tcPr>
            <w:tcW w:w="745" w:type="dxa"/>
            <w:vAlign w:val="center"/>
          </w:tcPr>
          <w:p w14:paraId="5AC6F6D0" w14:textId="77777777" w:rsidR="00505AFE" w:rsidRPr="0002583D" w:rsidRDefault="00505AFE" w:rsidP="00FD2C02">
            <w:pPr>
              <w:widowControl/>
              <w:jc w:val="center"/>
              <w:rPr>
                <w:sz w:val="22"/>
                <w:szCs w:val="22"/>
              </w:rPr>
            </w:pPr>
            <w:r w:rsidRPr="0002583D">
              <w:rPr>
                <w:sz w:val="22"/>
                <w:szCs w:val="22"/>
              </w:rPr>
              <w:t>-</w:t>
            </w:r>
          </w:p>
        </w:tc>
        <w:tc>
          <w:tcPr>
            <w:tcW w:w="559" w:type="dxa"/>
            <w:vAlign w:val="center"/>
          </w:tcPr>
          <w:p w14:paraId="1DF75EE9" w14:textId="77777777" w:rsidR="00505AFE" w:rsidRPr="0002583D" w:rsidRDefault="00505AFE" w:rsidP="00FD2C02">
            <w:pPr>
              <w:widowControl/>
              <w:jc w:val="center"/>
              <w:rPr>
                <w:sz w:val="22"/>
                <w:szCs w:val="22"/>
              </w:rPr>
            </w:pPr>
            <w:r w:rsidRPr="0002583D">
              <w:rPr>
                <w:sz w:val="22"/>
                <w:szCs w:val="22"/>
              </w:rPr>
              <w:t>-</w:t>
            </w:r>
          </w:p>
        </w:tc>
        <w:tc>
          <w:tcPr>
            <w:tcW w:w="662" w:type="dxa"/>
            <w:shd w:val="clear" w:color="auto" w:fill="auto"/>
            <w:noWrap/>
            <w:vAlign w:val="center"/>
          </w:tcPr>
          <w:p w14:paraId="3600BFDA" w14:textId="77777777" w:rsidR="00505AFE" w:rsidRPr="0002583D" w:rsidRDefault="00505AFE" w:rsidP="00FD2C02">
            <w:pPr>
              <w:jc w:val="center"/>
              <w:rPr>
                <w:sz w:val="22"/>
                <w:szCs w:val="22"/>
              </w:rPr>
            </w:pPr>
            <w:r w:rsidRPr="0002583D">
              <w:rPr>
                <w:sz w:val="22"/>
                <w:szCs w:val="22"/>
              </w:rPr>
              <w:t>-</w:t>
            </w:r>
          </w:p>
        </w:tc>
      </w:tr>
      <w:tr w:rsidR="00505AFE" w:rsidRPr="0002583D" w14:paraId="42915FF0" w14:textId="77777777" w:rsidTr="00FD2C02">
        <w:trPr>
          <w:trHeight w:val="510"/>
        </w:trPr>
        <w:tc>
          <w:tcPr>
            <w:tcW w:w="601" w:type="dxa"/>
            <w:vMerge/>
            <w:shd w:val="clear" w:color="auto" w:fill="auto"/>
            <w:noWrap/>
            <w:vAlign w:val="center"/>
          </w:tcPr>
          <w:p w14:paraId="2DACD873" w14:textId="77777777" w:rsidR="00505AFE" w:rsidRPr="0002583D" w:rsidRDefault="00505AFE" w:rsidP="00FD2C02">
            <w:pPr>
              <w:jc w:val="center"/>
              <w:rPr>
                <w:sz w:val="22"/>
                <w:szCs w:val="22"/>
              </w:rPr>
            </w:pPr>
          </w:p>
        </w:tc>
        <w:tc>
          <w:tcPr>
            <w:tcW w:w="1842" w:type="dxa"/>
            <w:vMerge/>
            <w:shd w:val="clear" w:color="auto" w:fill="auto"/>
            <w:vAlign w:val="center"/>
          </w:tcPr>
          <w:p w14:paraId="5AF86CA6" w14:textId="77777777" w:rsidR="00505AFE" w:rsidRPr="0002583D" w:rsidRDefault="00505AFE" w:rsidP="00FD2C02">
            <w:pPr>
              <w:widowControl/>
              <w:rPr>
                <w:sz w:val="22"/>
                <w:szCs w:val="22"/>
              </w:rPr>
            </w:pPr>
          </w:p>
        </w:tc>
        <w:tc>
          <w:tcPr>
            <w:tcW w:w="1559" w:type="dxa"/>
            <w:vMerge/>
            <w:shd w:val="clear" w:color="auto" w:fill="auto"/>
            <w:vAlign w:val="center"/>
          </w:tcPr>
          <w:p w14:paraId="076CF0FA" w14:textId="77777777" w:rsidR="00505AFE" w:rsidRPr="008D25F7" w:rsidRDefault="00505AFE" w:rsidP="00FD2C02">
            <w:pPr>
              <w:widowControl/>
              <w:jc w:val="center"/>
              <w:rPr>
                <w:sz w:val="22"/>
                <w:szCs w:val="22"/>
              </w:rPr>
            </w:pPr>
          </w:p>
        </w:tc>
        <w:tc>
          <w:tcPr>
            <w:tcW w:w="715" w:type="dxa"/>
            <w:shd w:val="clear" w:color="auto" w:fill="auto"/>
            <w:noWrap/>
            <w:vAlign w:val="center"/>
          </w:tcPr>
          <w:p w14:paraId="79656409" w14:textId="77777777" w:rsidR="00505AFE" w:rsidRPr="008D25F7" w:rsidRDefault="00505AFE" w:rsidP="00FD2C02">
            <w:pPr>
              <w:widowControl/>
              <w:jc w:val="center"/>
              <w:rPr>
                <w:sz w:val="22"/>
                <w:szCs w:val="22"/>
              </w:rPr>
            </w:pPr>
            <w:r w:rsidRPr="008D25F7">
              <w:rPr>
                <w:sz w:val="22"/>
                <w:szCs w:val="22"/>
              </w:rPr>
              <w:t>2025</w:t>
            </w:r>
          </w:p>
        </w:tc>
        <w:tc>
          <w:tcPr>
            <w:tcW w:w="1270" w:type="dxa"/>
            <w:shd w:val="clear" w:color="auto" w:fill="auto"/>
            <w:noWrap/>
            <w:vAlign w:val="center"/>
          </w:tcPr>
          <w:p w14:paraId="41BB9678" w14:textId="77777777" w:rsidR="00505AFE" w:rsidRPr="008D25F7" w:rsidRDefault="00505AFE" w:rsidP="00FD2C02">
            <w:pPr>
              <w:widowControl/>
              <w:jc w:val="center"/>
              <w:rPr>
                <w:sz w:val="22"/>
                <w:szCs w:val="22"/>
              </w:rPr>
            </w:pPr>
            <w:r w:rsidRPr="008D25F7">
              <w:rPr>
                <w:sz w:val="22"/>
                <w:szCs w:val="22"/>
              </w:rPr>
              <w:t>4 116,21</w:t>
            </w:r>
          </w:p>
        </w:tc>
        <w:tc>
          <w:tcPr>
            <w:tcW w:w="1243" w:type="dxa"/>
            <w:shd w:val="clear" w:color="auto" w:fill="auto"/>
            <w:vAlign w:val="center"/>
          </w:tcPr>
          <w:p w14:paraId="54885455" w14:textId="77777777" w:rsidR="00505AFE" w:rsidRPr="008D25F7" w:rsidRDefault="00505AFE" w:rsidP="00FD2C02">
            <w:pPr>
              <w:widowControl/>
              <w:jc w:val="center"/>
              <w:rPr>
                <w:sz w:val="22"/>
                <w:szCs w:val="22"/>
              </w:rPr>
            </w:pPr>
            <w:r w:rsidRPr="008D25F7">
              <w:rPr>
                <w:sz w:val="22"/>
                <w:szCs w:val="22"/>
              </w:rPr>
              <w:t>5 026,85</w:t>
            </w:r>
          </w:p>
        </w:tc>
        <w:tc>
          <w:tcPr>
            <w:tcW w:w="745" w:type="dxa"/>
            <w:shd w:val="clear" w:color="auto" w:fill="auto"/>
            <w:noWrap/>
            <w:vAlign w:val="center"/>
          </w:tcPr>
          <w:p w14:paraId="0D181973" w14:textId="77777777" w:rsidR="00505AFE" w:rsidRPr="008D25F7" w:rsidRDefault="00505AFE" w:rsidP="00FD2C02">
            <w:pPr>
              <w:widowControl/>
              <w:jc w:val="center"/>
              <w:rPr>
                <w:sz w:val="22"/>
                <w:szCs w:val="22"/>
              </w:rPr>
            </w:pPr>
            <w:r w:rsidRPr="008D25F7">
              <w:rPr>
                <w:sz w:val="22"/>
                <w:szCs w:val="22"/>
              </w:rPr>
              <w:t>-</w:t>
            </w:r>
          </w:p>
        </w:tc>
        <w:tc>
          <w:tcPr>
            <w:tcW w:w="672" w:type="dxa"/>
            <w:vAlign w:val="center"/>
          </w:tcPr>
          <w:p w14:paraId="7094F8B6" w14:textId="77777777" w:rsidR="00505AFE" w:rsidRPr="0002583D" w:rsidRDefault="00505AFE" w:rsidP="00FD2C02">
            <w:pPr>
              <w:widowControl/>
              <w:jc w:val="center"/>
              <w:rPr>
                <w:sz w:val="22"/>
                <w:szCs w:val="22"/>
              </w:rPr>
            </w:pPr>
            <w:r w:rsidRPr="0002583D">
              <w:rPr>
                <w:sz w:val="22"/>
                <w:szCs w:val="22"/>
              </w:rPr>
              <w:t>-</w:t>
            </w:r>
          </w:p>
        </w:tc>
        <w:tc>
          <w:tcPr>
            <w:tcW w:w="745" w:type="dxa"/>
            <w:vAlign w:val="center"/>
          </w:tcPr>
          <w:p w14:paraId="1E165734" w14:textId="77777777" w:rsidR="00505AFE" w:rsidRPr="0002583D" w:rsidRDefault="00505AFE" w:rsidP="00FD2C02">
            <w:pPr>
              <w:widowControl/>
              <w:jc w:val="center"/>
              <w:rPr>
                <w:sz w:val="22"/>
                <w:szCs w:val="22"/>
              </w:rPr>
            </w:pPr>
            <w:r w:rsidRPr="0002583D">
              <w:rPr>
                <w:sz w:val="22"/>
                <w:szCs w:val="22"/>
              </w:rPr>
              <w:t>-</w:t>
            </w:r>
          </w:p>
        </w:tc>
        <w:tc>
          <w:tcPr>
            <w:tcW w:w="559" w:type="dxa"/>
            <w:vAlign w:val="center"/>
          </w:tcPr>
          <w:p w14:paraId="5A1C2DBF" w14:textId="77777777" w:rsidR="00505AFE" w:rsidRPr="0002583D" w:rsidRDefault="00505AFE" w:rsidP="00FD2C02">
            <w:pPr>
              <w:widowControl/>
              <w:jc w:val="center"/>
              <w:rPr>
                <w:sz w:val="22"/>
                <w:szCs w:val="22"/>
              </w:rPr>
            </w:pPr>
            <w:r w:rsidRPr="0002583D">
              <w:rPr>
                <w:sz w:val="22"/>
                <w:szCs w:val="22"/>
              </w:rPr>
              <w:t>-</w:t>
            </w:r>
          </w:p>
        </w:tc>
        <w:tc>
          <w:tcPr>
            <w:tcW w:w="662" w:type="dxa"/>
            <w:shd w:val="clear" w:color="auto" w:fill="auto"/>
            <w:noWrap/>
            <w:vAlign w:val="center"/>
          </w:tcPr>
          <w:p w14:paraId="0613D9A6" w14:textId="77777777" w:rsidR="00505AFE" w:rsidRPr="0002583D" w:rsidRDefault="00505AFE" w:rsidP="00FD2C02">
            <w:pPr>
              <w:widowControl/>
              <w:jc w:val="center"/>
              <w:rPr>
                <w:sz w:val="22"/>
                <w:szCs w:val="22"/>
              </w:rPr>
            </w:pPr>
            <w:r w:rsidRPr="0002583D">
              <w:rPr>
                <w:sz w:val="22"/>
                <w:szCs w:val="22"/>
              </w:rPr>
              <w:t>-</w:t>
            </w:r>
          </w:p>
        </w:tc>
      </w:tr>
      <w:tr w:rsidR="00505AFE" w:rsidRPr="0002583D" w14:paraId="1973191F" w14:textId="77777777" w:rsidTr="00FD2C02">
        <w:trPr>
          <w:trHeight w:val="510"/>
        </w:trPr>
        <w:tc>
          <w:tcPr>
            <w:tcW w:w="601" w:type="dxa"/>
            <w:vMerge/>
            <w:shd w:val="clear" w:color="auto" w:fill="auto"/>
            <w:noWrap/>
            <w:vAlign w:val="center"/>
          </w:tcPr>
          <w:p w14:paraId="5E1A6196" w14:textId="77777777" w:rsidR="00505AFE" w:rsidRPr="0002583D" w:rsidRDefault="00505AFE" w:rsidP="00FD2C02">
            <w:pPr>
              <w:jc w:val="center"/>
              <w:rPr>
                <w:sz w:val="22"/>
                <w:szCs w:val="22"/>
              </w:rPr>
            </w:pPr>
          </w:p>
        </w:tc>
        <w:tc>
          <w:tcPr>
            <w:tcW w:w="1842" w:type="dxa"/>
            <w:vMerge/>
            <w:shd w:val="clear" w:color="auto" w:fill="auto"/>
            <w:vAlign w:val="center"/>
          </w:tcPr>
          <w:p w14:paraId="351EAACF" w14:textId="77777777" w:rsidR="00505AFE" w:rsidRPr="0002583D" w:rsidRDefault="00505AFE" w:rsidP="00FD2C02">
            <w:pPr>
              <w:widowControl/>
              <w:rPr>
                <w:sz w:val="22"/>
                <w:szCs w:val="22"/>
              </w:rPr>
            </w:pPr>
          </w:p>
        </w:tc>
        <w:tc>
          <w:tcPr>
            <w:tcW w:w="1559" w:type="dxa"/>
            <w:vMerge/>
            <w:shd w:val="clear" w:color="auto" w:fill="auto"/>
            <w:vAlign w:val="center"/>
          </w:tcPr>
          <w:p w14:paraId="748B8F94" w14:textId="77777777" w:rsidR="00505AFE" w:rsidRPr="008D25F7" w:rsidRDefault="00505AFE" w:rsidP="00FD2C02">
            <w:pPr>
              <w:widowControl/>
              <w:jc w:val="center"/>
              <w:rPr>
                <w:sz w:val="22"/>
                <w:szCs w:val="22"/>
              </w:rPr>
            </w:pPr>
          </w:p>
        </w:tc>
        <w:tc>
          <w:tcPr>
            <w:tcW w:w="715" w:type="dxa"/>
            <w:shd w:val="clear" w:color="auto" w:fill="auto"/>
            <w:noWrap/>
            <w:vAlign w:val="center"/>
          </w:tcPr>
          <w:p w14:paraId="29100C70" w14:textId="77777777" w:rsidR="00505AFE" w:rsidRPr="008D25F7" w:rsidRDefault="00505AFE" w:rsidP="00FD2C02">
            <w:pPr>
              <w:widowControl/>
              <w:jc w:val="center"/>
              <w:rPr>
                <w:sz w:val="22"/>
                <w:szCs w:val="22"/>
              </w:rPr>
            </w:pPr>
            <w:r w:rsidRPr="008D25F7">
              <w:rPr>
                <w:sz w:val="22"/>
                <w:szCs w:val="22"/>
              </w:rPr>
              <w:t>2026</w:t>
            </w:r>
          </w:p>
        </w:tc>
        <w:tc>
          <w:tcPr>
            <w:tcW w:w="1270" w:type="dxa"/>
            <w:shd w:val="clear" w:color="auto" w:fill="auto"/>
            <w:noWrap/>
            <w:vAlign w:val="center"/>
          </w:tcPr>
          <w:p w14:paraId="67B9FF46" w14:textId="38404657" w:rsidR="00505AFE" w:rsidRPr="008D25F7" w:rsidRDefault="006824F4" w:rsidP="00FD2C02">
            <w:pPr>
              <w:widowControl/>
              <w:jc w:val="center"/>
              <w:rPr>
                <w:sz w:val="22"/>
                <w:szCs w:val="22"/>
              </w:rPr>
            </w:pPr>
            <w:r w:rsidRPr="006824F4">
              <w:rPr>
                <w:sz w:val="22"/>
                <w:szCs w:val="22"/>
              </w:rPr>
              <w:t>4 503,19</w:t>
            </w:r>
          </w:p>
        </w:tc>
        <w:tc>
          <w:tcPr>
            <w:tcW w:w="1243" w:type="dxa"/>
            <w:shd w:val="clear" w:color="auto" w:fill="auto"/>
            <w:vAlign w:val="center"/>
          </w:tcPr>
          <w:p w14:paraId="6583116B" w14:textId="2D9EE9CF" w:rsidR="00505AFE" w:rsidRPr="008D25F7" w:rsidRDefault="006824F4" w:rsidP="00FD2C02">
            <w:pPr>
              <w:widowControl/>
              <w:jc w:val="center"/>
              <w:rPr>
                <w:sz w:val="22"/>
                <w:szCs w:val="22"/>
              </w:rPr>
            </w:pPr>
            <w:r w:rsidRPr="006824F4">
              <w:rPr>
                <w:sz w:val="22"/>
                <w:szCs w:val="22"/>
              </w:rPr>
              <w:t>4 503,19</w:t>
            </w:r>
          </w:p>
        </w:tc>
        <w:tc>
          <w:tcPr>
            <w:tcW w:w="745" w:type="dxa"/>
            <w:shd w:val="clear" w:color="auto" w:fill="auto"/>
            <w:noWrap/>
            <w:vAlign w:val="center"/>
          </w:tcPr>
          <w:p w14:paraId="704032C6" w14:textId="77777777" w:rsidR="00505AFE" w:rsidRPr="008D25F7" w:rsidRDefault="00505AFE" w:rsidP="00FD2C02">
            <w:pPr>
              <w:widowControl/>
              <w:jc w:val="center"/>
              <w:rPr>
                <w:sz w:val="22"/>
                <w:szCs w:val="22"/>
              </w:rPr>
            </w:pPr>
            <w:r w:rsidRPr="008D25F7">
              <w:rPr>
                <w:sz w:val="22"/>
                <w:szCs w:val="22"/>
              </w:rPr>
              <w:t>-</w:t>
            </w:r>
          </w:p>
        </w:tc>
        <w:tc>
          <w:tcPr>
            <w:tcW w:w="672" w:type="dxa"/>
            <w:vAlign w:val="center"/>
          </w:tcPr>
          <w:p w14:paraId="69E8CE43" w14:textId="77777777" w:rsidR="00505AFE" w:rsidRPr="0002583D" w:rsidRDefault="00505AFE" w:rsidP="00FD2C02">
            <w:pPr>
              <w:widowControl/>
              <w:jc w:val="center"/>
              <w:rPr>
                <w:sz w:val="22"/>
                <w:szCs w:val="22"/>
              </w:rPr>
            </w:pPr>
            <w:r w:rsidRPr="0002583D">
              <w:rPr>
                <w:sz w:val="22"/>
                <w:szCs w:val="22"/>
              </w:rPr>
              <w:t>-</w:t>
            </w:r>
          </w:p>
        </w:tc>
        <w:tc>
          <w:tcPr>
            <w:tcW w:w="745" w:type="dxa"/>
            <w:vAlign w:val="center"/>
          </w:tcPr>
          <w:p w14:paraId="233DD5C1" w14:textId="77777777" w:rsidR="00505AFE" w:rsidRPr="0002583D" w:rsidRDefault="00505AFE" w:rsidP="00FD2C02">
            <w:pPr>
              <w:widowControl/>
              <w:jc w:val="center"/>
              <w:rPr>
                <w:sz w:val="22"/>
                <w:szCs w:val="22"/>
              </w:rPr>
            </w:pPr>
            <w:r w:rsidRPr="0002583D">
              <w:rPr>
                <w:sz w:val="22"/>
                <w:szCs w:val="22"/>
              </w:rPr>
              <w:t>-</w:t>
            </w:r>
          </w:p>
        </w:tc>
        <w:tc>
          <w:tcPr>
            <w:tcW w:w="559" w:type="dxa"/>
            <w:vAlign w:val="center"/>
          </w:tcPr>
          <w:p w14:paraId="163E18CB" w14:textId="77777777" w:rsidR="00505AFE" w:rsidRPr="0002583D" w:rsidRDefault="00505AFE" w:rsidP="00FD2C02">
            <w:pPr>
              <w:widowControl/>
              <w:jc w:val="center"/>
              <w:rPr>
                <w:sz w:val="22"/>
                <w:szCs w:val="22"/>
              </w:rPr>
            </w:pPr>
            <w:r w:rsidRPr="0002583D">
              <w:rPr>
                <w:sz w:val="22"/>
                <w:szCs w:val="22"/>
              </w:rPr>
              <w:t>-</w:t>
            </w:r>
          </w:p>
        </w:tc>
        <w:tc>
          <w:tcPr>
            <w:tcW w:w="662" w:type="dxa"/>
            <w:shd w:val="clear" w:color="auto" w:fill="auto"/>
            <w:noWrap/>
            <w:vAlign w:val="center"/>
          </w:tcPr>
          <w:p w14:paraId="6749E8C1" w14:textId="77777777" w:rsidR="00505AFE" w:rsidRPr="0002583D" w:rsidRDefault="00505AFE" w:rsidP="00FD2C02">
            <w:pPr>
              <w:widowControl/>
              <w:jc w:val="center"/>
              <w:rPr>
                <w:sz w:val="22"/>
                <w:szCs w:val="22"/>
              </w:rPr>
            </w:pPr>
            <w:r w:rsidRPr="0002583D">
              <w:rPr>
                <w:sz w:val="22"/>
                <w:szCs w:val="22"/>
              </w:rPr>
              <w:t>-</w:t>
            </w:r>
          </w:p>
        </w:tc>
      </w:tr>
      <w:bookmarkEnd w:id="2"/>
    </w:tbl>
    <w:p w14:paraId="6F97680A" w14:textId="77777777" w:rsidR="00505AFE" w:rsidRPr="003C0ED1" w:rsidRDefault="00505AFE" w:rsidP="00505AFE">
      <w:pPr>
        <w:widowControl/>
        <w:autoSpaceDE w:val="0"/>
        <w:autoSpaceDN w:val="0"/>
        <w:adjustRightInd w:val="0"/>
        <w:ind w:left="708" w:right="-1005" w:firstLine="708"/>
        <w:jc w:val="right"/>
        <w:rPr>
          <w:sz w:val="22"/>
          <w:szCs w:val="22"/>
        </w:rPr>
      </w:pPr>
    </w:p>
    <w:p w14:paraId="1E7F472A" w14:textId="77777777" w:rsidR="00505AFE" w:rsidRDefault="00505AFE" w:rsidP="00505AFE">
      <w:pPr>
        <w:widowControl/>
        <w:autoSpaceDE w:val="0"/>
        <w:autoSpaceDN w:val="0"/>
        <w:adjustRightInd w:val="0"/>
        <w:ind w:firstLine="540"/>
        <w:jc w:val="both"/>
        <w:rPr>
          <w:sz w:val="22"/>
          <w:szCs w:val="22"/>
        </w:rPr>
      </w:pPr>
      <w:r w:rsidRPr="003C0ED1">
        <w:rPr>
          <w:sz w:val="22"/>
          <w:szCs w:val="22"/>
        </w:rPr>
        <w:t xml:space="preserve">Примечание. Организация применяет упрощенную систему налогообложения в соответствии с </w:t>
      </w:r>
      <w:hyperlink r:id="rId8" w:history="1">
        <w:r w:rsidRPr="003C0ED1">
          <w:rPr>
            <w:sz w:val="22"/>
            <w:szCs w:val="22"/>
          </w:rPr>
          <w:t>Главой 26.2</w:t>
        </w:r>
      </w:hyperlink>
      <w:r w:rsidRPr="003C0ED1">
        <w:rPr>
          <w:sz w:val="22"/>
          <w:szCs w:val="22"/>
        </w:rPr>
        <w:t xml:space="preserve"> части 2 Налогового кодекса Российской Федерации.</w:t>
      </w:r>
    </w:p>
    <w:p w14:paraId="13D9CFBB" w14:textId="77777777" w:rsidR="00505AFE" w:rsidRPr="008D25F7" w:rsidRDefault="00505AFE" w:rsidP="00505AFE">
      <w:pPr>
        <w:widowControl/>
        <w:autoSpaceDE w:val="0"/>
        <w:autoSpaceDN w:val="0"/>
        <w:adjustRightInd w:val="0"/>
        <w:ind w:firstLine="540"/>
        <w:jc w:val="both"/>
        <w:rPr>
          <w:sz w:val="22"/>
          <w:szCs w:val="22"/>
        </w:rPr>
      </w:pPr>
      <w:r w:rsidRPr="008D25F7">
        <w:rPr>
          <w:sz w:val="22"/>
          <w:szCs w:val="22"/>
        </w:rPr>
        <w:t>&lt;*&gt; В 2024 году тариф действует с 21.06.2024 г.</w:t>
      </w:r>
    </w:p>
    <w:p w14:paraId="6A39CE2C" w14:textId="5EAB85E1" w:rsidR="00505AFE" w:rsidRDefault="00505AFE" w:rsidP="00505AFE">
      <w:pPr>
        <w:numPr>
          <w:ilvl w:val="0"/>
          <w:numId w:val="15"/>
        </w:numPr>
        <w:tabs>
          <w:tab w:val="left" w:pos="993"/>
          <w:tab w:val="left" w:pos="1134"/>
        </w:tabs>
        <w:ind w:left="0" w:firstLine="709"/>
        <w:jc w:val="both"/>
        <w:rPr>
          <w:sz w:val="24"/>
          <w:szCs w:val="24"/>
          <w:lang w:eastAsia="x-none"/>
        </w:rPr>
      </w:pPr>
      <w:r w:rsidRPr="00505AFE">
        <w:rPr>
          <w:sz w:val="24"/>
          <w:szCs w:val="24"/>
        </w:rPr>
        <w:lastRenderedPageBreak/>
        <w:t xml:space="preserve">Установить долгосрочные льготные тарифы на тепловую энергию для потребителей ООО «ИнвестЭнерго» </w:t>
      </w:r>
      <w:r w:rsidRPr="00505AFE">
        <w:rPr>
          <w:bCs/>
          <w:sz w:val="24"/>
          <w:szCs w:val="24"/>
        </w:rPr>
        <w:t xml:space="preserve">(от БМК с. </w:t>
      </w:r>
      <w:proofErr w:type="spellStart"/>
      <w:r w:rsidRPr="00505AFE">
        <w:rPr>
          <w:bCs/>
          <w:sz w:val="24"/>
          <w:szCs w:val="24"/>
        </w:rPr>
        <w:t>Михалево</w:t>
      </w:r>
      <w:proofErr w:type="spellEnd"/>
      <w:r w:rsidRPr="00505AFE">
        <w:rPr>
          <w:bCs/>
          <w:sz w:val="24"/>
          <w:szCs w:val="24"/>
        </w:rPr>
        <w:t xml:space="preserve"> Ивановского района)</w:t>
      </w:r>
      <w:r w:rsidRPr="00505AFE">
        <w:rPr>
          <w:b/>
          <w:bCs/>
          <w:sz w:val="24"/>
          <w:szCs w:val="24"/>
        </w:rPr>
        <w:t xml:space="preserve"> </w:t>
      </w:r>
      <w:r w:rsidRPr="00505AFE">
        <w:rPr>
          <w:sz w:val="24"/>
          <w:szCs w:val="24"/>
        </w:rPr>
        <w:t>на 2024-2026 годы.</w:t>
      </w:r>
    </w:p>
    <w:p w14:paraId="49E0120A" w14:textId="77777777" w:rsidR="00505AFE" w:rsidRDefault="00505AFE" w:rsidP="00505AFE">
      <w:pPr>
        <w:tabs>
          <w:tab w:val="left" w:pos="993"/>
          <w:tab w:val="left" w:pos="1134"/>
        </w:tabs>
        <w:jc w:val="both"/>
        <w:rPr>
          <w:sz w:val="24"/>
          <w:szCs w:val="24"/>
        </w:rPr>
      </w:pPr>
    </w:p>
    <w:p w14:paraId="12FE4AB7" w14:textId="77777777" w:rsidR="00505AFE" w:rsidRPr="003C0ED1" w:rsidRDefault="00505AFE" w:rsidP="00505AFE">
      <w:pPr>
        <w:widowControl/>
        <w:autoSpaceDE w:val="0"/>
        <w:autoSpaceDN w:val="0"/>
        <w:adjustRightInd w:val="0"/>
        <w:jc w:val="center"/>
        <w:rPr>
          <w:b/>
          <w:bCs/>
          <w:sz w:val="22"/>
          <w:szCs w:val="22"/>
        </w:rPr>
      </w:pPr>
      <w:bookmarkStart w:id="3" w:name="_Hlk83393686"/>
      <w:r w:rsidRPr="003C0ED1">
        <w:rPr>
          <w:b/>
          <w:bCs/>
          <w:sz w:val="22"/>
          <w:szCs w:val="22"/>
        </w:rPr>
        <w:t>Льготные тарифы на тепловую энергию (мощность), поставляемую потребителям</w:t>
      </w:r>
    </w:p>
    <w:p w14:paraId="408515E3" w14:textId="77777777" w:rsidR="00505AFE" w:rsidRPr="003C0ED1" w:rsidRDefault="00505AFE" w:rsidP="00505AFE">
      <w:pPr>
        <w:widowControl/>
        <w:autoSpaceDE w:val="0"/>
        <w:autoSpaceDN w:val="0"/>
        <w:adjustRightInd w:val="0"/>
        <w:jc w:val="center"/>
        <w:rPr>
          <w:b/>
          <w:bCs/>
          <w:sz w:val="22"/>
          <w:szCs w:val="22"/>
        </w:rPr>
      </w:pPr>
    </w:p>
    <w:tbl>
      <w:tblPr>
        <w:tblW w:w="103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134"/>
        <w:gridCol w:w="709"/>
        <w:gridCol w:w="1418"/>
        <w:gridCol w:w="1417"/>
        <w:gridCol w:w="546"/>
        <w:gridCol w:w="720"/>
        <w:gridCol w:w="720"/>
        <w:gridCol w:w="540"/>
        <w:gridCol w:w="720"/>
        <w:gridCol w:w="6"/>
      </w:tblGrid>
      <w:tr w:rsidR="00505AFE" w:rsidRPr="003C0ED1" w14:paraId="650B7DBA" w14:textId="77777777" w:rsidTr="00FD2C02">
        <w:trPr>
          <w:gridAfter w:val="1"/>
          <w:wAfter w:w="6" w:type="dxa"/>
          <w:trHeight w:val="346"/>
        </w:trPr>
        <w:tc>
          <w:tcPr>
            <w:tcW w:w="568" w:type="dxa"/>
            <w:vMerge w:val="restart"/>
            <w:shd w:val="clear" w:color="auto" w:fill="auto"/>
            <w:vAlign w:val="center"/>
          </w:tcPr>
          <w:p w14:paraId="4CA58346" w14:textId="77777777" w:rsidR="00505AFE" w:rsidRPr="003C0ED1" w:rsidRDefault="00505AFE" w:rsidP="00FD2C02">
            <w:pPr>
              <w:widowControl/>
              <w:jc w:val="center"/>
              <w:rPr>
                <w:sz w:val="22"/>
                <w:szCs w:val="22"/>
              </w:rPr>
            </w:pPr>
            <w:r w:rsidRPr="003C0ED1">
              <w:rPr>
                <w:sz w:val="22"/>
                <w:szCs w:val="22"/>
              </w:rPr>
              <w:t>№ п/п</w:t>
            </w:r>
          </w:p>
        </w:tc>
        <w:tc>
          <w:tcPr>
            <w:tcW w:w="1842" w:type="dxa"/>
            <w:vMerge w:val="restart"/>
            <w:shd w:val="clear" w:color="auto" w:fill="auto"/>
            <w:vAlign w:val="center"/>
          </w:tcPr>
          <w:p w14:paraId="04A9FE28" w14:textId="77777777" w:rsidR="00505AFE" w:rsidRPr="003C0ED1" w:rsidRDefault="00505AFE" w:rsidP="00FD2C02">
            <w:pPr>
              <w:widowControl/>
              <w:jc w:val="center"/>
              <w:rPr>
                <w:sz w:val="22"/>
                <w:szCs w:val="22"/>
              </w:rPr>
            </w:pPr>
            <w:r w:rsidRPr="003C0ED1">
              <w:rPr>
                <w:sz w:val="22"/>
                <w:szCs w:val="22"/>
              </w:rPr>
              <w:t>Наименование регулируемой организации</w:t>
            </w:r>
          </w:p>
        </w:tc>
        <w:tc>
          <w:tcPr>
            <w:tcW w:w="1134" w:type="dxa"/>
            <w:vMerge w:val="restart"/>
            <w:shd w:val="clear" w:color="auto" w:fill="auto"/>
            <w:noWrap/>
            <w:vAlign w:val="center"/>
          </w:tcPr>
          <w:p w14:paraId="08880353" w14:textId="77777777" w:rsidR="00505AFE" w:rsidRPr="003C0ED1" w:rsidRDefault="00505AFE" w:rsidP="00FD2C02">
            <w:pPr>
              <w:widowControl/>
              <w:jc w:val="center"/>
              <w:rPr>
                <w:sz w:val="22"/>
                <w:szCs w:val="22"/>
              </w:rPr>
            </w:pPr>
            <w:r w:rsidRPr="003C0ED1">
              <w:rPr>
                <w:sz w:val="22"/>
                <w:szCs w:val="22"/>
              </w:rPr>
              <w:t>Вид тарифа</w:t>
            </w:r>
          </w:p>
        </w:tc>
        <w:tc>
          <w:tcPr>
            <w:tcW w:w="709" w:type="dxa"/>
            <w:vMerge w:val="restart"/>
            <w:shd w:val="clear" w:color="auto" w:fill="auto"/>
            <w:noWrap/>
            <w:vAlign w:val="center"/>
          </w:tcPr>
          <w:p w14:paraId="64F442DE" w14:textId="77777777" w:rsidR="00505AFE" w:rsidRPr="003C0ED1" w:rsidRDefault="00505AFE" w:rsidP="00FD2C02">
            <w:pPr>
              <w:widowControl/>
              <w:jc w:val="center"/>
              <w:rPr>
                <w:sz w:val="22"/>
                <w:szCs w:val="22"/>
              </w:rPr>
            </w:pPr>
            <w:r w:rsidRPr="003C0ED1">
              <w:rPr>
                <w:sz w:val="22"/>
                <w:szCs w:val="22"/>
              </w:rPr>
              <w:t>Год</w:t>
            </w:r>
          </w:p>
        </w:tc>
        <w:tc>
          <w:tcPr>
            <w:tcW w:w="2835" w:type="dxa"/>
            <w:gridSpan w:val="2"/>
            <w:shd w:val="clear" w:color="auto" w:fill="auto"/>
            <w:noWrap/>
            <w:vAlign w:val="center"/>
          </w:tcPr>
          <w:p w14:paraId="09B635F0" w14:textId="77777777" w:rsidR="00505AFE" w:rsidRPr="003C0ED1" w:rsidRDefault="00505AFE" w:rsidP="00FD2C02">
            <w:pPr>
              <w:widowControl/>
              <w:jc w:val="center"/>
              <w:rPr>
                <w:sz w:val="22"/>
                <w:szCs w:val="22"/>
              </w:rPr>
            </w:pPr>
            <w:r w:rsidRPr="003C0ED1">
              <w:rPr>
                <w:sz w:val="22"/>
                <w:szCs w:val="22"/>
              </w:rPr>
              <w:t>Вода</w:t>
            </w:r>
          </w:p>
        </w:tc>
        <w:tc>
          <w:tcPr>
            <w:tcW w:w="2526" w:type="dxa"/>
            <w:gridSpan w:val="4"/>
            <w:shd w:val="clear" w:color="auto" w:fill="auto"/>
            <w:noWrap/>
            <w:vAlign w:val="center"/>
          </w:tcPr>
          <w:p w14:paraId="2E3FF242" w14:textId="77777777" w:rsidR="00505AFE" w:rsidRPr="003C0ED1" w:rsidRDefault="00505AFE" w:rsidP="00FD2C02">
            <w:pPr>
              <w:widowControl/>
              <w:jc w:val="center"/>
              <w:rPr>
                <w:sz w:val="22"/>
                <w:szCs w:val="22"/>
              </w:rPr>
            </w:pPr>
            <w:r w:rsidRPr="003C0ED1">
              <w:rPr>
                <w:sz w:val="22"/>
                <w:szCs w:val="22"/>
              </w:rPr>
              <w:t>Отборный пар давлением</w:t>
            </w:r>
          </w:p>
        </w:tc>
        <w:tc>
          <w:tcPr>
            <w:tcW w:w="720" w:type="dxa"/>
            <w:vMerge w:val="restart"/>
            <w:shd w:val="clear" w:color="auto" w:fill="auto"/>
            <w:vAlign w:val="center"/>
          </w:tcPr>
          <w:p w14:paraId="663D9F0C" w14:textId="77777777" w:rsidR="00505AFE" w:rsidRPr="003C0ED1" w:rsidRDefault="00505AFE" w:rsidP="00FD2C02">
            <w:pPr>
              <w:widowControl/>
              <w:jc w:val="center"/>
              <w:rPr>
                <w:sz w:val="22"/>
                <w:szCs w:val="22"/>
              </w:rPr>
            </w:pPr>
            <w:r w:rsidRPr="003C0ED1">
              <w:rPr>
                <w:sz w:val="22"/>
                <w:szCs w:val="22"/>
              </w:rPr>
              <w:t>Острый и редуцированный пар</w:t>
            </w:r>
          </w:p>
        </w:tc>
      </w:tr>
      <w:tr w:rsidR="00505AFE" w:rsidRPr="003C0ED1" w14:paraId="19BEF80F" w14:textId="77777777" w:rsidTr="00FD2C02">
        <w:trPr>
          <w:gridAfter w:val="1"/>
          <w:wAfter w:w="6" w:type="dxa"/>
          <w:trHeight w:val="1112"/>
        </w:trPr>
        <w:tc>
          <w:tcPr>
            <w:tcW w:w="568" w:type="dxa"/>
            <w:vMerge/>
            <w:shd w:val="clear" w:color="auto" w:fill="auto"/>
            <w:noWrap/>
            <w:vAlign w:val="center"/>
          </w:tcPr>
          <w:p w14:paraId="04E337C5" w14:textId="77777777" w:rsidR="00505AFE" w:rsidRPr="003C0ED1" w:rsidRDefault="00505AFE" w:rsidP="00FD2C02">
            <w:pPr>
              <w:widowControl/>
              <w:jc w:val="center"/>
              <w:rPr>
                <w:sz w:val="22"/>
                <w:szCs w:val="22"/>
              </w:rPr>
            </w:pPr>
          </w:p>
        </w:tc>
        <w:tc>
          <w:tcPr>
            <w:tcW w:w="1842" w:type="dxa"/>
            <w:vMerge/>
            <w:shd w:val="clear" w:color="auto" w:fill="auto"/>
            <w:vAlign w:val="center"/>
          </w:tcPr>
          <w:p w14:paraId="1BDF22F6" w14:textId="77777777" w:rsidR="00505AFE" w:rsidRPr="003C0ED1" w:rsidRDefault="00505AFE" w:rsidP="00FD2C02">
            <w:pPr>
              <w:widowControl/>
              <w:rPr>
                <w:sz w:val="22"/>
                <w:szCs w:val="22"/>
              </w:rPr>
            </w:pPr>
          </w:p>
        </w:tc>
        <w:tc>
          <w:tcPr>
            <w:tcW w:w="1134" w:type="dxa"/>
            <w:vMerge/>
            <w:shd w:val="clear" w:color="auto" w:fill="auto"/>
            <w:noWrap/>
            <w:vAlign w:val="center"/>
          </w:tcPr>
          <w:p w14:paraId="5A4CF927" w14:textId="77777777" w:rsidR="00505AFE" w:rsidRPr="003C0ED1" w:rsidRDefault="00505AFE" w:rsidP="00FD2C02">
            <w:pPr>
              <w:widowControl/>
              <w:jc w:val="center"/>
              <w:rPr>
                <w:sz w:val="22"/>
                <w:szCs w:val="22"/>
              </w:rPr>
            </w:pPr>
          </w:p>
        </w:tc>
        <w:tc>
          <w:tcPr>
            <w:tcW w:w="709" w:type="dxa"/>
            <w:vMerge/>
            <w:shd w:val="clear" w:color="auto" w:fill="auto"/>
            <w:noWrap/>
            <w:vAlign w:val="center"/>
          </w:tcPr>
          <w:p w14:paraId="55FF3970" w14:textId="77777777" w:rsidR="00505AFE" w:rsidRPr="003C0ED1" w:rsidRDefault="00505AFE" w:rsidP="00FD2C02">
            <w:pPr>
              <w:widowControl/>
              <w:jc w:val="center"/>
              <w:rPr>
                <w:sz w:val="22"/>
                <w:szCs w:val="22"/>
              </w:rPr>
            </w:pPr>
          </w:p>
        </w:tc>
        <w:tc>
          <w:tcPr>
            <w:tcW w:w="1418" w:type="dxa"/>
            <w:shd w:val="clear" w:color="auto" w:fill="auto"/>
            <w:noWrap/>
            <w:vAlign w:val="center"/>
          </w:tcPr>
          <w:p w14:paraId="3B4B6996" w14:textId="77777777" w:rsidR="00505AFE" w:rsidRPr="003C0ED1" w:rsidRDefault="00505AFE" w:rsidP="00FD2C02">
            <w:pPr>
              <w:widowControl/>
              <w:jc w:val="center"/>
            </w:pPr>
            <w:r w:rsidRPr="003C0ED1">
              <w:t>1 полугодие</w:t>
            </w:r>
            <w:r>
              <w:t xml:space="preserve"> </w:t>
            </w:r>
            <w:r>
              <w:rPr>
                <w:sz w:val="22"/>
                <w:szCs w:val="22"/>
              </w:rPr>
              <w:t>&lt;*&gt;</w:t>
            </w:r>
          </w:p>
        </w:tc>
        <w:tc>
          <w:tcPr>
            <w:tcW w:w="1417" w:type="dxa"/>
            <w:shd w:val="clear" w:color="auto" w:fill="auto"/>
            <w:vAlign w:val="center"/>
          </w:tcPr>
          <w:p w14:paraId="571E688C" w14:textId="77777777" w:rsidR="00505AFE" w:rsidRPr="003C0ED1" w:rsidRDefault="00505AFE" w:rsidP="00FD2C02">
            <w:pPr>
              <w:widowControl/>
              <w:jc w:val="center"/>
            </w:pPr>
            <w:r w:rsidRPr="003C0ED1">
              <w:t xml:space="preserve">2 полугодие </w:t>
            </w:r>
          </w:p>
        </w:tc>
        <w:tc>
          <w:tcPr>
            <w:tcW w:w="546" w:type="dxa"/>
            <w:shd w:val="clear" w:color="auto" w:fill="auto"/>
            <w:vAlign w:val="center"/>
          </w:tcPr>
          <w:p w14:paraId="449DA085" w14:textId="77777777" w:rsidR="00505AFE" w:rsidRPr="00E536A9" w:rsidRDefault="00505AFE" w:rsidP="00FD2C02">
            <w:pPr>
              <w:widowControl/>
              <w:jc w:val="center"/>
              <w:rPr>
                <w:szCs w:val="22"/>
              </w:rPr>
            </w:pPr>
            <w:r w:rsidRPr="00E536A9">
              <w:rPr>
                <w:szCs w:val="22"/>
              </w:rPr>
              <w:t>от 1,2 до 2,5 кг/</w:t>
            </w:r>
          </w:p>
          <w:p w14:paraId="6E23EA1A" w14:textId="77777777" w:rsidR="00505AFE" w:rsidRPr="00E536A9" w:rsidRDefault="00505AFE" w:rsidP="00FD2C02">
            <w:pPr>
              <w:widowControl/>
              <w:jc w:val="center"/>
              <w:rPr>
                <w:szCs w:val="22"/>
              </w:rPr>
            </w:pPr>
            <w:r w:rsidRPr="00E536A9">
              <w:rPr>
                <w:szCs w:val="22"/>
              </w:rPr>
              <w:t>см</w:t>
            </w:r>
            <w:r w:rsidRPr="00E536A9">
              <w:rPr>
                <w:szCs w:val="22"/>
                <w:vertAlign w:val="superscript"/>
              </w:rPr>
              <w:t>2</w:t>
            </w:r>
          </w:p>
        </w:tc>
        <w:tc>
          <w:tcPr>
            <w:tcW w:w="720" w:type="dxa"/>
            <w:vAlign w:val="center"/>
          </w:tcPr>
          <w:p w14:paraId="72D8D4D6" w14:textId="77777777" w:rsidR="00505AFE" w:rsidRPr="00E536A9" w:rsidRDefault="00505AFE" w:rsidP="00FD2C02">
            <w:pPr>
              <w:widowControl/>
              <w:jc w:val="center"/>
              <w:rPr>
                <w:szCs w:val="22"/>
              </w:rPr>
            </w:pPr>
            <w:r w:rsidRPr="00E536A9">
              <w:rPr>
                <w:szCs w:val="22"/>
              </w:rPr>
              <w:t>от 2,5 до 7,0 кг/см</w:t>
            </w:r>
            <w:r w:rsidRPr="00E536A9">
              <w:rPr>
                <w:szCs w:val="22"/>
                <w:vertAlign w:val="superscript"/>
              </w:rPr>
              <w:t>2</w:t>
            </w:r>
          </w:p>
        </w:tc>
        <w:tc>
          <w:tcPr>
            <w:tcW w:w="720" w:type="dxa"/>
            <w:vAlign w:val="center"/>
          </w:tcPr>
          <w:p w14:paraId="036A1D71" w14:textId="77777777" w:rsidR="00505AFE" w:rsidRPr="00E536A9" w:rsidRDefault="00505AFE" w:rsidP="00FD2C02">
            <w:pPr>
              <w:widowControl/>
              <w:jc w:val="center"/>
              <w:rPr>
                <w:szCs w:val="22"/>
              </w:rPr>
            </w:pPr>
            <w:r w:rsidRPr="00E536A9">
              <w:rPr>
                <w:szCs w:val="22"/>
              </w:rPr>
              <w:t>от 7,0 до 13,0 кг/</w:t>
            </w:r>
          </w:p>
          <w:p w14:paraId="18F829BB" w14:textId="77777777" w:rsidR="00505AFE" w:rsidRPr="00E536A9" w:rsidRDefault="00505AFE" w:rsidP="00FD2C02">
            <w:pPr>
              <w:widowControl/>
              <w:jc w:val="center"/>
              <w:rPr>
                <w:szCs w:val="22"/>
              </w:rPr>
            </w:pPr>
            <w:r w:rsidRPr="00E536A9">
              <w:rPr>
                <w:szCs w:val="22"/>
              </w:rPr>
              <w:t>см</w:t>
            </w:r>
            <w:r w:rsidRPr="00E536A9">
              <w:rPr>
                <w:szCs w:val="22"/>
                <w:vertAlign w:val="superscript"/>
              </w:rPr>
              <w:t>2</w:t>
            </w:r>
          </w:p>
        </w:tc>
        <w:tc>
          <w:tcPr>
            <w:tcW w:w="540" w:type="dxa"/>
            <w:vAlign w:val="center"/>
          </w:tcPr>
          <w:p w14:paraId="0365AED3" w14:textId="77777777" w:rsidR="00505AFE" w:rsidRPr="00E536A9" w:rsidRDefault="00505AFE" w:rsidP="00FD2C02">
            <w:pPr>
              <w:widowControl/>
              <w:ind w:right="-108" w:hanging="109"/>
              <w:jc w:val="center"/>
              <w:rPr>
                <w:szCs w:val="22"/>
              </w:rPr>
            </w:pPr>
            <w:r w:rsidRPr="00E536A9">
              <w:rPr>
                <w:szCs w:val="22"/>
              </w:rPr>
              <w:t>Свыше 13,0 кг/</w:t>
            </w:r>
          </w:p>
          <w:p w14:paraId="6EF0777E" w14:textId="77777777" w:rsidR="00505AFE" w:rsidRPr="00E536A9" w:rsidRDefault="00505AFE" w:rsidP="00FD2C02">
            <w:pPr>
              <w:widowControl/>
              <w:jc w:val="center"/>
              <w:rPr>
                <w:szCs w:val="22"/>
              </w:rPr>
            </w:pPr>
            <w:r w:rsidRPr="00E536A9">
              <w:rPr>
                <w:szCs w:val="22"/>
              </w:rPr>
              <w:t>см</w:t>
            </w:r>
            <w:r w:rsidRPr="00E536A9">
              <w:rPr>
                <w:szCs w:val="22"/>
                <w:vertAlign w:val="superscript"/>
              </w:rPr>
              <w:t>2</w:t>
            </w:r>
          </w:p>
        </w:tc>
        <w:tc>
          <w:tcPr>
            <w:tcW w:w="720" w:type="dxa"/>
            <w:vMerge/>
            <w:shd w:val="clear" w:color="auto" w:fill="auto"/>
            <w:vAlign w:val="center"/>
          </w:tcPr>
          <w:p w14:paraId="1A250860" w14:textId="77777777" w:rsidR="00505AFE" w:rsidRPr="003C0ED1" w:rsidRDefault="00505AFE" w:rsidP="00FD2C02">
            <w:pPr>
              <w:widowControl/>
              <w:jc w:val="center"/>
              <w:rPr>
                <w:sz w:val="22"/>
                <w:szCs w:val="22"/>
              </w:rPr>
            </w:pPr>
          </w:p>
        </w:tc>
      </w:tr>
      <w:tr w:rsidR="00505AFE" w:rsidRPr="003C0ED1" w14:paraId="669DF4B8" w14:textId="77777777" w:rsidTr="00FD2C02">
        <w:trPr>
          <w:trHeight w:val="300"/>
        </w:trPr>
        <w:tc>
          <w:tcPr>
            <w:tcW w:w="10340" w:type="dxa"/>
            <w:gridSpan w:val="12"/>
            <w:shd w:val="clear" w:color="auto" w:fill="auto"/>
            <w:noWrap/>
            <w:vAlign w:val="center"/>
          </w:tcPr>
          <w:p w14:paraId="4E3F1F3B" w14:textId="77777777" w:rsidR="00505AFE" w:rsidRPr="003C0ED1" w:rsidRDefault="00505AFE" w:rsidP="00FD2C02">
            <w:pPr>
              <w:widowControl/>
              <w:jc w:val="center"/>
              <w:rPr>
                <w:sz w:val="22"/>
                <w:szCs w:val="22"/>
              </w:rPr>
            </w:pPr>
            <w:r w:rsidRPr="003C0ED1">
              <w:rPr>
                <w:sz w:val="22"/>
                <w:szCs w:val="22"/>
              </w:rPr>
              <w:t>Для потребителей, в случае отсутствия дифференциации тарифов по схеме подключения</w:t>
            </w:r>
          </w:p>
        </w:tc>
      </w:tr>
      <w:tr w:rsidR="00505AFE" w:rsidRPr="003C0ED1" w14:paraId="3911812E" w14:textId="77777777" w:rsidTr="00FD2C02">
        <w:trPr>
          <w:trHeight w:val="300"/>
        </w:trPr>
        <w:tc>
          <w:tcPr>
            <w:tcW w:w="10340" w:type="dxa"/>
            <w:gridSpan w:val="12"/>
            <w:shd w:val="clear" w:color="auto" w:fill="auto"/>
            <w:noWrap/>
            <w:vAlign w:val="center"/>
          </w:tcPr>
          <w:p w14:paraId="54C23253" w14:textId="77777777" w:rsidR="00505AFE" w:rsidRPr="003C0ED1" w:rsidRDefault="00505AFE" w:rsidP="00FD2C02">
            <w:pPr>
              <w:widowControl/>
              <w:jc w:val="center"/>
              <w:rPr>
                <w:sz w:val="22"/>
                <w:szCs w:val="22"/>
              </w:rPr>
            </w:pPr>
            <w:r w:rsidRPr="003C0ED1">
              <w:rPr>
                <w:sz w:val="22"/>
                <w:szCs w:val="22"/>
              </w:rPr>
              <w:t>Население (НДС не облагается)</w:t>
            </w:r>
          </w:p>
        </w:tc>
      </w:tr>
      <w:tr w:rsidR="00505AFE" w:rsidRPr="003C0ED1" w14:paraId="02A2CD8D" w14:textId="77777777" w:rsidTr="00FD2C02">
        <w:trPr>
          <w:gridAfter w:val="1"/>
          <w:wAfter w:w="6" w:type="dxa"/>
          <w:trHeight w:val="539"/>
        </w:trPr>
        <w:tc>
          <w:tcPr>
            <w:tcW w:w="568" w:type="dxa"/>
            <w:vMerge w:val="restart"/>
            <w:shd w:val="clear" w:color="auto" w:fill="auto"/>
            <w:noWrap/>
            <w:vAlign w:val="center"/>
          </w:tcPr>
          <w:p w14:paraId="6F95922E" w14:textId="77777777" w:rsidR="00505AFE" w:rsidRPr="003C0ED1" w:rsidRDefault="00505AFE" w:rsidP="00FD2C02">
            <w:pPr>
              <w:jc w:val="center"/>
              <w:rPr>
                <w:sz w:val="22"/>
                <w:szCs w:val="22"/>
              </w:rPr>
            </w:pPr>
            <w:r w:rsidRPr="003C0ED1">
              <w:rPr>
                <w:sz w:val="22"/>
                <w:szCs w:val="22"/>
              </w:rPr>
              <w:t>1.</w:t>
            </w:r>
          </w:p>
        </w:tc>
        <w:tc>
          <w:tcPr>
            <w:tcW w:w="1842" w:type="dxa"/>
            <w:vMerge w:val="restart"/>
            <w:shd w:val="clear" w:color="auto" w:fill="auto"/>
            <w:vAlign w:val="center"/>
          </w:tcPr>
          <w:p w14:paraId="5815F20F" w14:textId="77777777" w:rsidR="00505AFE" w:rsidRPr="003C0ED1" w:rsidRDefault="00505AFE" w:rsidP="00FD2C02">
            <w:pPr>
              <w:widowControl/>
              <w:rPr>
                <w:sz w:val="22"/>
                <w:szCs w:val="22"/>
              </w:rPr>
            </w:pPr>
            <w:r w:rsidRPr="0002583D">
              <w:rPr>
                <w:sz w:val="22"/>
                <w:szCs w:val="22"/>
              </w:rPr>
              <w:t xml:space="preserve">ООО «ИнвестЭнерго» (от БМК с. </w:t>
            </w:r>
            <w:proofErr w:type="spellStart"/>
            <w:r w:rsidRPr="0002583D">
              <w:rPr>
                <w:sz w:val="22"/>
                <w:szCs w:val="22"/>
              </w:rPr>
              <w:t>Михалево</w:t>
            </w:r>
            <w:proofErr w:type="spellEnd"/>
            <w:r w:rsidRPr="0002583D">
              <w:rPr>
                <w:sz w:val="22"/>
                <w:szCs w:val="22"/>
              </w:rPr>
              <w:t xml:space="preserve"> Ивановского района)</w:t>
            </w:r>
          </w:p>
        </w:tc>
        <w:tc>
          <w:tcPr>
            <w:tcW w:w="1134" w:type="dxa"/>
            <w:vMerge w:val="restart"/>
            <w:shd w:val="clear" w:color="auto" w:fill="auto"/>
            <w:vAlign w:val="center"/>
          </w:tcPr>
          <w:p w14:paraId="5CF41352" w14:textId="77777777" w:rsidR="00505AFE" w:rsidRPr="003C0ED1" w:rsidRDefault="00505AFE" w:rsidP="00FD2C02">
            <w:pPr>
              <w:widowControl/>
              <w:jc w:val="center"/>
              <w:rPr>
                <w:sz w:val="22"/>
                <w:szCs w:val="22"/>
              </w:rPr>
            </w:pPr>
            <w:r w:rsidRPr="003C0ED1">
              <w:rPr>
                <w:sz w:val="22"/>
                <w:szCs w:val="22"/>
              </w:rPr>
              <w:t>Одноставочный, руб./Гкал</w:t>
            </w:r>
          </w:p>
        </w:tc>
        <w:tc>
          <w:tcPr>
            <w:tcW w:w="709" w:type="dxa"/>
            <w:shd w:val="clear" w:color="auto" w:fill="auto"/>
            <w:noWrap/>
            <w:vAlign w:val="center"/>
          </w:tcPr>
          <w:p w14:paraId="1A9623E2" w14:textId="77777777" w:rsidR="00505AFE" w:rsidRPr="003C0ED1" w:rsidRDefault="00505AFE" w:rsidP="00FD2C02">
            <w:pPr>
              <w:jc w:val="center"/>
              <w:rPr>
                <w:sz w:val="22"/>
                <w:szCs w:val="22"/>
              </w:rPr>
            </w:pPr>
            <w:r w:rsidRPr="003C0ED1">
              <w:rPr>
                <w:sz w:val="22"/>
                <w:szCs w:val="22"/>
              </w:rPr>
              <w:t>2024</w:t>
            </w:r>
          </w:p>
        </w:tc>
        <w:tc>
          <w:tcPr>
            <w:tcW w:w="1418" w:type="dxa"/>
            <w:shd w:val="clear" w:color="auto" w:fill="auto"/>
            <w:noWrap/>
            <w:vAlign w:val="center"/>
          </w:tcPr>
          <w:p w14:paraId="0CEB4895" w14:textId="77777777" w:rsidR="00505AFE" w:rsidRPr="003C0ED1" w:rsidRDefault="00505AFE" w:rsidP="00FD2C02">
            <w:pPr>
              <w:widowControl/>
              <w:jc w:val="center"/>
              <w:rPr>
                <w:sz w:val="22"/>
                <w:szCs w:val="22"/>
              </w:rPr>
            </w:pPr>
            <w:r w:rsidRPr="0097450E">
              <w:rPr>
                <w:sz w:val="22"/>
                <w:szCs w:val="22"/>
              </w:rPr>
              <w:t>3 217,42</w:t>
            </w:r>
          </w:p>
        </w:tc>
        <w:tc>
          <w:tcPr>
            <w:tcW w:w="1417" w:type="dxa"/>
            <w:shd w:val="clear" w:color="auto" w:fill="auto"/>
            <w:vAlign w:val="center"/>
          </w:tcPr>
          <w:p w14:paraId="394C2770" w14:textId="77777777" w:rsidR="00505AFE" w:rsidRPr="003C0ED1" w:rsidRDefault="00505AFE" w:rsidP="00FD2C02">
            <w:pPr>
              <w:widowControl/>
              <w:jc w:val="center"/>
              <w:rPr>
                <w:sz w:val="22"/>
                <w:szCs w:val="22"/>
              </w:rPr>
            </w:pPr>
            <w:r w:rsidRPr="0097450E">
              <w:rPr>
                <w:sz w:val="22"/>
                <w:szCs w:val="22"/>
              </w:rPr>
              <w:t>3 486,57</w:t>
            </w:r>
          </w:p>
        </w:tc>
        <w:tc>
          <w:tcPr>
            <w:tcW w:w="546" w:type="dxa"/>
            <w:shd w:val="clear" w:color="auto" w:fill="auto"/>
            <w:noWrap/>
            <w:vAlign w:val="center"/>
          </w:tcPr>
          <w:p w14:paraId="3991CD14" w14:textId="77777777" w:rsidR="00505AFE" w:rsidRPr="003C0ED1" w:rsidRDefault="00505AFE" w:rsidP="00FD2C02">
            <w:pPr>
              <w:widowControl/>
              <w:jc w:val="center"/>
              <w:rPr>
                <w:sz w:val="22"/>
                <w:szCs w:val="22"/>
              </w:rPr>
            </w:pPr>
            <w:r w:rsidRPr="003C0ED1">
              <w:rPr>
                <w:sz w:val="22"/>
                <w:szCs w:val="22"/>
              </w:rPr>
              <w:t>-</w:t>
            </w:r>
          </w:p>
        </w:tc>
        <w:tc>
          <w:tcPr>
            <w:tcW w:w="720" w:type="dxa"/>
            <w:vAlign w:val="center"/>
          </w:tcPr>
          <w:p w14:paraId="2975467E" w14:textId="77777777" w:rsidR="00505AFE" w:rsidRPr="003C0ED1" w:rsidRDefault="00505AFE" w:rsidP="00FD2C02">
            <w:pPr>
              <w:widowControl/>
              <w:jc w:val="center"/>
              <w:rPr>
                <w:sz w:val="22"/>
                <w:szCs w:val="22"/>
              </w:rPr>
            </w:pPr>
            <w:r w:rsidRPr="003C0ED1">
              <w:rPr>
                <w:sz w:val="22"/>
                <w:szCs w:val="22"/>
              </w:rPr>
              <w:t>-</w:t>
            </w:r>
          </w:p>
        </w:tc>
        <w:tc>
          <w:tcPr>
            <w:tcW w:w="720" w:type="dxa"/>
            <w:vAlign w:val="center"/>
          </w:tcPr>
          <w:p w14:paraId="131E1B87" w14:textId="77777777" w:rsidR="00505AFE" w:rsidRPr="003C0ED1" w:rsidRDefault="00505AFE" w:rsidP="00FD2C02">
            <w:pPr>
              <w:widowControl/>
              <w:jc w:val="center"/>
              <w:rPr>
                <w:sz w:val="22"/>
                <w:szCs w:val="22"/>
              </w:rPr>
            </w:pPr>
            <w:r w:rsidRPr="003C0ED1">
              <w:rPr>
                <w:sz w:val="22"/>
                <w:szCs w:val="22"/>
              </w:rPr>
              <w:t>-</w:t>
            </w:r>
          </w:p>
        </w:tc>
        <w:tc>
          <w:tcPr>
            <w:tcW w:w="540" w:type="dxa"/>
            <w:vAlign w:val="center"/>
          </w:tcPr>
          <w:p w14:paraId="0512D606" w14:textId="77777777" w:rsidR="00505AFE" w:rsidRPr="003C0ED1" w:rsidRDefault="00505AFE" w:rsidP="00FD2C02">
            <w:pPr>
              <w:widowControl/>
              <w:jc w:val="center"/>
              <w:rPr>
                <w:sz w:val="22"/>
                <w:szCs w:val="22"/>
              </w:rPr>
            </w:pPr>
            <w:r w:rsidRPr="003C0ED1">
              <w:rPr>
                <w:sz w:val="22"/>
                <w:szCs w:val="22"/>
              </w:rPr>
              <w:t>-</w:t>
            </w:r>
          </w:p>
        </w:tc>
        <w:tc>
          <w:tcPr>
            <w:tcW w:w="720" w:type="dxa"/>
            <w:shd w:val="clear" w:color="auto" w:fill="auto"/>
            <w:noWrap/>
            <w:vAlign w:val="center"/>
          </w:tcPr>
          <w:p w14:paraId="3EA95EB3" w14:textId="77777777" w:rsidR="00505AFE" w:rsidRPr="003C0ED1" w:rsidRDefault="00505AFE" w:rsidP="00FD2C02">
            <w:pPr>
              <w:jc w:val="center"/>
              <w:rPr>
                <w:sz w:val="22"/>
                <w:szCs w:val="22"/>
              </w:rPr>
            </w:pPr>
            <w:r w:rsidRPr="003C0ED1">
              <w:rPr>
                <w:sz w:val="22"/>
                <w:szCs w:val="22"/>
              </w:rPr>
              <w:t>-</w:t>
            </w:r>
          </w:p>
        </w:tc>
      </w:tr>
      <w:tr w:rsidR="00505AFE" w:rsidRPr="003C0ED1" w14:paraId="1D95CA49" w14:textId="77777777" w:rsidTr="00FD2C02">
        <w:trPr>
          <w:gridAfter w:val="1"/>
          <w:wAfter w:w="6" w:type="dxa"/>
          <w:trHeight w:val="472"/>
        </w:trPr>
        <w:tc>
          <w:tcPr>
            <w:tcW w:w="568" w:type="dxa"/>
            <w:vMerge/>
            <w:shd w:val="clear" w:color="auto" w:fill="auto"/>
            <w:noWrap/>
            <w:vAlign w:val="center"/>
          </w:tcPr>
          <w:p w14:paraId="3AB44981" w14:textId="77777777" w:rsidR="00505AFE" w:rsidRPr="003C0ED1" w:rsidRDefault="00505AFE" w:rsidP="00FD2C02">
            <w:pPr>
              <w:jc w:val="center"/>
              <w:rPr>
                <w:sz w:val="22"/>
                <w:szCs w:val="22"/>
              </w:rPr>
            </w:pPr>
          </w:p>
        </w:tc>
        <w:tc>
          <w:tcPr>
            <w:tcW w:w="1842" w:type="dxa"/>
            <w:vMerge/>
            <w:shd w:val="clear" w:color="auto" w:fill="auto"/>
            <w:vAlign w:val="center"/>
          </w:tcPr>
          <w:p w14:paraId="3174A4F2" w14:textId="77777777" w:rsidR="00505AFE" w:rsidRPr="003C0ED1" w:rsidRDefault="00505AFE" w:rsidP="00FD2C02">
            <w:pPr>
              <w:widowControl/>
              <w:rPr>
                <w:sz w:val="22"/>
                <w:szCs w:val="22"/>
              </w:rPr>
            </w:pPr>
          </w:p>
        </w:tc>
        <w:tc>
          <w:tcPr>
            <w:tcW w:w="1134" w:type="dxa"/>
            <w:vMerge/>
            <w:shd w:val="clear" w:color="auto" w:fill="auto"/>
            <w:vAlign w:val="center"/>
          </w:tcPr>
          <w:p w14:paraId="62E8A28A" w14:textId="77777777" w:rsidR="00505AFE" w:rsidRPr="003C0ED1" w:rsidRDefault="00505AFE" w:rsidP="00FD2C02">
            <w:pPr>
              <w:widowControl/>
              <w:jc w:val="center"/>
              <w:rPr>
                <w:sz w:val="22"/>
                <w:szCs w:val="22"/>
              </w:rPr>
            </w:pPr>
          </w:p>
        </w:tc>
        <w:tc>
          <w:tcPr>
            <w:tcW w:w="709" w:type="dxa"/>
            <w:shd w:val="clear" w:color="auto" w:fill="auto"/>
            <w:noWrap/>
            <w:vAlign w:val="center"/>
          </w:tcPr>
          <w:p w14:paraId="11B0850B" w14:textId="77777777" w:rsidR="00505AFE" w:rsidRPr="003C0ED1" w:rsidRDefault="00505AFE" w:rsidP="00FD2C02">
            <w:pPr>
              <w:jc w:val="center"/>
              <w:rPr>
                <w:sz w:val="22"/>
                <w:szCs w:val="22"/>
              </w:rPr>
            </w:pPr>
            <w:r w:rsidRPr="003C0ED1">
              <w:rPr>
                <w:sz w:val="22"/>
                <w:szCs w:val="22"/>
              </w:rPr>
              <w:t>2025</w:t>
            </w:r>
          </w:p>
        </w:tc>
        <w:tc>
          <w:tcPr>
            <w:tcW w:w="1418" w:type="dxa"/>
            <w:shd w:val="clear" w:color="auto" w:fill="auto"/>
            <w:noWrap/>
            <w:vAlign w:val="center"/>
          </w:tcPr>
          <w:p w14:paraId="3BECA29B" w14:textId="77777777" w:rsidR="00505AFE" w:rsidRPr="003C0ED1" w:rsidRDefault="00505AFE" w:rsidP="00FD2C02">
            <w:pPr>
              <w:widowControl/>
              <w:jc w:val="center"/>
              <w:rPr>
                <w:sz w:val="22"/>
                <w:szCs w:val="22"/>
              </w:rPr>
            </w:pPr>
            <w:r w:rsidRPr="0097450E">
              <w:rPr>
                <w:sz w:val="22"/>
                <w:szCs w:val="22"/>
              </w:rPr>
              <w:t>3 486,57</w:t>
            </w:r>
          </w:p>
        </w:tc>
        <w:tc>
          <w:tcPr>
            <w:tcW w:w="1417" w:type="dxa"/>
            <w:shd w:val="clear" w:color="auto" w:fill="auto"/>
            <w:vAlign w:val="center"/>
          </w:tcPr>
          <w:p w14:paraId="0026E336" w14:textId="77777777" w:rsidR="00505AFE" w:rsidRPr="003C0ED1" w:rsidRDefault="00505AFE" w:rsidP="00FD2C02">
            <w:pPr>
              <w:widowControl/>
              <w:jc w:val="center"/>
              <w:rPr>
                <w:sz w:val="22"/>
                <w:szCs w:val="22"/>
              </w:rPr>
            </w:pPr>
            <w:r w:rsidRPr="0097450E">
              <w:rPr>
                <w:sz w:val="22"/>
                <w:szCs w:val="22"/>
              </w:rPr>
              <w:t>3 723,66</w:t>
            </w:r>
          </w:p>
        </w:tc>
        <w:tc>
          <w:tcPr>
            <w:tcW w:w="546" w:type="dxa"/>
            <w:shd w:val="clear" w:color="auto" w:fill="auto"/>
            <w:noWrap/>
            <w:vAlign w:val="center"/>
          </w:tcPr>
          <w:p w14:paraId="6EE74C5B" w14:textId="77777777" w:rsidR="00505AFE" w:rsidRPr="003C0ED1" w:rsidRDefault="00505AFE" w:rsidP="00FD2C02">
            <w:pPr>
              <w:widowControl/>
              <w:jc w:val="center"/>
              <w:rPr>
                <w:sz w:val="22"/>
                <w:szCs w:val="22"/>
              </w:rPr>
            </w:pPr>
            <w:r w:rsidRPr="003C0ED1">
              <w:rPr>
                <w:sz w:val="22"/>
                <w:szCs w:val="22"/>
              </w:rPr>
              <w:t>-</w:t>
            </w:r>
          </w:p>
        </w:tc>
        <w:tc>
          <w:tcPr>
            <w:tcW w:w="720" w:type="dxa"/>
            <w:vAlign w:val="center"/>
          </w:tcPr>
          <w:p w14:paraId="3A6932AD" w14:textId="77777777" w:rsidR="00505AFE" w:rsidRPr="003C0ED1" w:rsidRDefault="00505AFE" w:rsidP="00FD2C02">
            <w:pPr>
              <w:widowControl/>
              <w:jc w:val="center"/>
              <w:rPr>
                <w:sz w:val="22"/>
                <w:szCs w:val="22"/>
              </w:rPr>
            </w:pPr>
            <w:r w:rsidRPr="003C0ED1">
              <w:rPr>
                <w:sz w:val="22"/>
                <w:szCs w:val="22"/>
              </w:rPr>
              <w:t>-</w:t>
            </w:r>
          </w:p>
        </w:tc>
        <w:tc>
          <w:tcPr>
            <w:tcW w:w="720" w:type="dxa"/>
            <w:vAlign w:val="center"/>
          </w:tcPr>
          <w:p w14:paraId="70C9E332" w14:textId="77777777" w:rsidR="00505AFE" w:rsidRPr="003C0ED1" w:rsidRDefault="00505AFE" w:rsidP="00FD2C02">
            <w:pPr>
              <w:widowControl/>
              <w:jc w:val="center"/>
              <w:rPr>
                <w:sz w:val="22"/>
                <w:szCs w:val="22"/>
              </w:rPr>
            </w:pPr>
            <w:r w:rsidRPr="003C0ED1">
              <w:rPr>
                <w:sz w:val="22"/>
                <w:szCs w:val="22"/>
              </w:rPr>
              <w:t>-</w:t>
            </w:r>
          </w:p>
        </w:tc>
        <w:tc>
          <w:tcPr>
            <w:tcW w:w="540" w:type="dxa"/>
            <w:vAlign w:val="center"/>
          </w:tcPr>
          <w:p w14:paraId="0C1DF8E4" w14:textId="77777777" w:rsidR="00505AFE" w:rsidRPr="003C0ED1" w:rsidRDefault="00505AFE" w:rsidP="00FD2C02">
            <w:pPr>
              <w:widowControl/>
              <w:jc w:val="center"/>
              <w:rPr>
                <w:sz w:val="22"/>
                <w:szCs w:val="22"/>
              </w:rPr>
            </w:pPr>
            <w:r w:rsidRPr="003C0ED1">
              <w:rPr>
                <w:sz w:val="22"/>
                <w:szCs w:val="22"/>
              </w:rPr>
              <w:t>-</w:t>
            </w:r>
          </w:p>
        </w:tc>
        <w:tc>
          <w:tcPr>
            <w:tcW w:w="720" w:type="dxa"/>
            <w:shd w:val="clear" w:color="auto" w:fill="auto"/>
            <w:noWrap/>
            <w:vAlign w:val="center"/>
          </w:tcPr>
          <w:p w14:paraId="74E202E4" w14:textId="77777777" w:rsidR="00505AFE" w:rsidRPr="003C0ED1" w:rsidRDefault="00505AFE" w:rsidP="00FD2C02">
            <w:pPr>
              <w:jc w:val="center"/>
              <w:rPr>
                <w:sz w:val="22"/>
                <w:szCs w:val="22"/>
              </w:rPr>
            </w:pPr>
            <w:r w:rsidRPr="003C0ED1">
              <w:rPr>
                <w:sz w:val="22"/>
                <w:szCs w:val="22"/>
              </w:rPr>
              <w:t>-</w:t>
            </w:r>
          </w:p>
        </w:tc>
      </w:tr>
      <w:tr w:rsidR="00505AFE" w:rsidRPr="003C0ED1" w14:paraId="3A425C0B" w14:textId="77777777" w:rsidTr="00FD2C02">
        <w:trPr>
          <w:gridAfter w:val="1"/>
          <w:wAfter w:w="6" w:type="dxa"/>
          <w:trHeight w:val="496"/>
        </w:trPr>
        <w:tc>
          <w:tcPr>
            <w:tcW w:w="568" w:type="dxa"/>
            <w:vMerge/>
            <w:shd w:val="clear" w:color="auto" w:fill="auto"/>
            <w:noWrap/>
            <w:vAlign w:val="center"/>
          </w:tcPr>
          <w:p w14:paraId="167E03E6" w14:textId="77777777" w:rsidR="00505AFE" w:rsidRPr="003C0ED1" w:rsidRDefault="00505AFE" w:rsidP="00FD2C02">
            <w:pPr>
              <w:jc w:val="center"/>
              <w:rPr>
                <w:sz w:val="22"/>
                <w:szCs w:val="22"/>
              </w:rPr>
            </w:pPr>
          </w:p>
        </w:tc>
        <w:tc>
          <w:tcPr>
            <w:tcW w:w="1842" w:type="dxa"/>
            <w:vMerge/>
            <w:shd w:val="clear" w:color="auto" w:fill="auto"/>
            <w:vAlign w:val="center"/>
          </w:tcPr>
          <w:p w14:paraId="7B685CED" w14:textId="77777777" w:rsidR="00505AFE" w:rsidRPr="003C0ED1" w:rsidRDefault="00505AFE" w:rsidP="00FD2C02">
            <w:pPr>
              <w:widowControl/>
              <w:rPr>
                <w:sz w:val="22"/>
                <w:szCs w:val="22"/>
              </w:rPr>
            </w:pPr>
          </w:p>
        </w:tc>
        <w:tc>
          <w:tcPr>
            <w:tcW w:w="1134" w:type="dxa"/>
            <w:vMerge/>
            <w:shd w:val="clear" w:color="auto" w:fill="auto"/>
            <w:vAlign w:val="center"/>
          </w:tcPr>
          <w:p w14:paraId="6DC1F026" w14:textId="77777777" w:rsidR="00505AFE" w:rsidRPr="003C0ED1" w:rsidRDefault="00505AFE" w:rsidP="00FD2C02">
            <w:pPr>
              <w:widowControl/>
              <w:jc w:val="center"/>
              <w:rPr>
                <w:sz w:val="22"/>
                <w:szCs w:val="22"/>
              </w:rPr>
            </w:pPr>
          </w:p>
        </w:tc>
        <w:tc>
          <w:tcPr>
            <w:tcW w:w="709" w:type="dxa"/>
            <w:shd w:val="clear" w:color="auto" w:fill="auto"/>
            <w:noWrap/>
            <w:vAlign w:val="center"/>
          </w:tcPr>
          <w:p w14:paraId="4426CBFA" w14:textId="77777777" w:rsidR="00505AFE" w:rsidRPr="003C0ED1" w:rsidRDefault="00505AFE" w:rsidP="00FD2C02">
            <w:pPr>
              <w:jc w:val="center"/>
              <w:rPr>
                <w:sz w:val="22"/>
                <w:szCs w:val="22"/>
              </w:rPr>
            </w:pPr>
            <w:r w:rsidRPr="003C0ED1">
              <w:rPr>
                <w:sz w:val="22"/>
                <w:szCs w:val="22"/>
              </w:rPr>
              <w:t>2026</w:t>
            </w:r>
          </w:p>
        </w:tc>
        <w:tc>
          <w:tcPr>
            <w:tcW w:w="1418" w:type="dxa"/>
            <w:shd w:val="clear" w:color="auto" w:fill="auto"/>
            <w:noWrap/>
            <w:vAlign w:val="center"/>
          </w:tcPr>
          <w:p w14:paraId="1F6C1E7F" w14:textId="77777777" w:rsidR="00505AFE" w:rsidRPr="003C0ED1" w:rsidRDefault="00505AFE" w:rsidP="00FD2C02">
            <w:pPr>
              <w:widowControl/>
              <w:jc w:val="center"/>
              <w:rPr>
                <w:sz w:val="22"/>
                <w:szCs w:val="22"/>
              </w:rPr>
            </w:pPr>
            <w:r w:rsidRPr="0097450E">
              <w:rPr>
                <w:sz w:val="22"/>
                <w:szCs w:val="22"/>
              </w:rPr>
              <w:t>3 723,66</w:t>
            </w:r>
          </w:p>
        </w:tc>
        <w:tc>
          <w:tcPr>
            <w:tcW w:w="1417" w:type="dxa"/>
            <w:shd w:val="clear" w:color="auto" w:fill="auto"/>
            <w:vAlign w:val="center"/>
          </w:tcPr>
          <w:p w14:paraId="11DABE77" w14:textId="77777777" w:rsidR="00505AFE" w:rsidRPr="003C0ED1" w:rsidRDefault="00505AFE" w:rsidP="00FD2C02">
            <w:pPr>
              <w:widowControl/>
              <w:jc w:val="center"/>
              <w:rPr>
                <w:sz w:val="22"/>
                <w:szCs w:val="22"/>
              </w:rPr>
            </w:pPr>
            <w:r w:rsidRPr="0097450E">
              <w:rPr>
                <w:sz w:val="22"/>
                <w:szCs w:val="22"/>
              </w:rPr>
              <w:t>3 913,57</w:t>
            </w:r>
          </w:p>
        </w:tc>
        <w:tc>
          <w:tcPr>
            <w:tcW w:w="546" w:type="dxa"/>
            <w:shd w:val="clear" w:color="auto" w:fill="auto"/>
            <w:noWrap/>
            <w:vAlign w:val="center"/>
          </w:tcPr>
          <w:p w14:paraId="0FC983EB" w14:textId="77777777" w:rsidR="00505AFE" w:rsidRPr="003C0ED1" w:rsidRDefault="00505AFE" w:rsidP="00FD2C02">
            <w:pPr>
              <w:widowControl/>
              <w:jc w:val="center"/>
              <w:rPr>
                <w:sz w:val="22"/>
                <w:szCs w:val="22"/>
              </w:rPr>
            </w:pPr>
            <w:r w:rsidRPr="003C0ED1">
              <w:rPr>
                <w:sz w:val="22"/>
                <w:szCs w:val="22"/>
              </w:rPr>
              <w:t>-</w:t>
            </w:r>
          </w:p>
        </w:tc>
        <w:tc>
          <w:tcPr>
            <w:tcW w:w="720" w:type="dxa"/>
            <w:vAlign w:val="center"/>
          </w:tcPr>
          <w:p w14:paraId="40D69A0D" w14:textId="77777777" w:rsidR="00505AFE" w:rsidRPr="003C0ED1" w:rsidRDefault="00505AFE" w:rsidP="00FD2C02">
            <w:pPr>
              <w:widowControl/>
              <w:jc w:val="center"/>
              <w:rPr>
                <w:sz w:val="22"/>
                <w:szCs w:val="22"/>
              </w:rPr>
            </w:pPr>
            <w:r w:rsidRPr="003C0ED1">
              <w:rPr>
                <w:sz w:val="22"/>
                <w:szCs w:val="22"/>
              </w:rPr>
              <w:t>-</w:t>
            </w:r>
          </w:p>
        </w:tc>
        <w:tc>
          <w:tcPr>
            <w:tcW w:w="720" w:type="dxa"/>
            <w:vAlign w:val="center"/>
          </w:tcPr>
          <w:p w14:paraId="03E0A9BC" w14:textId="77777777" w:rsidR="00505AFE" w:rsidRPr="003C0ED1" w:rsidRDefault="00505AFE" w:rsidP="00FD2C02">
            <w:pPr>
              <w:widowControl/>
              <w:jc w:val="center"/>
              <w:rPr>
                <w:sz w:val="22"/>
                <w:szCs w:val="22"/>
              </w:rPr>
            </w:pPr>
            <w:r w:rsidRPr="003C0ED1">
              <w:rPr>
                <w:sz w:val="22"/>
                <w:szCs w:val="22"/>
              </w:rPr>
              <w:t>-</w:t>
            </w:r>
          </w:p>
        </w:tc>
        <w:tc>
          <w:tcPr>
            <w:tcW w:w="540" w:type="dxa"/>
            <w:vAlign w:val="center"/>
          </w:tcPr>
          <w:p w14:paraId="5CDC4FEF" w14:textId="77777777" w:rsidR="00505AFE" w:rsidRPr="003C0ED1" w:rsidRDefault="00505AFE" w:rsidP="00FD2C02">
            <w:pPr>
              <w:widowControl/>
              <w:jc w:val="center"/>
              <w:rPr>
                <w:sz w:val="22"/>
                <w:szCs w:val="22"/>
              </w:rPr>
            </w:pPr>
            <w:r w:rsidRPr="003C0ED1">
              <w:rPr>
                <w:sz w:val="22"/>
                <w:szCs w:val="22"/>
              </w:rPr>
              <w:t>-</w:t>
            </w:r>
          </w:p>
        </w:tc>
        <w:tc>
          <w:tcPr>
            <w:tcW w:w="720" w:type="dxa"/>
            <w:shd w:val="clear" w:color="auto" w:fill="auto"/>
            <w:noWrap/>
            <w:vAlign w:val="center"/>
          </w:tcPr>
          <w:p w14:paraId="0AF37E56" w14:textId="77777777" w:rsidR="00505AFE" w:rsidRPr="003C0ED1" w:rsidRDefault="00505AFE" w:rsidP="00FD2C02">
            <w:pPr>
              <w:jc w:val="center"/>
              <w:rPr>
                <w:sz w:val="22"/>
                <w:szCs w:val="22"/>
              </w:rPr>
            </w:pPr>
            <w:r w:rsidRPr="003C0ED1">
              <w:rPr>
                <w:sz w:val="22"/>
                <w:szCs w:val="22"/>
              </w:rPr>
              <w:t>-</w:t>
            </w:r>
          </w:p>
        </w:tc>
      </w:tr>
      <w:bookmarkEnd w:id="3"/>
    </w:tbl>
    <w:p w14:paraId="1ED1F1AF" w14:textId="77777777" w:rsidR="00505AFE" w:rsidRPr="003C0ED1" w:rsidRDefault="00505AFE" w:rsidP="00505AFE">
      <w:pPr>
        <w:widowControl/>
        <w:autoSpaceDE w:val="0"/>
        <w:autoSpaceDN w:val="0"/>
        <w:adjustRightInd w:val="0"/>
        <w:ind w:right="-283" w:firstLine="567"/>
        <w:jc w:val="both"/>
        <w:rPr>
          <w:sz w:val="22"/>
          <w:szCs w:val="22"/>
        </w:rPr>
      </w:pPr>
    </w:p>
    <w:p w14:paraId="77317853" w14:textId="77777777" w:rsidR="00505AFE" w:rsidRPr="003C0ED1" w:rsidRDefault="00505AFE" w:rsidP="00505AFE">
      <w:pPr>
        <w:widowControl/>
        <w:autoSpaceDE w:val="0"/>
        <w:autoSpaceDN w:val="0"/>
        <w:adjustRightInd w:val="0"/>
        <w:ind w:firstLine="540"/>
        <w:jc w:val="both"/>
        <w:outlineLvl w:val="3"/>
        <w:rPr>
          <w:sz w:val="22"/>
          <w:szCs w:val="22"/>
        </w:rPr>
      </w:pPr>
      <w:r w:rsidRPr="003C0ED1">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3FE1F95F" w14:textId="77777777" w:rsidR="00505AFE" w:rsidRPr="008D25F7" w:rsidRDefault="00505AFE" w:rsidP="00505AFE">
      <w:pPr>
        <w:widowControl/>
        <w:autoSpaceDE w:val="0"/>
        <w:autoSpaceDN w:val="0"/>
        <w:adjustRightInd w:val="0"/>
        <w:ind w:firstLine="540"/>
        <w:jc w:val="both"/>
        <w:rPr>
          <w:sz w:val="22"/>
          <w:szCs w:val="22"/>
        </w:rPr>
      </w:pPr>
      <w:r w:rsidRPr="008D25F7">
        <w:rPr>
          <w:sz w:val="22"/>
          <w:szCs w:val="22"/>
        </w:rPr>
        <w:t>&lt;*&gt; В 2024 году тариф действует с 21.06.2024 г.</w:t>
      </w:r>
    </w:p>
    <w:p w14:paraId="6CC92A5E" w14:textId="77777777" w:rsidR="00505AFE" w:rsidRDefault="00505AFE" w:rsidP="00505AFE">
      <w:pPr>
        <w:tabs>
          <w:tab w:val="left" w:pos="993"/>
          <w:tab w:val="left" w:pos="1134"/>
        </w:tabs>
        <w:jc w:val="both"/>
        <w:rPr>
          <w:sz w:val="24"/>
          <w:szCs w:val="24"/>
        </w:rPr>
      </w:pPr>
    </w:p>
    <w:p w14:paraId="46A7699E" w14:textId="41421B04" w:rsidR="00505AFE" w:rsidRDefault="00505AFE" w:rsidP="00505AFE">
      <w:pPr>
        <w:numPr>
          <w:ilvl w:val="0"/>
          <w:numId w:val="15"/>
        </w:numPr>
        <w:tabs>
          <w:tab w:val="left" w:pos="993"/>
          <w:tab w:val="left" w:pos="1134"/>
        </w:tabs>
        <w:ind w:left="0" w:firstLine="709"/>
        <w:jc w:val="both"/>
        <w:rPr>
          <w:sz w:val="24"/>
          <w:szCs w:val="24"/>
        </w:rPr>
      </w:pPr>
      <w:r w:rsidRPr="00505AFE">
        <w:rPr>
          <w:sz w:val="24"/>
          <w:szCs w:val="24"/>
        </w:rPr>
        <w:t xml:space="preserve">Установить долгосрочные параметры регулирования для формирования тарифов с использованием метода индексации установленных тарифов для ООО «ИнвестЭнерго» </w:t>
      </w:r>
      <w:r w:rsidRPr="00505AFE">
        <w:rPr>
          <w:bCs/>
          <w:sz w:val="24"/>
          <w:szCs w:val="24"/>
        </w:rPr>
        <w:t xml:space="preserve">(от БМК с. </w:t>
      </w:r>
      <w:proofErr w:type="spellStart"/>
      <w:r w:rsidRPr="00505AFE">
        <w:rPr>
          <w:bCs/>
          <w:sz w:val="24"/>
          <w:szCs w:val="24"/>
        </w:rPr>
        <w:t>Михалево</w:t>
      </w:r>
      <w:proofErr w:type="spellEnd"/>
      <w:r w:rsidRPr="00505AFE">
        <w:rPr>
          <w:bCs/>
          <w:sz w:val="24"/>
          <w:szCs w:val="24"/>
        </w:rPr>
        <w:t xml:space="preserve"> Ивановского района)</w:t>
      </w:r>
      <w:r w:rsidRPr="00505AFE">
        <w:rPr>
          <w:sz w:val="24"/>
          <w:szCs w:val="24"/>
        </w:rPr>
        <w:t xml:space="preserve"> на 2024-2026 годы.</w:t>
      </w:r>
    </w:p>
    <w:p w14:paraId="1B95C36F" w14:textId="77777777" w:rsidR="00505AFE" w:rsidRDefault="00505AFE" w:rsidP="00505AFE">
      <w:pPr>
        <w:tabs>
          <w:tab w:val="left" w:pos="993"/>
          <w:tab w:val="left" w:pos="1134"/>
        </w:tabs>
        <w:jc w:val="both"/>
        <w:rPr>
          <w:sz w:val="24"/>
          <w:szCs w:val="24"/>
        </w:rPr>
      </w:pPr>
    </w:p>
    <w:p w14:paraId="2A1DE461" w14:textId="77777777" w:rsidR="00505AFE" w:rsidRPr="003C0ED1" w:rsidRDefault="00505AFE" w:rsidP="00505AFE">
      <w:pPr>
        <w:pStyle w:val="3"/>
        <w:ind w:left="-284"/>
        <w:rPr>
          <w:bCs/>
          <w:sz w:val="22"/>
          <w:szCs w:val="22"/>
        </w:rPr>
      </w:pPr>
      <w:bookmarkStart w:id="4" w:name="_Hlk83393767"/>
      <w:r w:rsidRPr="003C0ED1">
        <w:rPr>
          <w:bCs/>
          <w:sz w:val="22"/>
          <w:szCs w:val="22"/>
        </w:rPr>
        <w:t xml:space="preserve">Долгосрочные параметры регулирования для формирования тарифов с использованием метода индексации установленных тарифов </w:t>
      </w:r>
    </w:p>
    <w:p w14:paraId="57CF13DC" w14:textId="77777777" w:rsidR="00505AFE" w:rsidRPr="003C0ED1" w:rsidRDefault="00505AFE" w:rsidP="00505AFE">
      <w:pPr>
        <w:widowControl/>
        <w:autoSpaceDE w:val="0"/>
        <w:autoSpaceDN w:val="0"/>
        <w:adjustRightInd w:val="0"/>
        <w:jc w:val="center"/>
        <w:rPr>
          <w:sz w:val="22"/>
          <w:szCs w:val="22"/>
        </w:rPr>
      </w:pPr>
    </w:p>
    <w:tbl>
      <w:tblPr>
        <w:tblW w:w="107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9"/>
        <w:gridCol w:w="1382"/>
        <w:gridCol w:w="566"/>
        <w:gridCol w:w="994"/>
        <w:gridCol w:w="709"/>
        <w:gridCol w:w="709"/>
        <w:gridCol w:w="1128"/>
        <w:gridCol w:w="1133"/>
        <w:gridCol w:w="993"/>
        <w:gridCol w:w="1140"/>
        <w:gridCol w:w="1134"/>
        <w:gridCol w:w="573"/>
      </w:tblGrid>
      <w:tr w:rsidR="00505AFE" w:rsidRPr="003C0ED1" w14:paraId="50991C0A" w14:textId="77777777" w:rsidTr="00FD2C02">
        <w:trPr>
          <w:trHeight w:val="434"/>
        </w:trPr>
        <w:tc>
          <w:tcPr>
            <w:tcW w:w="319" w:type="dxa"/>
            <w:vMerge w:val="restart"/>
            <w:shd w:val="clear" w:color="auto" w:fill="auto"/>
            <w:vAlign w:val="center"/>
            <w:hideMark/>
          </w:tcPr>
          <w:p w14:paraId="3E39C8B9" w14:textId="77777777" w:rsidR="00505AFE" w:rsidRPr="003C0ED1" w:rsidRDefault="00505AFE" w:rsidP="00FD2C02">
            <w:pPr>
              <w:widowControl/>
              <w:jc w:val="center"/>
            </w:pPr>
            <w:r w:rsidRPr="003C0ED1">
              <w:t>№ п/п</w:t>
            </w:r>
          </w:p>
        </w:tc>
        <w:tc>
          <w:tcPr>
            <w:tcW w:w="1382" w:type="dxa"/>
            <w:vMerge w:val="restart"/>
            <w:shd w:val="clear" w:color="auto" w:fill="auto"/>
            <w:vAlign w:val="center"/>
            <w:hideMark/>
          </w:tcPr>
          <w:p w14:paraId="49D626F7" w14:textId="77777777" w:rsidR="00505AFE" w:rsidRPr="003C0ED1" w:rsidRDefault="00505AFE" w:rsidP="00FD2C02">
            <w:pPr>
              <w:widowControl/>
              <w:jc w:val="center"/>
            </w:pPr>
            <w:r w:rsidRPr="003C0ED1">
              <w:t>Наименование регулируемой организации</w:t>
            </w:r>
          </w:p>
        </w:tc>
        <w:tc>
          <w:tcPr>
            <w:tcW w:w="566" w:type="dxa"/>
            <w:vMerge w:val="restart"/>
            <w:shd w:val="clear" w:color="auto" w:fill="auto"/>
            <w:noWrap/>
            <w:vAlign w:val="center"/>
            <w:hideMark/>
          </w:tcPr>
          <w:p w14:paraId="37A1AFB1" w14:textId="77777777" w:rsidR="00505AFE" w:rsidRPr="003C0ED1" w:rsidRDefault="00505AFE" w:rsidP="00FD2C02">
            <w:pPr>
              <w:widowControl/>
              <w:jc w:val="center"/>
            </w:pPr>
            <w:r w:rsidRPr="003C0ED1">
              <w:t>Год</w:t>
            </w:r>
          </w:p>
        </w:tc>
        <w:tc>
          <w:tcPr>
            <w:tcW w:w="994" w:type="dxa"/>
            <w:vMerge w:val="restart"/>
            <w:shd w:val="clear" w:color="auto" w:fill="auto"/>
            <w:vAlign w:val="center"/>
            <w:hideMark/>
          </w:tcPr>
          <w:p w14:paraId="50DDEA99" w14:textId="77777777" w:rsidR="00505AFE" w:rsidRPr="003C0ED1" w:rsidRDefault="00505AFE" w:rsidP="00FD2C02">
            <w:pPr>
              <w:widowControl/>
              <w:jc w:val="center"/>
            </w:pPr>
            <w:r w:rsidRPr="003C0ED1">
              <w:t>Базовый уровень операционных расходов</w:t>
            </w:r>
          </w:p>
        </w:tc>
        <w:tc>
          <w:tcPr>
            <w:tcW w:w="709" w:type="dxa"/>
            <w:vMerge w:val="restart"/>
            <w:shd w:val="clear" w:color="auto" w:fill="auto"/>
            <w:vAlign w:val="center"/>
            <w:hideMark/>
          </w:tcPr>
          <w:p w14:paraId="6C7DCC7E" w14:textId="77777777" w:rsidR="00505AFE" w:rsidRPr="003C0ED1" w:rsidRDefault="00505AFE" w:rsidP="00FD2C02">
            <w:pPr>
              <w:widowControl/>
              <w:jc w:val="center"/>
            </w:pPr>
            <w:r w:rsidRPr="003C0ED1">
              <w:t>Индекс эффективности операционных расходов</w:t>
            </w:r>
          </w:p>
        </w:tc>
        <w:tc>
          <w:tcPr>
            <w:tcW w:w="709" w:type="dxa"/>
            <w:vMerge w:val="restart"/>
            <w:shd w:val="clear" w:color="auto" w:fill="auto"/>
            <w:vAlign w:val="center"/>
            <w:hideMark/>
          </w:tcPr>
          <w:p w14:paraId="311AE09B" w14:textId="77777777" w:rsidR="00505AFE" w:rsidRPr="003C0ED1" w:rsidRDefault="00505AFE" w:rsidP="00FD2C02">
            <w:pPr>
              <w:widowControl/>
              <w:jc w:val="center"/>
            </w:pPr>
            <w:r w:rsidRPr="003C0ED1">
              <w:t>Нормативный уровень прибыли</w:t>
            </w:r>
          </w:p>
        </w:tc>
        <w:tc>
          <w:tcPr>
            <w:tcW w:w="5528" w:type="dxa"/>
            <w:gridSpan w:val="5"/>
            <w:vAlign w:val="center"/>
          </w:tcPr>
          <w:p w14:paraId="6F276443" w14:textId="77777777" w:rsidR="00505AFE" w:rsidRPr="003C0ED1" w:rsidRDefault="00505AFE" w:rsidP="00FD2C02">
            <w:pPr>
              <w:widowControl/>
              <w:jc w:val="center"/>
            </w:pPr>
            <w:r w:rsidRPr="003C0ED1">
              <w:t>Показатели энергосбережения и энергетической эффективности</w:t>
            </w:r>
          </w:p>
        </w:tc>
        <w:tc>
          <w:tcPr>
            <w:tcW w:w="573" w:type="dxa"/>
            <w:vMerge w:val="restart"/>
            <w:shd w:val="clear" w:color="auto" w:fill="auto"/>
            <w:vAlign w:val="center"/>
          </w:tcPr>
          <w:p w14:paraId="553E42E5" w14:textId="77777777" w:rsidR="00505AFE" w:rsidRPr="003C0ED1" w:rsidRDefault="00505AFE" w:rsidP="00FD2C02">
            <w:pPr>
              <w:widowControl/>
              <w:jc w:val="center"/>
            </w:pPr>
            <w:r w:rsidRPr="003C0ED1">
              <w:t>Динамика изменения расходов на топливо</w:t>
            </w:r>
          </w:p>
        </w:tc>
      </w:tr>
      <w:tr w:rsidR="00505AFE" w:rsidRPr="003C0ED1" w14:paraId="7B8434C9" w14:textId="77777777" w:rsidTr="00FD2C02">
        <w:trPr>
          <w:trHeight w:val="2539"/>
        </w:trPr>
        <w:tc>
          <w:tcPr>
            <w:tcW w:w="319" w:type="dxa"/>
            <w:vMerge/>
            <w:shd w:val="clear" w:color="auto" w:fill="auto"/>
            <w:vAlign w:val="center"/>
          </w:tcPr>
          <w:p w14:paraId="1CD5851A" w14:textId="77777777" w:rsidR="00505AFE" w:rsidRPr="003C0ED1" w:rsidRDefault="00505AFE" w:rsidP="00FD2C02">
            <w:pPr>
              <w:widowControl/>
              <w:jc w:val="center"/>
            </w:pPr>
          </w:p>
        </w:tc>
        <w:tc>
          <w:tcPr>
            <w:tcW w:w="1382" w:type="dxa"/>
            <w:vMerge/>
            <w:shd w:val="clear" w:color="auto" w:fill="auto"/>
            <w:vAlign w:val="center"/>
          </w:tcPr>
          <w:p w14:paraId="465FE547" w14:textId="77777777" w:rsidR="00505AFE" w:rsidRPr="003C0ED1" w:rsidRDefault="00505AFE" w:rsidP="00FD2C02">
            <w:pPr>
              <w:widowControl/>
              <w:jc w:val="center"/>
            </w:pPr>
          </w:p>
        </w:tc>
        <w:tc>
          <w:tcPr>
            <w:tcW w:w="566" w:type="dxa"/>
            <w:vMerge/>
            <w:shd w:val="clear" w:color="auto" w:fill="auto"/>
            <w:noWrap/>
            <w:vAlign w:val="center"/>
          </w:tcPr>
          <w:p w14:paraId="67EB9C6C" w14:textId="77777777" w:rsidR="00505AFE" w:rsidRPr="003C0ED1" w:rsidRDefault="00505AFE" w:rsidP="00FD2C02">
            <w:pPr>
              <w:widowControl/>
              <w:jc w:val="center"/>
            </w:pPr>
          </w:p>
        </w:tc>
        <w:tc>
          <w:tcPr>
            <w:tcW w:w="994" w:type="dxa"/>
            <w:vMerge/>
            <w:shd w:val="clear" w:color="auto" w:fill="auto"/>
            <w:vAlign w:val="center"/>
          </w:tcPr>
          <w:p w14:paraId="54DCCDF3" w14:textId="77777777" w:rsidR="00505AFE" w:rsidRPr="003C0ED1" w:rsidRDefault="00505AFE" w:rsidP="00FD2C02">
            <w:pPr>
              <w:widowControl/>
              <w:jc w:val="center"/>
            </w:pPr>
          </w:p>
        </w:tc>
        <w:tc>
          <w:tcPr>
            <w:tcW w:w="709" w:type="dxa"/>
            <w:vMerge/>
            <w:shd w:val="clear" w:color="auto" w:fill="auto"/>
            <w:vAlign w:val="center"/>
          </w:tcPr>
          <w:p w14:paraId="35D5C0A4" w14:textId="77777777" w:rsidR="00505AFE" w:rsidRPr="003C0ED1" w:rsidRDefault="00505AFE" w:rsidP="00FD2C02">
            <w:pPr>
              <w:widowControl/>
              <w:jc w:val="center"/>
            </w:pPr>
          </w:p>
        </w:tc>
        <w:tc>
          <w:tcPr>
            <w:tcW w:w="709" w:type="dxa"/>
            <w:vMerge/>
            <w:shd w:val="clear" w:color="auto" w:fill="auto"/>
            <w:vAlign w:val="center"/>
          </w:tcPr>
          <w:p w14:paraId="644C137D" w14:textId="77777777" w:rsidR="00505AFE" w:rsidRPr="003C0ED1" w:rsidRDefault="00505AFE" w:rsidP="00FD2C02">
            <w:pPr>
              <w:widowControl/>
              <w:jc w:val="center"/>
            </w:pPr>
          </w:p>
        </w:tc>
        <w:tc>
          <w:tcPr>
            <w:tcW w:w="1128" w:type="dxa"/>
          </w:tcPr>
          <w:p w14:paraId="5594A04A" w14:textId="77777777" w:rsidR="00505AFE" w:rsidRPr="003C0ED1" w:rsidRDefault="00505AFE" w:rsidP="00FD2C02">
            <w:pPr>
              <w:widowControl/>
              <w:jc w:val="center"/>
            </w:pPr>
            <w:r w:rsidRPr="003C0ED1">
              <w:t>Удельный расход топлива на производство единицы тепловой энергии, отпускаемой с коллекторов источников тепловой энергии</w:t>
            </w:r>
          </w:p>
        </w:tc>
        <w:tc>
          <w:tcPr>
            <w:tcW w:w="1133" w:type="dxa"/>
          </w:tcPr>
          <w:p w14:paraId="41D616B7" w14:textId="77777777" w:rsidR="00505AFE" w:rsidRPr="003C0ED1" w:rsidRDefault="00505AFE" w:rsidP="00FD2C02">
            <w:pPr>
              <w:widowControl/>
              <w:jc w:val="center"/>
            </w:pPr>
            <w:r w:rsidRPr="003C0ED1">
              <w:t>Величина технологических потерь тепловой энергии при передаче тепловой энергии по тепловым сетям</w:t>
            </w:r>
          </w:p>
        </w:tc>
        <w:tc>
          <w:tcPr>
            <w:tcW w:w="993" w:type="dxa"/>
          </w:tcPr>
          <w:p w14:paraId="4D325088" w14:textId="77777777" w:rsidR="00505AFE" w:rsidRPr="003C0ED1" w:rsidRDefault="00505AFE" w:rsidP="00FD2C02">
            <w:pPr>
              <w:widowControl/>
              <w:jc w:val="center"/>
            </w:pPr>
            <w:r w:rsidRPr="003C0ED1">
              <w:t>Величина технологических потерь теплоносителя при передаче тепловой энергии по тепловым сетям</w:t>
            </w:r>
          </w:p>
        </w:tc>
        <w:tc>
          <w:tcPr>
            <w:tcW w:w="1140" w:type="dxa"/>
          </w:tcPr>
          <w:p w14:paraId="1E485A62" w14:textId="77777777" w:rsidR="00505AFE" w:rsidRPr="003C0ED1" w:rsidRDefault="00505AFE" w:rsidP="00FD2C02">
            <w:pPr>
              <w:widowControl/>
              <w:autoSpaceDE w:val="0"/>
              <w:autoSpaceDN w:val="0"/>
              <w:adjustRightInd w:val="0"/>
              <w:jc w:val="center"/>
            </w:pPr>
            <w:r w:rsidRPr="003C0ED1">
              <w:t>Отношение величины технологических потерь тепловой энергии к материальной характеристике тепловой сети</w:t>
            </w:r>
          </w:p>
        </w:tc>
        <w:tc>
          <w:tcPr>
            <w:tcW w:w="1134" w:type="dxa"/>
          </w:tcPr>
          <w:p w14:paraId="58C0276F" w14:textId="77777777" w:rsidR="00505AFE" w:rsidRPr="003C0ED1" w:rsidRDefault="00505AFE" w:rsidP="00FD2C02">
            <w:pPr>
              <w:widowControl/>
              <w:autoSpaceDE w:val="0"/>
              <w:autoSpaceDN w:val="0"/>
              <w:adjustRightInd w:val="0"/>
              <w:jc w:val="center"/>
            </w:pPr>
            <w:r w:rsidRPr="003C0ED1">
              <w:t>Отношение величины технологических потерь теплоносителя к материальной характеристике тепловой сети</w:t>
            </w:r>
          </w:p>
        </w:tc>
        <w:tc>
          <w:tcPr>
            <w:tcW w:w="573" w:type="dxa"/>
            <w:vMerge/>
            <w:shd w:val="clear" w:color="auto" w:fill="auto"/>
            <w:vAlign w:val="center"/>
          </w:tcPr>
          <w:p w14:paraId="5EB5B240" w14:textId="77777777" w:rsidR="00505AFE" w:rsidRPr="003C0ED1" w:rsidRDefault="00505AFE" w:rsidP="00FD2C02">
            <w:pPr>
              <w:widowControl/>
              <w:jc w:val="center"/>
            </w:pPr>
          </w:p>
        </w:tc>
      </w:tr>
      <w:tr w:rsidR="00505AFE" w:rsidRPr="003C0ED1" w14:paraId="57BDBD89" w14:textId="77777777" w:rsidTr="00FD2C02">
        <w:trPr>
          <w:trHeight w:val="225"/>
        </w:trPr>
        <w:tc>
          <w:tcPr>
            <w:tcW w:w="319" w:type="dxa"/>
            <w:vMerge/>
            <w:vAlign w:val="center"/>
            <w:hideMark/>
          </w:tcPr>
          <w:p w14:paraId="19EA06AC" w14:textId="77777777" w:rsidR="00505AFE" w:rsidRPr="003C0ED1" w:rsidRDefault="00505AFE" w:rsidP="00FD2C02">
            <w:pPr>
              <w:widowControl/>
            </w:pPr>
          </w:p>
        </w:tc>
        <w:tc>
          <w:tcPr>
            <w:tcW w:w="1382" w:type="dxa"/>
            <w:vMerge/>
            <w:vAlign w:val="center"/>
            <w:hideMark/>
          </w:tcPr>
          <w:p w14:paraId="420EAD81" w14:textId="77777777" w:rsidR="00505AFE" w:rsidRPr="003C0ED1" w:rsidRDefault="00505AFE" w:rsidP="00FD2C02">
            <w:pPr>
              <w:widowControl/>
            </w:pPr>
          </w:p>
        </w:tc>
        <w:tc>
          <w:tcPr>
            <w:tcW w:w="566" w:type="dxa"/>
            <w:vMerge/>
            <w:vAlign w:val="center"/>
            <w:hideMark/>
          </w:tcPr>
          <w:p w14:paraId="48231078" w14:textId="77777777" w:rsidR="00505AFE" w:rsidRPr="003C0ED1" w:rsidRDefault="00505AFE" w:rsidP="00FD2C02">
            <w:pPr>
              <w:widowControl/>
            </w:pPr>
          </w:p>
        </w:tc>
        <w:tc>
          <w:tcPr>
            <w:tcW w:w="994" w:type="dxa"/>
            <w:shd w:val="clear" w:color="auto" w:fill="auto"/>
            <w:noWrap/>
            <w:vAlign w:val="center"/>
            <w:hideMark/>
          </w:tcPr>
          <w:p w14:paraId="043BA6EF" w14:textId="77777777" w:rsidR="00505AFE" w:rsidRPr="003C0ED1" w:rsidRDefault="00505AFE" w:rsidP="00FD2C02">
            <w:pPr>
              <w:widowControl/>
              <w:jc w:val="center"/>
            </w:pPr>
            <w:r w:rsidRPr="003C0ED1">
              <w:t>тыс. руб.</w:t>
            </w:r>
          </w:p>
        </w:tc>
        <w:tc>
          <w:tcPr>
            <w:tcW w:w="709" w:type="dxa"/>
            <w:shd w:val="clear" w:color="auto" w:fill="auto"/>
            <w:noWrap/>
            <w:vAlign w:val="center"/>
            <w:hideMark/>
          </w:tcPr>
          <w:p w14:paraId="7F7FE268" w14:textId="77777777" w:rsidR="00505AFE" w:rsidRPr="003C0ED1" w:rsidRDefault="00505AFE" w:rsidP="00FD2C02">
            <w:pPr>
              <w:widowControl/>
              <w:jc w:val="center"/>
            </w:pPr>
            <w:r w:rsidRPr="003C0ED1">
              <w:t>%</w:t>
            </w:r>
          </w:p>
        </w:tc>
        <w:tc>
          <w:tcPr>
            <w:tcW w:w="709" w:type="dxa"/>
            <w:shd w:val="clear" w:color="auto" w:fill="auto"/>
            <w:noWrap/>
            <w:vAlign w:val="center"/>
            <w:hideMark/>
          </w:tcPr>
          <w:p w14:paraId="681DA9D6" w14:textId="77777777" w:rsidR="00505AFE" w:rsidRPr="003C0ED1" w:rsidRDefault="00505AFE" w:rsidP="00FD2C02">
            <w:pPr>
              <w:widowControl/>
              <w:jc w:val="center"/>
            </w:pPr>
            <w:r w:rsidRPr="003C0ED1">
              <w:t>%</w:t>
            </w:r>
          </w:p>
        </w:tc>
        <w:tc>
          <w:tcPr>
            <w:tcW w:w="1128" w:type="dxa"/>
            <w:vAlign w:val="center"/>
          </w:tcPr>
          <w:p w14:paraId="550972E6" w14:textId="77777777" w:rsidR="00505AFE" w:rsidRPr="003C0ED1" w:rsidRDefault="00505AFE" w:rsidP="00FD2C02">
            <w:pPr>
              <w:widowControl/>
              <w:jc w:val="center"/>
            </w:pPr>
            <w:r w:rsidRPr="003C0ED1">
              <w:t xml:space="preserve">кг </w:t>
            </w:r>
            <w:proofErr w:type="spellStart"/>
            <w:r w:rsidRPr="003C0ED1">
              <w:t>у.т</w:t>
            </w:r>
            <w:proofErr w:type="spellEnd"/>
            <w:r w:rsidRPr="003C0ED1">
              <w:t>./Гкал</w:t>
            </w:r>
          </w:p>
        </w:tc>
        <w:tc>
          <w:tcPr>
            <w:tcW w:w="1133" w:type="dxa"/>
          </w:tcPr>
          <w:p w14:paraId="6689BA91" w14:textId="77777777" w:rsidR="00505AFE" w:rsidRPr="003C0ED1" w:rsidRDefault="00505AFE" w:rsidP="00FD2C02">
            <w:pPr>
              <w:widowControl/>
              <w:jc w:val="center"/>
            </w:pPr>
            <w:r w:rsidRPr="003C0ED1">
              <w:t>Гкал/год</w:t>
            </w:r>
          </w:p>
        </w:tc>
        <w:tc>
          <w:tcPr>
            <w:tcW w:w="993" w:type="dxa"/>
          </w:tcPr>
          <w:p w14:paraId="4CC744C9" w14:textId="77777777" w:rsidR="00505AFE" w:rsidRPr="003C0ED1" w:rsidRDefault="00505AFE" w:rsidP="00FD2C02">
            <w:pPr>
              <w:widowControl/>
              <w:jc w:val="center"/>
            </w:pPr>
            <w:r w:rsidRPr="003C0ED1">
              <w:t>м</w:t>
            </w:r>
            <w:r w:rsidRPr="003C0ED1">
              <w:rPr>
                <w:vertAlign w:val="superscript"/>
              </w:rPr>
              <w:t>3</w:t>
            </w:r>
            <w:r w:rsidRPr="003C0ED1">
              <w:t>/год</w:t>
            </w:r>
          </w:p>
        </w:tc>
        <w:tc>
          <w:tcPr>
            <w:tcW w:w="1140" w:type="dxa"/>
          </w:tcPr>
          <w:p w14:paraId="13A6B361" w14:textId="77777777" w:rsidR="00505AFE" w:rsidRPr="003C0ED1" w:rsidRDefault="00505AFE" w:rsidP="00FD2C02">
            <w:pPr>
              <w:widowControl/>
              <w:jc w:val="center"/>
            </w:pPr>
            <w:r w:rsidRPr="003C0ED1">
              <w:t>Гкал/м</w:t>
            </w:r>
            <w:r w:rsidRPr="003C0ED1">
              <w:rPr>
                <w:vertAlign w:val="superscript"/>
              </w:rPr>
              <w:t>2</w:t>
            </w:r>
          </w:p>
        </w:tc>
        <w:tc>
          <w:tcPr>
            <w:tcW w:w="1134" w:type="dxa"/>
          </w:tcPr>
          <w:p w14:paraId="7D3C5A57" w14:textId="77777777" w:rsidR="00505AFE" w:rsidRPr="003C0ED1" w:rsidRDefault="00505AFE" w:rsidP="00FD2C02">
            <w:pPr>
              <w:widowControl/>
              <w:jc w:val="center"/>
            </w:pPr>
            <w:r w:rsidRPr="003C0ED1">
              <w:t>м</w:t>
            </w:r>
            <w:r w:rsidRPr="003C0ED1">
              <w:rPr>
                <w:vertAlign w:val="superscript"/>
              </w:rPr>
              <w:t>3</w:t>
            </w:r>
            <w:r w:rsidRPr="003C0ED1">
              <w:t>/м</w:t>
            </w:r>
            <w:r w:rsidRPr="003C0ED1">
              <w:rPr>
                <w:vertAlign w:val="superscript"/>
              </w:rPr>
              <w:t>2</w:t>
            </w:r>
          </w:p>
        </w:tc>
        <w:tc>
          <w:tcPr>
            <w:tcW w:w="573" w:type="dxa"/>
            <w:vAlign w:val="center"/>
          </w:tcPr>
          <w:p w14:paraId="0F62AE19" w14:textId="77777777" w:rsidR="00505AFE" w:rsidRPr="003C0ED1" w:rsidRDefault="00505AFE" w:rsidP="00FD2C02">
            <w:pPr>
              <w:widowControl/>
              <w:jc w:val="center"/>
            </w:pPr>
          </w:p>
        </w:tc>
      </w:tr>
      <w:tr w:rsidR="00505AFE" w:rsidRPr="003C0ED1" w14:paraId="69E44989" w14:textId="77777777" w:rsidTr="00FD2C02">
        <w:trPr>
          <w:trHeight w:hRule="exact" w:val="340"/>
        </w:trPr>
        <w:tc>
          <w:tcPr>
            <w:tcW w:w="10780" w:type="dxa"/>
            <w:gridSpan w:val="12"/>
            <w:shd w:val="clear" w:color="auto" w:fill="auto"/>
            <w:noWrap/>
            <w:vAlign w:val="center"/>
          </w:tcPr>
          <w:p w14:paraId="251D2369" w14:textId="77777777" w:rsidR="00505AFE" w:rsidRPr="003C0ED1" w:rsidRDefault="00505AFE" w:rsidP="00FD2C02">
            <w:pPr>
              <w:widowControl/>
              <w:jc w:val="center"/>
            </w:pPr>
            <w:r w:rsidRPr="003C0ED1">
              <w:t>Производство тепловой энергии (котельные по концессионному соглашению)</w:t>
            </w:r>
          </w:p>
        </w:tc>
      </w:tr>
      <w:bookmarkEnd w:id="4"/>
      <w:tr w:rsidR="00505AFE" w:rsidRPr="003C0ED1" w14:paraId="11D78683" w14:textId="77777777" w:rsidTr="00FD2C02">
        <w:trPr>
          <w:trHeight w:hRule="exact" w:val="510"/>
        </w:trPr>
        <w:tc>
          <w:tcPr>
            <w:tcW w:w="319" w:type="dxa"/>
            <w:vMerge w:val="restart"/>
            <w:shd w:val="clear" w:color="auto" w:fill="auto"/>
            <w:noWrap/>
            <w:vAlign w:val="center"/>
            <w:hideMark/>
          </w:tcPr>
          <w:p w14:paraId="75E5F72A" w14:textId="77777777" w:rsidR="00505AFE" w:rsidRPr="003C0ED1" w:rsidRDefault="00505AFE" w:rsidP="00FD2C02">
            <w:pPr>
              <w:widowControl/>
              <w:jc w:val="center"/>
            </w:pPr>
            <w:r w:rsidRPr="003C0ED1">
              <w:t>1.</w:t>
            </w:r>
          </w:p>
        </w:tc>
        <w:tc>
          <w:tcPr>
            <w:tcW w:w="1382" w:type="dxa"/>
            <w:vMerge w:val="restart"/>
            <w:shd w:val="clear" w:color="auto" w:fill="auto"/>
            <w:vAlign w:val="center"/>
            <w:hideMark/>
          </w:tcPr>
          <w:p w14:paraId="124803C4" w14:textId="77777777" w:rsidR="00505AFE" w:rsidRPr="00A64268" w:rsidRDefault="00505AFE" w:rsidP="00FD2C02">
            <w:pPr>
              <w:widowControl/>
              <w:autoSpaceDE w:val="0"/>
              <w:autoSpaceDN w:val="0"/>
              <w:adjustRightInd w:val="0"/>
            </w:pPr>
            <w:r w:rsidRPr="00A64268">
              <w:rPr>
                <w:szCs w:val="22"/>
              </w:rPr>
              <w:t xml:space="preserve">ООО «ИнвестЭнерго» (от БМК с. </w:t>
            </w:r>
            <w:proofErr w:type="spellStart"/>
            <w:r w:rsidRPr="00A64268">
              <w:rPr>
                <w:szCs w:val="22"/>
              </w:rPr>
              <w:t>Михалево</w:t>
            </w:r>
            <w:proofErr w:type="spellEnd"/>
            <w:r w:rsidRPr="00A64268">
              <w:rPr>
                <w:szCs w:val="22"/>
              </w:rPr>
              <w:t xml:space="preserve"> Ивановского района)</w:t>
            </w:r>
          </w:p>
        </w:tc>
        <w:tc>
          <w:tcPr>
            <w:tcW w:w="566" w:type="dxa"/>
            <w:shd w:val="clear" w:color="auto" w:fill="auto"/>
            <w:noWrap/>
            <w:vAlign w:val="center"/>
            <w:hideMark/>
          </w:tcPr>
          <w:p w14:paraId="6FC53344" w14:textId="77777777" w:rsidR="00505AFE" w:rsidRPr="00A64268" w:rsidRDefault="00505AFE" w:rsidP="00FD2C02">
            <w:pPr>
              <w:jc w:val="center"/>
            </w:pPr>
            <w:r w:rsidRPr="00A64268">
              <w:t>2024</w:t>
            </w:r>
          </w:p>
        </w:tc>
        <w:tc>
          <w:tcPr>
            <w:tcW w:w="994" w:type="dxa"/>
            <w:shd w:val="clear" w:color="auto" w:fill="auto"/>
            <w:noWrap/>
            <w:vAlign w:val="center"/>
            <w:hideMark/>
          </w:tcPr>
          <w:p w14:paraId="7B4CB953" w14:textId="77777777" w:rsidR="00505AFE" w:rsidRPr="003C0ED1" w:rsidRDefault="00505AFE" w:rsidP="00FD2C02">
            <w:pPr>
              <w:jc w:val="center"/>
              <w:rPr>
                <w:bCs/>
              </w:rPr>
            </w:pPr>
            <w:r w:rsidRPr="007F0555">
              <w:rPr>
                <w:bCs/>
              </w:rPr>
              <w:t>2 263,926</w:t>
            </w:r>
          </w:p>
        </w:tc>
        <w:tc>
          <w:tcPr>
            <w:tcW w:w="709" w:type="dxa"/>
            <w:shd w:val="clear" w:color="auto" w:fill="auto"/>
            <w:noWrap/>
            <w:vAlign w:val="center"/>
            <w:hideMark/>
          </w:tcPr>
          <w:p w14:paraId="496EAEA5" w14:textId="77777777" w:rsidR="00505AFE" w:rsidRPr="003C0ED1" w:rsidRDefault="00505AFE" w:rsidP="00FD2C02">
            <w:pPr>
              <w:widowControl/>
              <w:jc w:val="center"/>
            </w:pPr>
            <w:r w:rsidRPr="003C0ED1">
              <w:t>1,0</w:t>
            </w:r>
          </w:p>
        </w:tc>
        <w:tc>
          <w:tcPr>
            <w:tcW w:w="709" w:type="dxa"/>
            <w:shd w:val="clear" w:color="auto" w:fill="auto"/>
            <w:noWrap/>
            <w:vAlign w:val="center"/>
          </w:tcPr>
          <w:p w14:paraId="362ED5C5" w14:textId="77777777" w:rsidR="00505AFE" w:rsidRPr="00C72A3D" w:rsidRDefault="00505AFE" w:rsidP="00FD2C02">
            <w:pPr>
              <w:widowControl/>
              <w:jc w:val="center"/>
            </w:pPr>
            <w:r w:rsidRPr="00C72A3D">
              <w:t>15,46</w:t>
            </w:r>
          </w:p>
        </w:tc>
        <w:tc>
          <w:tcPr>
            <w:tcW w:w="1128" w:type="dxa"/>
            <w:vAlign w:val="center"/>
          </w:tcPr>
          <w:p w14:paraId="3DCBBAA3" w14:textId="77777777" w:rsidR="00505AFE" w:rsidRPr="00C72A3D" w:rsidRDefault="00505AFE" w:rsidP="00FD2C02">
            <w:pPr>
              <w:jc w:val="center"/>
            </w:pPr>
            <w:r w:rsidRPr="00C72A3D">
              <w:t>156,1</w:t>
            </w:r>
          </w:p>
        </w:tc>
        <w:tc>
          <w:tcPr>
            <w:tcW w:w="1133" w:type="dxa"/>
            <w:vAlign w:val="center"/>
          </w:tcPr>
          <w:p w14:paraId="4BC3D169" w14:textId="77777777" w:rsidR="00505AFE" w:rsidRPr="003C0ED1" w:rsidRDefault="00505AFE" w:rsidP="00FD2C02">
            <w:pPr>
              <w:widowControl/>
              <w:jc w:val="center"/>
            </w:pPr>
            <w:r w:rsidRPr="003C0ED1">
              <w:t>-</w:t>
            </w:r>
          </w:p>
        </w:tc>
        <w:tc>
          <w:tcPr>
            <w:tcW w:w="993" w:type="dxa"/>
            <w:vAlign w:val="center"/>
          </w:tcPr>
          <w:p w14:paraId="32458CF3" w14:textId="77777777" w:rsidR="00505AFE" w:rsidRPr="003C0ED1" w:rsidRDefault="00505AFE" w:rsidP="00FD2C02">
            <w:pPr>
              <w:widowControl/>
              <w:jc w:val="center"/>
            </w:pPr>
            <w:r w:rsidRPr="003C0ED1">
              <w:t>-</w:t>
            </w:r>
          </w:p>
        </w:tc>
        <w:tc>
          <w:tcPr>
            <w:tcW w:w="1140" w:type="dxa"/>
            <w:vAlign w:val="center"/>
          </w:tcPr>
          <w:p w14:paraId="313D1E05" w14:textId="77777777" w:rsidR="00505AFE" w:rsidRPr="003C0ED1" w:rsidRDefault="00505AFE" w:rsidP="00FD2C02">
            <w:pPr>
              <w:widowControl/>
              <w:jc w:val="center"/>
            </w:pPr>
            <w:r w:rsidRPr="003C0ED1">
              <w:t>-</w:t>
            </w:r>
          </w:p>
        </w:tc>
        <w:tc>
          <w:tcPr>
            <w:tcW w:w="1134" w:type="dxa"/>
            <w:vAlign w:val="center"/>
          </w:tcPr>
          <w:p w14:paraId="10B57432" w14:textId="77777777" w:rsidR="00505AFE" w:rsidRPr="003C0ED1" w:rsidRDefault="00505AFE" w:rsidP="00FD2C02">
            <w:pPr>
              <w:widowControl/>
              <w:jc w:val="center"/>
            </w:pPr>
            <w:r w:rsidRPr="003C0ED1">
              <w:t>-</w:t>
            </w:r>
          </w:p>
        </w:tc>
        <w:tc>
          <w:tcPr>
            <w:tcW w:w="573" w:type="dxa"/>
            <w:vAlign w:val="center"/>
          </w:tcPr>
          <w:p w14:paraId="1C37557E" w14:textId="77777777" w:rsidR="00505AFE" w:rsidRPr="003C0ED1" w:rsidRDefault="00505AFE" w:rsidP="00FD2C02">
            <w:pPr>
              <w:widowControl/>
              <w:jc w:val="center"/>
            </w:pPr>
            <w:r w:rsidRPr="003C0ED1">
              <w:t>-</w:t>
            </w:r>
          </w:p>
        </w:tc>
      </w:tr>
      <w:tr w:rsidR="00505AFE" w:rsidRPr="003C0ED1" w14:paraId="1C4B7E64" w14:textId="77777777" w:rsidTr="00FD2C02">
        <w:trPr>
          <w:trHeight w:hRule="exact" w:val="510"/>
        </w:trPr>
        <w:tc>
          <w:tcPr>
            <w:tcW w:w="319" w:type="dxa"/>
            <w:vMerge/>
            <w:vAlign w:val="center"/>
            <w:hideMark/>
          </w:tcPr>
          <w:p w14:paraId="14500ADC" w14:textId="77777777" w:rsidR="00505AFE" w:rsidRPr="003C0ED1" w:rsidRDefault="00505AFE" w:rsidP="00FD2C02">
            <w:pPr>
              <w:widowControl/>
              <w:jc w:val="center"/>
            </w:pPr>
          </w:p>
        </w:tc>
        <w:tc>
          <w:tcPr>
            <w:tcW w:w="1382" w:type="dxa"/>
            <w:vMerge/>
            <w:vAlign w:val="center"/>
            <w:hideMark/>
          </w:tcPr>
          <w:p w14:paraId="5DBD6765" w14:textId="77777777" w:rsidR="00505AFE" w:rsidRPr="00A64268" w:rsidRDefault="00505AFE" w:rsidP="00FD2C02">
            <w:pPr>
              <w:widowControl/>
            </w:pPr>
          </w:p>
        </w:tc>
        <w:tc>
          <w:tcPr>
            <w:tcW w:w="566" w:type="dxa"/>
            <w:shd w:val="clear" w:color="auto" w:fill="auto"/>
            <w:noWrap/>
            <w:vAlign w:val="center"/>
            <w:hideMark/>
          </w:tcPr>
          <w:p w14:paraId="463486DA" w14:textId="77777777" w:rsidR="00505AFE" w:rsidRPr="00A64268" w:rsidRDefault="00505AFE" w:rsidP="00FD2C02">
            <w:pPr>
              <w:jc w:val="center"/>
            </w:pPr>
            <w:r w:rsidRPr="00A64268">
              <w:t>2025</w:t>
            </w:r>
          </w:p>
        </w:tc>
        <w:tc>
          <w:tcPr>
            <w:tcW w:w="994" w:type="dxa"/>
            <w:shd w:val="clear" w:color="auto" w:fill="auto"/>
            <w:noWrap/>
            <w:vAlign w:val="center"/>
            <w:hideMark/>
          </w:tcPr>
          <w:p w14:paraId="68262805" w14:textId="77777777" w:rsidR="00505AFE" w:rsidRPr="003C0ED1" w:rsidRDefault="00505AFE" w:rsidP="00FD2C02">
            <w:pPr>
              <w:widowControl/>
              <w:jc w:val="center"/>
            </w:pPr>
            <w:r w:rsidRPr="003C0ED1">
              <w:t>-</w:t>
            </w:r>
          </w:p>
        </w:tc>
        <w:tc>
          <w:tcPr>
            <w:tcW w:w="709" w:type="dxa"/>
            <w:shd w:val="clear" w:color="auto" w:fill="auto"/>
            <w:noWrap/>
            <w:vAlign w:val="center"/>
            <w:hideMark/>
          </w:tcPr>
          <w:p w14:paraId="1ADA24F4" w14:textId="77777777" w:rsidR="00505AFE" w:rsidRPr="003C0ED1" w:rsidRDefault="00505AFE" w:rsidP="00FD2C02">
            <w:pPr>
              <w:widowControl/>
              <w:jc w:val="center"/>
            </w:pPr>
            <w:r w:rsidRPr="003C0ED1">
              <w:t>1,0</w:t>
            </w:r>
          </w:p>
        </w:tc>
        <w:tc>
          <w:tcPr>
            <w:tcW w:w="709" w:type="dxa"/>
            <w:shd w:val="clear" w:color="auto" w:fill="auto"/>
            <w:noWrap/>
            <w:vAlign w:val="center"/>
          </w:tcPr>
          <w:p w14:paraId="3DC87603" w14:textId="77777777" w:rsidR="00505AFE" w:rsidRPr="00C72A3D" w:rsidRDefault="00505AFE" w:rsidP="00FD2C02">
            <w:pPr>
              <w:widowControl/>
              <w:jc w:val="center"/>
            </w:pPr>
            <w:r w:rsidRPr="00C72A3D">
              <w:t>13,37</w:t>
            </w:r>
          </w:p>
        </w:tc>
        <w:tc>
          <w:tcPr>
            <w:tcW w:w="1128" w:type="dxa"/>
            <w:vAlign w:val="center"/>
          </w:tcPr>
          <w:p w14:paraId="4E6434F8" w14:textId="77777777" w:rsidR="00505AFE" w:rsidRPr="00C72A3D" w:rsidRDefault="00505AFE" w:rsidP="00FD2C02">
            <w:pPr>
              <w:jc w:val="center"/>
            </w:pPr>
            <w:r w:rsidRPr="00C72A3D">
              <w:t>156,1</w:t>
            </w:r>
          </w:p>
        </w:tc>
        <w:tc>
          <w:tcPr>
            <w:tcW w:w="1133" w:type="dxa"/>
            <w:vAlign w:val="center"/>
          </w:tcPr>
          <w:p w14:paraId="7550ECCD" w14:textId="77777777" w:rsidR="00505AFE" w:rsidRPr="003C0ED1" w:rsidRDefault="00505AFE" w:rsidP="00FD2C02">
            <w:pPr>
              <w:widowControl/>
              <w:jc w:val="center"/>
            </w:pPr>
            <w:r w:rsidRPr="003C0ED1">
              <w:t>-</w:t>
            </w:r>
          </w:p>
        </w:tc>
        <w:tc>
          <w:tcPr>
            <w:tcW w:w="993" w:type="dxa"/>
            <w:vAlign w:val="center"/>
          </w:tcPr>
          <w:p w14:paraId="3C996517" w14:textId="77777777" w:rsidR="00505AFE" w:rsidRPr="003C0ED1" w:rsidRDefault="00505AFE" w:rsidP="00FD2C02">
            <w:pPr>
              <w:jc w:val="center"/>
            </w:pPr>
            <w:r w:rsidRPr="003C0ED1">
              <w:t>-</w:t>
            </w:r>
          </w:p>
        </w:tc>
        <w:tc>
          <w:tcPr>
            <w:tcW w:w="1140" w:type="dxa"/>
            <w:vAlign w:val="center"/>
          </w:tcPr>
          <w:p w14:paraId="63C7FD7E" w14:textId="77777777" w:rsidR="00505AFE" w:rsidRPr="003C0ED1" w:rsidRDefault="00505AFE" w:rsidP="00FD2C02">
            <w:pPr>
              <w:widowControl/>
              <w:jc w:val="center"/>
            </w:pPr>
            <w:r w:rsidRPr="003C0ED1">
              <w:t>-</w:t>
            </w:r>
          </w:p>
        </w:tc>
        <w:tc>
          <w:tcPr>
            <w:tcW w:w="1134" w:type="dxa"/>
            <w:vAlign w:val="center"/>
          </w:tcPr>
          <w:p w14:paraId="0A54B852" w14:textId="77777777" w:rsidR="00505AFE" w:rsidRPr="003C0ED1" w:rsidRDefault="00505AFE" w:rsidP="00FD2C02">
            <w:pPr>
              <w:widowControl/>
              <w:jc w:val="center"/>
            </w:pPr>
            <w:r w:rsidRPr="003C0ED1">
              <w:t>-</w:t>
            </w:r>
          </w:p>
        </w:tc>
        <w:tc>
          <w:tcPr>
            <w:tcW w:w="573" w:type="dxa"/>
            <w:vAlign w:val="center"/>
          </w:tcPr>
          <w:p w14:paraId="6F2FEAB1" w14:textId="77777777" w:rsidR="00505AFE" w:rsidRPr="003C0ED1" w:rsidRDefault="00505AFE" w:rsidP="00FD2C02">
            <w:pPr>
              <w:widowControl/>
              <w:jc w:val="center"/>
            </w:pPr>
            <w:r w:rsidRPr="003C0ED1">
              <w:t>-</w:t>
            </w:r>
          </w:p>
        </w:tc>
      </w:tr>
      <w:tr w:rsidR="00505AFE" w:rsidRPr="003C0ED1" w14:paraId="520E8A2D" w14:textId="77777777" w:rsidTr="00FD2C02">
        <w:trPr>
          <w:trHeight w:hRule="exact" w:val="510"/>
        </w:trPr>
        <w:tc>
          <w:tcPr>
            <w:tcW w:w="319" w:type="dxa"/>
            <w:vMerge/>
            <w:vAlign w:val="center"/>
            <w:hideMark/>
          </w:tcPr>
          <w:p w14:paraId="173C7FFF" w14:textId="77777777" w:rsidR="00505AFE" w:rsidRPr="003C0ED1" w:rsidRDefault="00505AFE" w:rsidP="00FD2C02">
            <w:pPr>
              <w:widowControl/>
              <w:jc w:val="center"/>
            </w:pPr>
          </w:p>
        </w:tc>
        <w:tc>
          <w:tcPr>
            <w:tcW w:w="1382" w:type="dxa"/>
            <w:vMerge/>
            <w:vAlign w:val="center"/>
            <w:hideMark/>
          </w:tcPr>
          <w:p w14:paraId="07071FEC" w14:textId="77777777" w:rsidR="00505AFE" w:rsidRPr="00A64268" w:rsidRDefault="00505AFE" w:rsidP="00FD2C02">
            <w:pPr>
              <w:widowControl/>
            </w:pPr>
          </w:p>
        </w:tc>
        <w:tc>
          <w:tcPr>
            <w:tcW w:w="566" w:type="dxa"/>
            <w:shd w:val="clear" w:color="auto" w:fill="auto"/>
            <w:noWrap/>
            <w:vAlign w:val="center"/>
            <w:hideMark/>
          </w:tcPr>
          <w:p w14:paraId="376062BF" w14:textId="77777777" w:rsidR="00505AFE" w:rsidRPr="00A64268" w:rsidRDefault="00505AFE" w:rsidP="00FD2C02">
            <w:pPr>
              <w:jc w:val="center"/>
            </w:pPr>
            <w:r w:rsidRPr="00A64268">
              <w:t>2026</w:t>
            </w:r>
          </w:p>
        </w:tc>
        <w:tc>
          <w:tcPr>
            <w:tcW w:w="994" w:type="dxa"/>
            <w:shd w:val="clear" w:color="auto" w:fill="auto"/>
            <w:noWrap/>
            <w:vAlign w:val="center"/>
            <w:hideMark/>
          </w:tcPr>
          <w:p w14:paraId="07B91434" w14:textId="77777777" w:rsidR="00505AFE" w:rsidRPr="003C0ED1" w:rsidRDefault="00505AFE" w:rsidP="00FD2C02">
            <w:pPr>
              <w:widowControl/>
              <w:jc w:val="center"/>
            </w:pPr>
            <w:r w:rsidRPr="003C0ED1">
              <w:t>-</w:t>
            </w:r>
          </w:p>
        </w:tc>
        <w:tc>
          <w:tcPr>
            <w:tcW w:w="709" w:type="dxa"/>
            <w:shd w:val="clear" w:color="auto" w:fill="auto"/>
            <w:noWrap/>
            <w:vAlign w:val="center"/>
            <w:hideMark/>
          </w:tcPr>
          <w:p w14:paraId="6248C80F" w14:textId="77777777" w:rsidR="00505AFE" w:rsidRPr="003C0ED1" w:rsidRDefault="00505AFE" w:rsidP="00FD2C02">
            <w:pPr>
              <w:widowControl/>
              <w:jc w:val="center"/>
            </w:pPr>
            <w:r w:rsidRPr="003C0ED1">
              <w:t>1,0</w:t>
            </w:r>
          </w:p>
        </w:tc>
        <w:tc>
          <w:tcPr>
            <w:tcW w:w="709" w:type="dxa"/>
            <w:shd w:val="clear" w:color="auto" w:fill="auto"/>
            <w:noWrap/>
            <w:vAlign w:val="center"/>
          </w:tcPr>
          <w:p w14:paraId="1D2FD7FE" w14:textId="77777777" w:rsidR="00505AFE" w:rsidRPr="00C72A3D" w:rsidRDefault="00505AFE" w:rsidP="00FD2C02">
            <w:pPr>
              <w:widowControl/>
              <w:jc w:val="center"/>
            </w:pPr>
            <w:r w:rsidRPr="00C72A3D">
              <w:t>11,39</w:t>
            </w:r>
          </w:p>
        </w:tc>
        <w:tc>
          <w:tcPr>
            <w:tcW w:w="1128" w:type="dxa"/>
            <w:vAlign w:val="center"/>
          </w:tcPr>
          <w:p w14:paraId="4F7DFE5E" w14:textId="77777777" w:rsidR="00505AFE" w:rsidRPr="00C72A3D" w:rsidRDefault="00505AFE" w:rsidP="00FD2C02">
            <w:pPr>
              <w:jc w:val="center"/>
            </w:pPr>
            <w:r w:rsidRPr="00C72A3D">
              <w:t>156,1</w:t>
            </w:r>
          </w:p>
        </w:tc>
        <w:tc>
          <w:tcPr>
            <w:tcW w:w="1133" w:type="dxa"/>
            <w:vAlign w:val="center"/>
          </w:tcPr>
          <w:p w14:paraId="2F9446D9" w14:textId="77777777" w:rsidR="00505AFE" w:rsidRPr="003C0ED1" w:rsidRDefault="00505AFE" w:rsidP="00FD2C02">
            <w:pPr>
              <w:widowControl/>
              <w:jc w:val="center"/>
            </w:pPr>
            <w:r w:rsidRPr="003C0ED1">
              <w:t>-</w:t>
            </w:r>
          </w:p>
        </w:tc>
        <w:tc>
          <w:tcPr>
            <w:tcW w:w="993" w:type="dxa"/>
            <w:vAlign w:val="center"/>
          </w:tcPr>
          <w:p w14:paraId="666EBF7B" w14:textId="77777777" w:rsidR="00505AFE" w:rsidRPr="003C0ED1" w:rsidRDefault="00505AFE" w:rsidP="00FD2C02">
            <w:pPr>
              <w:jc w:val="center"/>
            </w:pPr>
            <w:r w:rsidRPr="003C0ED1">
              <w:t>-</w:t>
            </w:r>
          </w:p>
        </w:tc>
        <w:tc>
          <w:tcPr>
            <w:tcW w:w="1140" w:type="dxa"/>
            <w:vAlign w:val="center"/>
          </w:tcPr>
          <w:p w14:paraId="41B4CAEB" w14:textId="77777777" w:rsidR="00505AFE" w:rsidRPr="003C0ED1" w:rsidRDefault="00505AFE" w:rsidP="00FD2C02">
            <w:pPr>
              <w:widowControl/>
              <w:jc w:val="center"/>
            </w:pPr>
            <w:r w:rsidRPr="003C0ED1">
              <w:t>-</w:t>
            </w:r>
          </w:p>
        </w:tc>
        <w:tc>
          <w:tcPr>
            <w:tcW w:w="1134" w:type="dxa"/>
            <w:vAlign w:val="center"/>
          </w:tcPr>
          <w:p w14:paraId="4FD96F2A" w14:textId="77777777" w:rsidR="00505AFE" w:rsidRPr="003C0ED1" w:rsidRDefault="00505AFE" w:rsidP="00FD2C02">
            <w:pPr>
              <w:widowControl/>
              <w:jc w:val="center"/>
            </w:pPr>
            <w:r w:rsidRPr="003C0ED1">
              <w:t>-</w:t>
            </w:r>
          </w:p>
        </w:tc>
        <w:tc>
          <w:tcPr>
            <w:tcW w:w="573" w:type="dxa"/>
            <w:vAlign w:val="center"/>
          </w:tcPr>
          <w:p w14:paraId="638A7745" w14:textId="77777777" w:rsidR="00505AFE" w:rsidRPr="003C0ED1" w:rsidRDefault="00505AFE" w:rsidP="00FD2C02">
            <w:pPr>
              <w:widowControl/>
              <w:jc w:val="center"/>
            </w:pPr>
            <w:r w:rsidRPr="003C0ED1">
              <w:t>-</w:t>
            </w:r>
          </w:p>
        </w:tc>
      </w:tr>
      <w:tr w:rsidR="00505AFE" w:rsidRPr="003C0ED1" w14:paraId="7A08A9DB" w14:textId="77777777" w:rsidTr="00FD2C02">
        <w:trPr>
          <w:trHeight w:hRule="exact" w:val="340"/>
        </w:trPr>
        <w:tc>
          <w:tcPr>
            <w:tcW w:w="10780" w:type="dxa"/>
            <w:gridSpan w:val="12"/>
            <w:vAlign w:val="center"/>
          </w:tcPr>
          <w:p w14:paraId="12D7C0B5" w14:textId="77777777" w:rsidR="00505AFE" w:rsidRPr="003C0ED1" w:rsidRDefault="00505AFE" w:rsidP="00FD2C02">
            <w:pPr>
              <w:widowControl/>
              <w:jc w:val="center"/>
            </w:pPr>
            <w:r w:rsidRPr="003C0ED1">
              <w:t>Передача тепловой энергии (тепловые сети по концессионному соглашению)</w:t>
            </w:r>
          </w:p>
        </w:tc>
      </w:tr>
      <w:tr w:rsidR="00505AFE" w:rsidRPr="003C0ED1" w14:paraId="795EB18E" w14:textId="77777777" w:rsidTr="00FD2C02">
        <w:trPr>
          <w:trHeight w:val="454"/>
        </w:trPr>
        <w:tc>
          <w:tcPr>
            <w:tcW w:w="319" w:type="dxa"/>
            <w:vMerge w:val="restart"/>
            <w:vAlign w:val="center"/>
          </w:tcPr>
          <w:p w14:paraId="3969290D" w14:textId="77777777" w:rsidR="00505AFE" w:rsidRPr="003C0ED1" w:rsidRDefault="00505AFE" w:rsidP="00FD2C02">
            <w:pPr>
              <w:widowControl/>
              <w:jc w:val="center"/>
            </w:pPr>
            <w:r w:rsidRPr="003C0ED1">
              <w:t>2.</w:t>
            </w:r>
          </w:p>
        </w:tc>
        <w:tc>
          <w:tcPr>
            <w:tcW w:w="1382" w:type="dxa"/>
            <w:vMerge w:val="restart"/>
            <w:vAlign w:val="center"/>
          </w:tcPr>
          <w:p w14:paraId="1258A02E" w14:textId="77777777" w:rsidR="00505AFE" w:rsidRPr="003C0ED1" w:rsidRDefault="00505AFE" w:rsidP="00FD2C02">
            <w:pPr>
              <w:widowControl/>
            </w:pPr>
            <w:r w:rsidRPr="00A64268">
              <w:rPr>
                <w:szCs w:val="22"/>
              </w:rPr>
              <w:t xml:space="preserve">ООО </w:t>
            </w:r>
            <w:r w:rsidRPr="00A64268">
              <w:rPr>
                <w:szCs w:val="22"/>
              </w:rPr>
              <w:lastRenderedPageBreak/>
              <w:t xml:space="preserve">«ИнвестЭнерго» (от БМК с. </w:t>
            </w:r>
            <w:proofErr w:type="spellStart"/>
            <w:r w:rsidRPr="00A64268">
              <w:rPr>
                <w:szCs w:val="22"/>
              </w:rPr>
              <w:t>Михалево</w:t>
            </w:r>
            <w:proofErr w:type="spellEnd"/>
            <w:r w:rsidRPr="00A64268">
              <w:rPr>
                <w:szCs w:val="22"/>
              </w:rPr>
              <w:t xml:space="preserve"> </w:t>
            </w:r>
            <w:r w:rsidRPr="00A64268">
              <w:rPr>
                <w:sz w:val="18"/>
                <w:szCs w:val="22"/>
              </w:rPr>
              <w:t>Ивановского</w:t>
            </w:r>
            <w:r w:rsidRPr="00A64268">
              <w:rPr>
                <w:szCs w:val="22"/>
              </w:rPr>
              <w:t xml:space="preserve"> района)</w:t>
            </w:r>
          </w:p>
        </w:tc>
        <w:tc>
          <w:tcPr>
            <w:tcW w:w="566" w:type="dxa"/>
            <w:shd w:val="clear" w:color="auto" w:fill="auto"/>
            <w:noWrap/>
            <w:vAlign w:val="center"/>
          </w:tcPr>
          <w:p w14:paraId="6D05D0FC" w14:textId="77777777" w:rsidR="00505AFE" w:rsidRPr="003C0ED1" w:rsidRDefault="00505AFE" w:rsidP="00FD2C02">
            <w:pPr>
              <w:jc w:val="center"/>
            </w:pPr>
            <w:r w:rsidRPr="003C0ED1">
              <w:lastRenderedPageBreak/>
              <w:t>2024</w:t>
            </w:r>
          </w:p>
        </w:tc>
        <w:tc>
          <w:tcPr>
            <w:tcW w:w="994" w:type="dxa"/>
            <w:shd w:val="clear" w:color="auto" w:fill="auto"/>
            <w:noWrap/>
            <w:vAlign w:val="center"/>
          </w:tcPr>
          <w:p w14:paraId="132F504E" w14:textId="77777777" w:rsidR="00505AFE" w:rsidRPr="003C0ED1" w:rsidRDefault="00505AFE" w:rsidP="00FD2C02">
            <w:pPr>
              <w:jc w:val="center"/>
              <w:rPr>
                <w:bCs/>
              </w:rPr>
            </w:pPr>
            <w:r w:rsidRPr="007F0555">
              <w:rPr>
                <w:bCs/>
              </w:rPr>
              <w:t>1 149,523</w:t>
            </w:r>
          </w:p>
        </w:tc>
        <w:tc>
          <w:tcPr>
            <w:tcW w:w="709" w:type="dxa"/>
            <w:shd w:val="clear" w:color="auto" w:fill="auto"/>
            <w:noWrap/>
            <w:vAlign w:val="center"/>
          </w:tcPr>
          <w:p w14:paraId="19288473" w14:textId="77777777" w:rsidR="00505AFE" w:rsidRPr="003C0ED1" w:rsidRDefault="00505AFE" w:rsidP="00FD2C02">
            <w:pPr>
              <w:widowControl/>
              <w:jc w:val="center"/>
            </w:pPr>
            <w:r w:rsidRPr="003C0ED1">
              <w:t>1,0</w:t>
            </w:r>
          </w:p>
        </w:tc>
        <w:tc>
          <w:tcPr>
            <w:tcW w:w="709" w:type="dxa"/>
            <w:shd w:val="clear" w:color="auto" w:fill="auto"/>
            <w:noWrap/>
            <w:vAlign w:val="center"/>
          </w:tcPr>
          <w:p w14:paraId="426DE786" w14:textId="77777777" w:rsidR="00505AFE" w:rsidRPr="00C72A3D" w:rsidRDefault="00505AFE" w:rsidP="00FD2C02">
            <w:pPr>
              <w:widowControl/>
              <w:jc w:val="center"/>
            </w:pPr>
            <w:r w:rsidRPr="00C72A3D">
              <w:t>32,55</w:t>
            </w:r>
          </w:p>
        </w:tc>
        <w:tc>
          <w:tcPr>
            <w:tcW w:w="1128" w:type="dxa"/>
            <w:vAlign w:val="center"/>
          </w:tcPr>
          <w:p w14:paraId="0D57DEEB" w14:textId="77777777" w:rsidR="00505AFE" w:rsidRPr="00C72A3D" w:rsidRDefault="00505AFE" w:rsidP="00FD2C02">
            <w:pPr>
              <w:jc w:val="center"/>
            </w:pPr>
            <w:r w:rsidRPr="00C72A3D">
              <w:t>-</w:t>
            </w:r>
          </w:p>
        </w:tc>
        <w:tc>
          <w:tcPr>
            <w:tcW w:w="1133" w:type="dxa"/>
            <w:vAlign w:val="center"/>
          </w:tcPr>
          <w:p w14:paraId="7F0F8BAC" w14:textId="77777777" w:rsidR="00505AFE" w:rsidRPr="00C72A3D" w:rsidRDefault="00505AFE" w:rsidP="00FD2C02">
            <w:pPr>
              <w:jc w:val="center"/>
            </w:pPr>
            <w:r w:rsidRPr="00C72A3D">
              <w:t>629,00</w:t>
            </w:r>
          </w:p>
        </w:tc>
        <w:tc>
          <w:tcPr>
            <w:tcW w:w="993" w:type="dxa"/>
            <w:vAlign w:val="center"/>
          </w:tcPr>
          <w:p w14:paraId="126E4F6E" w14:textId="77777777" w:rsidR="00505AFE" w:rsidRPr="00C72A3D" w:rsidRDefault="00505AFE" w:rsidP="00FD2C02">
            <w:pPr>
              <w:jc w:val="center"/>
            </w:pPr>
            <w:r w:rsidRPr="00C72A3D">
              <w:t>778,34</w:t>
            </w:r>
          </w:p>
        </w:tc>
        <w:tc>
          <w:tcPr>
            <w:tcW w:w="1140" w:type="dxa"/>
            <w:vAlign w:val="center"/>
          </w:tcPr>
          <w:p w14:paraId="2CE9F1E0" w14:textId="77777777" w:rsidR="00505AFE" w:rsidRPr="00C72A3D" w:rsidRDefault="00505AFE" w:rsidP="00FD2C02">
            <w:pPr>
              <w:jc w:val="center"/>
            </w:pPr>
            <w:r w:rsidRPr="00C72A3D">
              <w:t>1,13</w:t>
            </w:r>
          </w:p>
        </w:tc>
        <w:tc>
          <w:tcPr>
            <w:tcW w:w="1134" w:type="dxa"/>
            <w:vAlign w:val="center"/>
          </w:tcPr>
          <w:p w14:paraId="25F0D9B8" w14:textId="77777777" w:rsidR="00505AFE" w:rsidRPr="00C72A3D" w:rsidRDefault="00505AFE" w:rsidP="00FD2C02">
            <w:pPr>
              <w:jc w:val="center"/>
            </w:pPr>
            <w:r w:rsidRPr="00C72A3D">
              <w:t>1,40</w:t>
            </w:r>
          </w:p>
        </w:tc>
        <w:tc>
          <w:tcPr>
            <w:tcW w:w="573" w:type="dxa"/>
            <w:vAlign w:val="center"/>
          </w:tcPr>
          <w:p w14:paraId="23DD3C4A" w14:textId="77777777" w:rsidR="00505AFE" w:rsidRPr="003C0ED1" w:rsidRDefault="00505AFE" w:rsidP="00FD2C02">
            <w:pPr>
              <w:widowControl/>
              <w:jc w:val="center"/>
            </w:pPr>
            <w:r w:rsidRPr="003C0ED1">
              <w:t>-</w:t>
            </w:r>
          </w:p>
        </w:tc>
      </w:tr>
      <w:tr w:rsidR="00505AFE" w:rsidRPr="003C0ED1" w14:paraId="19CF7528" w14:textId="77777777" w:rsidTr="00FD2C02">
        <w:trPr>
          <w:trHeight w:val="454"/>
        </w:trPr>
        <w:tc>
          <w:tcPr>
            <w:tcW w:w="319" w:type="dxa"/>
            <w:vMerge/>
            <w:vAlign w:val="center"/>
          </w:tcPr>
          <w:p w14:paraId="40CE8A26" w14:textId="77777777" w:rsidR="00505AFE" w:rsidRPr="003C0ED1" w:rsidRDefault="00505AFE" w:rsidP="00FD2C02">
            <w:pPr>
              <w:widowControl/>
              <w:jc w:val="center"/>
            </w:pPr>
          </w:p>
        </w:tc>
        <w:tc>
          <w:tcPr>
            <w:tcW w:w="1382" w:type="dxa"/>
            <w:vMerge/>
            <w:vAlign w:val="center"/>
          </w:tcPr>
          <w:p w14:paraId="4E96AD7E" w14:textId="77777777" w:rsidR="00505AFE" w:rsidRPr="003C0ED1" w:rsidRDefault="00505AFE" w:rsidP="00FD2C02">
            <w:pPr>
              <w:widowControl/>
            </w:pPr>
          </w:p>
        </w:tc>
        <w:tc>
          <w:tcPr>
            <w:tcW w:w="566" w:type="dxa"/>
            <w:shd w:val="clear" w:color="auto" w:fill="auto"/>
            <w:noWrap/>
            <w:vAlign w:val="center"/>
          </w:tcPr>
          <w:p w14:paraId="058AA4E0" w14:textId="77777777" w:rsidR="00505AFE" w:rsidRPr="003C0ED1" w:rsidRDefault="00505AFE" w:rsidP="00FD2C02">
            <w:pPr>
              <w:jc w:val="center"/>
            </w:pPr>
            <w:r w:rsidRPr="003C0ED1">
              <w:t>2025</w:t>
            </w:r>
          </w:p>
        </w:tc>
        <w:tc>
          <w:tcPr>
            <w:tcW w:w="994" w:type="dxa"/>
            <w:shd w:val="clear" w:color="auto" w:fill="auto"/>
            <w:noWrap/>
            <w:vAlign w:val="center"/>
          </w:tcPr>
          <w:p w14:paraId="32E3E0A5" w14:textId="77777777" w:rsidR="00505AFE" w:rsidRPr="003C0ED1" w:rsidRDefault="00505AFE" w:rsidP="00FD2C02">
            <w:pPr>
              <w:widowControl/>
              <w:jc w:val="center"/>
            </w:pPr>
            <w:r w:rsidRPr="003C0ED1">
              <w:t>-</w:t>
            </w:r>
          </w:p>
        </w:tc>
        <w:tc>
          <w:tcPr>
            <w:tcW w:w="709" w:type="dxa"/>
            <w:shd w:val="clear" w:color="auto" w:fill="auto"/>
            <w:noWrap/>
            <w:vAlign w:val="center"/>
          </w:tcPr>
          <w:p w14:paraId="6B2DE76A" w14:textId="77777777" w:rsidR="00505AFE" w:rsidRPr="003C0ED1" w:rsidRDefault="00505AFE" w:rsidP="00FD2C02">
            <w:pPr>
              <w:widowControl/>
              <w:jc w:val="center"/>
            </w:pPr>
            <w:r w:rsidRPr="003C0ED1">
              <w:t>1,0</w:t>
            </w:r>
          </w:p>
        </w:tc>
        <w:tc>
          <w:tcPr>
            <w:tcW w:w="709" w:type="dxa"/>
            <w:shd w:val="clear" w:color="auto" w:fill="auto"/>
            <w:noWrap/>
            <w:vAlign w:val="center"/>
          </w:tcPr>
          <w:p w14:paraId="5B13C6AA" w14:textId="77777777" w:rsidR="00505AFE" w:rsidRPr="00C72A3D" w:rsidRDefault="00505AFE" w:rsidP="00FD2C02">
            <w:pPr>
              <w:widowControl/>
              <w:jc w:val="center"/>
            </w:pPr>
            <w:r w:rsidRPr="00C72A3D">
              <w:t>25,38</w:t>
            </w:r>
          </w:p>
        </w:tc>
        <w:tc>
          <w:tcPr>
            <w:tcW w:w="1128" w:type="dxa"/>
            <w:vAlign w:val="center"/>
          </w:tcPr>
          <w:p w14:paraId="20B95D06" w14:textId="77777777" w:rsidR="00505AFE" w:rsidRPr="00C72A3D" w:rsidRDefault="00505AFE" w:rsidP="00FD2C02">
            <w:pPr>
              <w:jc w:val="center"/>
            </w:pPr>
            <w:r w:rsidRPr="00C72A3D">
              <w:t>-</w:t>
            </w:r>
          </w:p>
        </w:tc>
        <w:tc>
          <w:tcPr>
            <w:tcW w:w="1133" w:type="dxa"/>
            <w:vAlign w:val="center"/>
          </w:tcPr>
          <w:p w14:paraId="02326CED" w14:textId="77777777" w:rsidR="00505AFE" w:rsidRPr="00C72A3D" w:rsidRDefault="00505AFE" w:rsidP="00FD2C02">
            <w:pPr>
              <w:jc w:val="center"/>
            </w:pPr>
            <w:r w:rsidRPr="00C72A3D">
              <w:t>570,20</w:t>
            </w:r>
          </w:p>
        </w:tc>
        <w:tc>
          <w:tcPr>
            <w:tcW w:w="993" w:type="dxa"/>
            <w:vAlign w:val="center"/>
          </w:tcPr>
          <w:p w14:paraId="638966FC" w14:textId="77777777" w:rsidR="00505AFE" w:rsidRPr="00C72A3D" w:rsidRDefault="00505AFE" w:rsidP="00FD2C02">
            <w:pPr>
              <w:jc w:val="center"/>
            </w:pPr>
            <w:r w:rsidRPr="00C72A3D">
              <w:t>735,81</w:t>
            </w:r>
          </w:p>
        </w:tc>
        <w:tc>
          <w:tcPr>
            <w:tcW w:w="1140" w:type="dxa"/>
            <w:vAlign w:val="center"/>
          </w:tcPr>
          <w:p w14:paraId="2940B5CE" w14:textId="77777777" w:rsidR="00505AFE" w:rsidRPr="00C72A3D" w:rsidRDefault="00505AFE" w:rsidP="00FD2C02">
            <w:pPr>
              <w:jc w:val="center"/>
            </w:pPr>
            <w:r w:rsidRPr="00C72A3D">
              <w:t>1,09</w:t>
            </w:r>
          </w:p>
        </w:tc>
        <w:tc>
          <w:tcPr>
            <w:tcW w:w="1134" w:type="dxa"/>
            <w:vAlign w:val="center"/>
          </w:tcPr>
          <w:p w14:paraId="328B6BAA" w14:textId="77777777" w:rsidR="00505AFE" w:rsidRPr="00C72A3D" w:rsidRDefault="00505AFE" w:rsidP="00FD2C02">
            <w:pPr>
              <w:jc w:val="center"/>
            </w:pPr>
            <w:r w:rsidRPr="00C72A3D">
              <w:t>1,41</w:t>
            </w:r>
          </w:p>
        </w:tc>
        <w:tc>
          <w:tcPr>
            <w:tcW w:w="573" w:type="dxa"/>
            <w:vAlign w:val="center"/>
          </w:tcPr>
          <w:p w14:paraId="29AE2BB5" w14:textId="77777777" w:rsidR="00505AFE" w:rsidRPr="003C0ED1" w:rsidRDefault="00505AFE" w:rsidP="00FD2C02">
            <w:pPr>
              <w:widowControl/>
              <w:jc w:val="center"/>
            </w:pPr>
            <w:r w:rsidRPr="003C0ED1">
              <w:t>-</w:t>
            </w:r>
          </w:p>
        </w:tc>
      </w:tr>
      <w:tr w:rsidR="00505AFE" w:rsidRPr="003C0ED1" w14:paraId="628E4995" w14:textId="77777777" w:rsidTr="00FD2C02">
        <w:trPr>
          <w:trHeight w:val="454"/>
        </w:trPr>
        <w:tc>
          <w:tcPr>
            <w:tcW w:w="319" w:type="dxa"/>
            <w:vMerge/>
            <w:vAlign w:val="center"/>
          </w:tcPr>
          <w:p w14:paraId="46CE2E10" w14:textId="77777777" w:rsidR="00505AFE" w:rsidRPr="003C0ED1" w:rsidRDefault="00505AFE" w:rsidP="00FD2C02">
            <w:pPr>
              <w:widowControl/>
              <w:jc w:val="center"/>
            </w:pPr>
          </w:p>
        </w:tc>
        <w:tc>
          <w:tcPr>
            <w:tcW w:w="1382" w:type="dxa"/>
            <w:vMerge/>
            <w:vAlign w:val="center"/>
          </w:tcPr>
          <w:p w14:paraId="6EC9EDEE" w14:textId="77777777" w:rsidR="00505AFE" w:rsidRPr="003C0ED1" w:rsidRDefault="00505AFE" w:rsidP="00FD2C02">
            <w:pPr>
              <w:widowControl/>
            </w:pPr>
          </w:p>
        </w:tc>
        <w:tc>
          <w:tcPr>
            <w:tcW w:w="566" w:type="dxa"/>
            <w:shd w:val="clear" w:color="auto" w:fill="auto"/>
            <w:noWrap/>
            <w:vAlign w:val="center"/>
          </w:tcPr>
          <w:p w14:paraId="53B9C6A9" w14:textId="77777777" w:rsidR="00505AFE" w:rsidRPr="003C0ED1" w:rsidRDefault="00505AFE" w:rsidP="00FD2C02">
            <w:pPr>
              <w:jc w:val="center"/>
            </w:pPr>
            <w:r w:rsidRPr="003C0ED1">
              <w:t>2026</w:t>
            </w:r>
          </w:p>
        </w:tc>
        <w:tc>
          <w:tcPr>
            <w:tcW w:w="994" w:type="dxa"/>
            <w:shd w:val="clear" w:color="auto" w:fill="auto"/>
            <w:noWrap/>
            <w:vAlign w:val="center"/>
          </w:tcPr>
          <w:p w14:paraId="19071D56" w14:textId="77777777" w:rsidR="00505AFE" w:rsidRPr="003C0ED1" w:rsidRDefault="00505AFE" w:rsidP="00FD2C02">
            <w:pPr>
              <w:widowControl/>
              <w:jc w:val="center"/>
            </w:pPr>
            <w:r w:rsidRPr="003C0ED1">
              <w:t>-</w:t>
            </w:r>
          </w:p>
        </w:tc>
        <w:tc>
          <w:tcPr>
            <w:tcW w:w="709" w:type="dxa"/>
            <w:shd w:val="clear" w:color="auto" w:fill="auto"/>
            <w:noWrap/>
            <w:vAlign w:val="center"/>
          </w:tcPr>
          <w:p w14:paraId="40FD1AD9" w14:textId="77777777" w:rsidR="00505AFE" w:rsidRPr="003C0ED1" w:rsidRDefault="00505AFE" w:rsidP="00FD2C02">
            <w:pPr>
              <w:widowControl/>
              <w:jc w:val="center"/>
            </w:pPr>
            <w:r w:rsidRPr="003C0ED1">
              <w:t>1,0</w:t>
            </w:r>
          </w:p>
        </w:tc>
        <w:tc>
          <w:tcPr>
            <w:tcW w:w="709" w:type="dxa"/>
            <w:shd w:val="clear" w:color="auto" w:fill="auto"/>
            <w:noWrap/>
            <w:vAlign w:val="center"/>
          </w:tcPr>
          <w:p w14:paraId="48FBCFEC" w14:textId="77777777" w:rsidR="00505AFE" w:rsidRPr="00C72A3D" w:rsidRDefault="00505AFE" w:rsidP="00FD2C02">
            <w:pPr>
              <w:widowControl/>
              <w:jc w:val="center"/>
            </w:pPr>
            <w:r w:rsidRPr="00C72A3D">
              <w:t>22,73</w:t>
            </w:r>
          </w:p>
        </w:tc>
        <w:tc>
          <w:tcPr>
            <w:tcW w:w="1128" w:type="dxa"/>
            <w:vAlign w:val="center"/>
          </w:tcPr>
          <w:p w14:paraId="7F646972" w14:textId="77777777" w:rsidR="00505AFE" w:rsidRPr="00C72A3D" w:rsidRDefault="00505AFE" w:rsidP="00FD2C02">
            <w:pPr>
              <w:jc w:val="center"/>
            </w:pPr>
            <w:r w:rsidRPr="00C72A3D">
              <w:t>-</w:t>
            </w:r>
          </w:p>
        </w:tc>
        <w:tc>
          <w:tcPr>
            <w:tcW w:w="1133" w:type="dxa"/>
            <w:vAlign w:val="center"/>
          </w:tcPr>
          <w:p w14:paraId="4A2E3D04" w14:textId="77777777" w:rsidR="00505AFE" w:rsidRPr="00C72A3D" w:rsidRDefault="00505AFE" w:rsidP="00FD2C02">
            <w:pPr>
              <w:jc w:val="center"/>
            </w:pPr>
            <w:r w:rsidRPr="00C72A3D">
              <w:t>570,20</w:t>
            </w:r>
          </w:p>
        </w:tc>
        <w:tc>
          <w:tcPr>
            <w:tcW w:w="993" w:type="dxa"/>
            <w:vAlign w:val="center"/>
          </w:tcPr>
          <w:p w14:paraId="6AE78D01" w14:textId="77777777" w:rsidR="00505AFE" w:rsidRPr="00C72A3D" w:rsidRDefault="00505AFE" w:rsidP="00FD2C02">
            <w:pPr>
              <w:jc w:val="center"/>
            </w:pPr>
            <w:r w:rsidRPr="00C72A3D">
              <w:t>735,81</w:t>
            </w:r>
          </w:p>
        </w:tc>
        <w:tc>
          <w:tcPr>
            <w:tcW w:w="1140" w:type="dxa"/>
            <w:vAlign w:val="center"/>
          </w:tcPr>
          <w:p w14:paraId="5019554D" w14:textId="77777777" w:rsidR="00505AFE" w:rsidRPr="00C72A3D" w:rsidRDefault="00505AFE" w:rsidP="00FD2C02">
            <w:pPr>
              <w:jc w:val="center"/>
            </w:pPr>
            <w:r w:rsidRPr="00C72A3D">
              <w:t>1,09</w:t>
            </w:r>
          </w:p>
        </w:tc>
        <w:tc>
          <w:tcPr>
            <w:tcW w:w="1134" w:type="dxa"/>
            <w:vAlign w:val="center"/>
          </w:tcPr>
          <w:p w14:paraId="76EA4136" w14:textId="77777777" w:rsidR="00505AFE" w:rsidRPr="00C72A3D" w:rsidRDefault="00505AFE" w:rsidP="00FD2C02">
            <w:pPr>
              <w:jc w:val="center"/>
            </w:pPr>
            <w:r w:rsidRPr="00C72A3D">
              <w:t>1,41</w:t>
            </w:r>
          </w:p>
        </w:tc>
        <w:tc>
          <w:tcPr>
            <w:tcW w:w="573" w:type="dxa"/>
            <w:vAlign w:val="center"/>
          </w:tcPr>
          <w:p w14:paraId="13D4B772" w14:textId="77777777" w:rsidR="00505AFE" w:rsidRPr="003C0ED1" w:rsidRDefault="00505AFE" w:rsidP="00FD2C02">
            <w:pPr>
              <w:widowControl/>
              <w:jc w:val="center"/>
            </w:pPr>
            <w:r w:rsidRPr="003C0ED1">
              <w:t>-</w:t>
            </w:r>
          </w:p>
        </w:tc>
      </w:tr>
    </w:tbl>
    <w:p w14:paraId="07A9C9AD" w14:textId="77777777" w:rsidR="00505AFE" w:rsidRPr="00D771C7" w:rsidRDefault="00505AFE" w:rsidP="00505AFE">
      <w:pPr>
        <w:widowControl/>
        <w:autoSpaceDE w:val="0"/>
        <w:autoSpaceDN w:val="0"/>
        <w:adjustRightInd w:val="0"/>
        <w:rPr>
          <w:b/>
          <w:bCs/>
          <w:color w:val="FF0000"/>
          <w:sz w:val="22"/>
          <w:szCs w:val="22"/>
        </w:rPr>
      </w:pPr>
    </w:p>
    <w:p w14:paraId="1F8BA100" w14:textId="77777777" w:rsidR="00505AFE" w:rsidRPr="00505AFE" w:rsidRDefault="00505AFE" w:rsidP="00505AFE">
      <w:pPr>
        <w:numPr>
          <w:ilvl w:val="0"/>
          <w:numId w:val="15"/>
        </w:numPr>
        <w:tabs>
          <w:tab w:val="left" w:pos="993"/>
          <w:tab w:val="left" w:pos="1134"/>
        </w:tabs>
        <w:ind w:left="0" w:firstLine="709"/>
        <w:jc w:val="both"/>
        <w:rPr>
          <w:sz w:val="24"/>
          <w:szCs w:val="24"/>
        </w:rPr>
      </w:pPr>
      <w:r w:rsidRPr="00505AFE">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AAC453B" w14:textId="411B1A81" w:rsidR="00505AFE" w:rsidRPr="00505AFE" w:rsidRDefault="00505AFE" w:rsidP="00505AFE">
      <w:pPr>
        <w:numPr>
          <w:ilvl w:val="0"/>
          <w:numId w:val="15"/>
        </w:numPr>
        <w:tabs>
          <w:tab w:val="left" w:pos="993"/>
          <w:tab w:val="left" w:pos="1134"/>
        </w:tabs>
        <w:ind w:left="0" w:firstLine="709"/>
        <w:jc w:val="both"/>
        <w:rPr>
          <w:sz w:val="24"/>
          <w:szCs w:val="24"/>
        </w:rPr>
      </w:pPr>
      <w:r w:rsidRPr="00505AFE">
        <w:rPr>
          <w:sz w:val="24"/>
          <w:szCs w:val="24"/>
        </w:rPr>
        <w:t xml:space="preserve">Тарифы, установленные в п. 1, 2, долгосрочные параметры, установленные в п. 3, действуют с 21.06.2024 по 31.12.2026 года. </w:t>
      </w:r>
    </w:p>
    <w:p w14:paraId="4DE8C62B" w14:textId="6F1A69C9" w:rsidR="00505AFE" w:rsidRPr="00505AFE" w:rsidRDefault="00505AFE" w:rsidP="00505AFE">
      <w:pPr>
        <w:numPr>
          <w:ilvl w:val="0"/>
          <w:numId w:val="15"/>
        </w:numPr>
        <w:tabs>
          <w:tab w:val="left" w:pos="993"/>
          <w:tab w:val="left" w:pos="1134"/>
        </w:tabs>
        <w:ind w:left="0" w:firstLine="709"/>
        <w:jc w:val="both"/>
        <w:rPr>
          <w:sz w:val="24"/>
          <w:szCs w:val="24"/>
        </w:rPr>
      </w:pPr>
      <w:r>
        <w:rPr>
          <w:sz w:val="24"/>
          <w:szCs w:val="24"/>
        </w:rPr>
        <w:t>П</w:t>
      </w:r>
      <w:r w:rsidRPr="00505AFE">
        <w:rPr>
          <w:sz w:val="24"/>
          <w:szCs w:val="24"/>
        </w:rPr>
        <w:t>остановление вступает в силу после дня его официального опубликования.</w:t>
      </w:r>
    </w:p>
    <w:p w14:paraId="281BAF03" w14:textId="77777777" w:rsidR="00B723DF" w:rsidRPr="00B723DF" w:rsidRDefault="00B723DF" w:rsidP="00B723DF">
      <w:pPr>
        <w:widowControl/>
        <w:autoSpaceDE w:val="0"/>
        <w:autoSpaceDN w:val="0"/>
        <w:adjustRightInd w:val="0"/>
        <w:jc w:val="both"/>
        <w:outlineLvl w:val="3"/>
        <w:rPr>
          <w:sz w:val="22"/>
          <w:szCs w:val="22"/>
        </w:rPr>
      </w:pPr>
    </w:p>
    <w:bookmarkEnd w:id="0"/>
    <w:bookmarkEnd w:id="1"/>
    <w:p w14:paraId="1BD4100D" w14:textId="4482A1B5" w:rsidR="00E2724D" w:rsidRPr="00E2724D" w:rsidRDefault="00E2724D" w:rsidP="004A5646">
      <w:pPr>
        <w:widowControl/>
        <w:ind w:firstLine="709"/>
        <w:jc w:val="both"/>
        <w:rPr>
          <w:b/>
          <w:bCs/>
          <w:sz w:val="22"/>
          <w:szCs w:val="22"/>
        </w:rPr>
      </w:pPr>
      <w:r w:rsidRPr="00E2724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2724D" w:rsidRPr="00591EF0" w14:paraId="35A5693C" w14:textId="77777777" w:rsidTr="008860A1">
        <w:tc>
          <w:tcPr>
            <w:tcW w:w="959" w:type="dxa"/>
          </w:tcPr>
          <w:p w14:paraId="31789046" w14:textId="77777777" w:rsidR="00E2724D" w:rsidRPr="00591EF0" w:rsidRDefault="00E2724D" w:rsidP="004A5646">
            <w:pPr>
              <w:tabs>
                <w:tab w:val="left" w:pos="4020"/>
              </w:tabs>
              <w:jc w:val="center"/>
              <w:rPr>
                <w:sz w:val="22"/>
                <w:szCs w:val="22"/>
              </w:rPr>
            </w:pPr>
            <w:r w:rsidRPr="00591EF0">
              <w:rPr>
                <w:sz w:val="22"/>
                <w:szCs w:val="22"/>
              </w:rPr>
              <w:t>№ п/п</w:t>
            </w:r>
          </w:p>
        </w:tc>
        <w:tc>
          <w:tcPr>
            <w:tcW w:w="2391" w:type="dxa"/>
          </w:tcPr>
          <w:p w14:paraId="7943A731" w14:textId="77777777" w:rsidR="00E2724D" w:rsidRPr="00591EF0" w:rsidRDefault="00E2724D" w:rsidP="004A5646">
            <w:pPr>
              <w:tabs>
                <w:tab w:val="left" w:pos="4020"/>
              </w:tabs>
              <w:rPr>
                <w:sz w:val="22"/>
                <w:szCs w:val="22"/>
              </w:rPr>
            </w:pPr>
            <w:r w:rsidRPr="00591EF0">
              <w:rPr>
                <w:sz w:val="22"/>
                <w:szCs w:val="22"/>
              </w:rPr>
              <w:t>Члены правления</w:t>
            </w:r>
          </w:p>
        </w:tc>
        <w:tc>
          <w:tcPr>
            <w:tcW w:w="3493" w:type="dxa"/>
          </w:tcPr>
          <w:p w14:paraId="3371F3DE" w14:textId="77777777" w:rsidR="00E2724D" w:rsidRPr="00591EF0" w:rsidRDefault="00E2724D" w:rsidP="004A5646">
            <w:pPr>
              <w:tabs>
                <w:tab w:val="left" w:pos="4020"/>
              </w:tabs>
              <w:jc w:val="center"/>
              <w:rPr>
                <w:sz w:val="22"/>
                <w:szCs w:val="22"/>
              </w:rPr>
            </w:pPr>
            <w:r w:rsidRPr="00591EF0">
              <w:rPr>
                <w:sz w:val="22"/>
                <w:szCs w:val="22"/>
              </w:rPr>
              <w:t>Результаты голосования</w:t>
            </w:r>
          </w:p>
        </w:tc>
      </w:tr>
      <w:tr w:rsidR="00E2724D" w:rsidRPr="00591EF0" w14:paraId="69BB8532" w14:textId="77777777" w:rsidTr="008860A1">
        <w:tc>
          <w:tcPr>
            <w:tcW w:w="959" w:type="dxa"/>
          </w:tcPr>
          <w:p w14:paraId="25C2F79E" w14:textId="77777777" w:rsidR="00E2724D" w:rsidRPr="00591EF0" w:rsidRDefault="00E2724D" w:rsidP="004A5646">
            <w:pPr>
              <w:tabs>
                <w:tab w:val="left" w:pos="4020"/>
              </w:tabs>
              <w:jc w:val="center"/>
              <w:rPr>
                <w:sz w:val="22"/>
                <w:szCs w:val="22"/>
              </w:rPr>
            </w:pPr>
            <w:r w:rsidRPr="00591EF0">
              <w:rPr>
                <w:sz w:val="22"/>
                <w:szCs w:val="22"/>
              </w:rPr>
              <w:t>1.</w:t>
            </w:r>
          </w:p>
        </w:tc>
        <w:tc>
          <w:tcPr>
            <w:tcW w:w="2391" w:type="dxa"/>
          </w:tcPr>
          <w:p w14:paraId="43A2338D" w14:textId="77777777" w:rsidR="00E2724D" w:rsidRPr="00591EF0" w:rsidRDefault="00E2724D" w:rsidP="004A5646">
            <w:pPr>
              <w:tabs>
                <w:tab w:val="left" w:pos="4020"/>
              </w:tabs>
              <w:rPr>
                <w:sz w:val="22"/>
                <w:szCs w:val="22"/>
              </w:rPr>
            </w:pPr>
            <w:r w:rsidRPr="00591EF0">
              <w:rPr>
                <w:sz w:val="22"/>
                <w:szCs w:val="22"/>
              </w:rPr>
              <w:t>Морева Е.Н.</w:t>
            </w:r>
          </w:p>
        </w:tc>
        <w:tc>
          <w:tcPr>
            <w:tcW w:w="3493" w:type="dxa"/>
          </w:tcPr>
          <w:p w14:paraId="40A0892E" w14:textId="0B85E643" w:rsidR="00E2724D" w:rsidRPr="00591EF0" w:rsidRDefault="006D790B" w:rsidP="004A5646">
            <w:pPr>
              <w:jc w:val="center"/>
              <w:rPr>
                <w:sz w:val="22"/>
                <w:szCs w:val="22"/>
              </w:rPr>
            </w:pPr>
            <w:r>
              <w:rPr>
                <w:sz w:val="22"/>
                <w:szCs w:val="22"/>
              </w:rPr>
              <w:t>-</w:t>
            </w:r>
          </w:p>
        </w:tc>
      </w:tr>
      <w:tr w:rsidR="00E2724D" w:rsidRPr="00591EF0" w14:paraId="664AF1ED" w14:textId="77777777" w:rsidTr="008860A1">
        <w:tc>
          <w:tcPr>
            <w:tcW w:w="959" w:type="dxa"/>
          </w:tcPr>
          <w:p w14:paraId="59F1C70C" w14:textId="77777777" w:rsidR="00E2724D" w:rsidRPr="00591EF0" w:rsidRDefault="00E2724D" w:rsidP="004A5646">
            <w:pPr>
              <w:tabs>
                <w:tab w:val="left" w:pos="4020"/>
              </w:tabs>
              <w:jc w:val="center"/>
              <w:rPr>
                <w:sz w:val="22"/>
                <w:szCs w:val="22"/>
              </w:rPr>
            </w:pPr>
            <w:r w:rsidRPr="00591EF0">
              <w:rPr>
                <w:sz w:val="22"/>
                <w:szCs w:val="22"/>
              </w:rPr>
              <w:t>2.</w:t>
            </w:r>
          </w:p>
        </w:tc>
        <w:tc>
          <w:tcPr>
            <w:tcW w:w="2391" w:type="dxa"/>
          </w:tcPr>
          <w:p w14:paraId="2B6E092D" w14:textId="77777777" w:rsidR="00E2724D" w:rsidRPr="00591EF0" w:rsidRDefault="00E2724D" w:rsidP="004A5646">
            <w:pPr>
              <w:tabs>
                <w:tab w:val="left" w:pos="4020"/>
              </w:tabs>
              <w:rPr>
                <w:sz w:val="22"/>
                <w:szCs w:val="22"/>
              </w:rPr>
            </w:pPr>
            <w:r w:rsidRPr="00591EF0">
              <w:rPr>
                <w:sz w:val="22"/>
                <w:szCs w:val="22"/>
              </w:rPr>
              <w:t>Бугаева С.Е.</w:t>
            </w:r>
          </w:p>
        </w:tc>
        <w:tc>
          <w:tcPr>
            <w:tcW w:w="3493" w:type="dxa"/>
          </w:tcPr>
          <w:p w14:paraId="3762D9D1" w14:textId="35C93D90" w:rsidR="00E2724D" w:rsidRPr="00591EF0" w:rsidRDefault="00886792" w:rsidP="004A5646">
            <w:pPr>
              <w:jc w:val="center"/>
              <w:rPr>
                <w:sz w:val="22"/>
                <w:szCs w:val="22"/>
              </w:rPr>
            </w:pPr>
            <w:r>
              <w:rPr>
                <w:sz w:val="22"/>
                <w:szCs w:val="22"/>
              </w:rPr>
              <w:t>за</w:t>
            </w:r>
          </w:p>
        </w:tc>
      </w:tr>
      <w:tr w:rsidR="00E2724D" w:rsidRPr="00591EF0" w14:paraId="0AF837A8" w14:textId="77777777" w:rsidTr="008860A1">
        <w:tc>
          <w:tcPr>
            <w:tcW w:w="959" w:type="dxa"/>
          </w:tcPr>
          <w:p w14:paraId="64300A7B" w14:textId="77777777" w:rsidR="00E2724D" w:rsidRPr="00591EF0" w:rsidRDefault="00E2724D" w:rsidP="004A5646">
            <w:pPr>
              <w:tabs>
                <w:tab w:val="left" w:pos="4020"/>
              </w:tabs>
              <w:jc w:val="center"/>
              <w:rPr>
                <w:sz w:val="22"/>
                <w:szCs w:val="22"/>
              </w:rPr>
            </w:pPr>
            <w:r w:rsidRPr="00591EF0">
              <w:rPr>
                <w:sz w:val="22"/>
                <w:szCs w:val="22"/>
              </w:rPr>
              <w:t>3.</w:t>
            </w:r>
          </w:p>
        </w:tc>
        <w:tc>
          <w:tcPr>
            <w:tcW w:w="2391" w:type="dxa"/>
          </w:tcPr>
          <w:p w14:paraId="220EF46A" w14:textId="77777777" w:rsidR="00E2724D" w:rsidRPr="00591EF0" w:rsidRDefault="00E2724D" w:rsidP="004A5646">
            <w:pPr>
              <w:tabs>
                <w:tab w:val="left" w:pos="4020"/>
              </w:tabs>
              <w:rPr>
                <w:sz w:val="22"/>
                <w:szCs w:val="22"/>
              </w:rPr>
            </w:pPr>
            <w:r w:rsidRPr="00591EF0">
              <w:rPr>
                <w:sz w:val="22"/>
                <w:szCs w:val="22"/>
              </w:rPr>
              <w:t>Гущина Н.Б.</w:t>
            </w:r>
          </w:p>
        </w:tc>
        <w:tc>
          <w:tcPr>
            <w:tcW w:w="3493" w:type="dxa"/>
          </w:tcPr>
          <w:p w14:paraId="32C35748" w14:textId="77777777" w:rsidR="00E2724D" w:rsidRPr="00591EF0" w:rsidRDefault="00E2724D" w:rsidP="004A5646">
            <w:pPr>
              <w:jc w:val="center"/>
              <w:rPr>
                <w:sz w:val="22"/>
                <w:szCs w:val="22"/>
              </w:rPr>
            </w:pPr>
            <w:r w:rsidRPr="00591EF0">
              <w:rPr>
                <w:sz w:val="22"/>
                <w:szCs w:val="22"/>
              </w:rPr>
              <w:t>за</w:t>
            </w:r>
          </w:p>
        </w:tc>
      </w:tr>
      <w:tr w:rsidR="00E2724D" w:rsidRPr="00591EF0" w14:paraId="3428C3AB" w14:textId="77777777" w:rsidTr="008860A1">
        <w:tc>
          <w:tcPr>
            <w:tcW w:w="959" w:type="dxa"/>
          </w:tcPr>
          <w:p w14:paraId="6F7BDAFB" w14:textId="77777777" w:rsidR="00E2724D" w:rsidRPr="00591EF0" w:rsidRDefault="00E2724D" w:rsidP="004A5646">
            <w:pPr>
              <w:tabs>
                <w:tab w:val="left" w:pos="4020"/>
              </w:tabs>
              <w:jc w:val="center"/>
              <w:rPr>
                <w:sz w:val="22"/>
                <w:szCs w:val="22"/>
              </w:rPr>
            </w:pPr>
            <w:r w:rsidRPr="00591EF0">
              <w:rPr>
                <w:sz w:val="22"/>
                <w:szCs w:val="22"/>
              </w:rPr>
              <w:t>4.</w:t>
            </w:r>
          </w:p>
        </w:tc>
        <w:tc>
          <w:tcPr>
            <w:tcW w:w="2391" w:type="dxa"/>
          </w:tcPr>
          <w:p w14:paraId="7D8CBCCD" w14:textId="77777777" w:rsidR="00E2724D" w:rsidRPr="00591EF0" w:rsidRDefault="00E2724D" w:rsidP="004A5646">
            <w:pPr>
              <w:tabs>
                <w:tab w:val="left" w:pos="4020"/>
              </w:tabs>
              <w:rPr>
                <w:sz w:val="22"/>
                <w:szCs w:val="22"/>
              </w:rPr>
            </w:pPr>
            <w:proofErr w:type="spellStart"/>
            <w:r w:rsidRPr="00591EF0">
              <w:rPr>
                <w:sz w:val="22"/>
                <w:szCs w:val="22"/>
              </w:rPr>
              <w:t>Турбачкина</w:t>
            </w:r>
            <w:proofErr w:type="spellEnd"/>
            <w:r w:rsidRPr="00591EF0">
              <w:rPr>
                <w:sz w:val="22"/>
                <w:szCs w:val="22"/>
              </w:rPr>
              <w:t xml:space="preserve"> Е.В.</w:t>
            </w:r>
          </w:p>
        </w:tc>
        <w:tc>
          <w:tcPr>
            <w:tcW w:w="3493" w:type="dxa"/>
          </w:tcPr>
          <w:p w14:paraId="1B33FAC9" w14:textId="3216A558" w:rsidR="00E2724D" w:rsidRPr="00591EF0" w:rsidRDefault="0007683D" w:rsidP="004A5646">
            <w:pPr>
              <w:tabs>
                <w:tab w:val="left" w:pos="4020"/>
              </w:tabs>
              <w:jc w:val="center"/>
              <w:rPr>
                <w:sz w:val="22"/>
                <w:szCs w:val="22"/>
              </w:rPr>
            </w:pPr>
            <w:r>
              <w:rPr>
                <w:sz w:val="22"/>
                <w:szCs w:val="22"/>
              </w:rPr>
              <w:t>за</w:t>
            </w:r>
          </w:p>
        </w:tc>
      </w:tr>
      <w:tr w:rsidR="00E2724D" w:rsidRPr="00591EF0" w14:paraId="0C6FACE3" w14:textId="77777777" w:rsidTr="008860A1">
        <w:tc>
          <w:tcPr>
            <w:tcW w:w="959" w:type="dxa"/>
          </w:tcPr>
          <w:p w14:paraId="1AE73803" w14:textId="77777777" w:rsidR="00E2724D" w:rsidRPr="00591EF0" w:rsidRDefault="00E2724D" w:rsidP="004A5646">
            <w:pPr>
              <w:tabs>
                <w:tab w:val="left" w:pos="4020"/>
              </w:tabs>
              <w:jc w:val="center"/>
              <w:rPr>
                <w:sz w:val="22"/>
                <w:szCs w:val="22"/>
              </w:rPr>
            </w:pPr>
            <w:r w:rsidRPr="00591EF0">
              <w:rPr>
                <w:sz w:val="22"/>
                <w:szCs w:val="22"/>
              </w:rPr>
              <w:t>5.</w:t>
            </w:r>
          </w:p>
        </w:tc>
        <w:tc>
          <w:tcPr>
            <w:tcW w:w="2391" w:type="dxa"/>
          </w:tcPr>
          <w:p w14:paraId="335C8A1B" w14:textId="77777777" w:rsidR="00E2724D" w:rsidRPr="00591EF0" w:rsidRDefault="00E2724D" w:rsidP="004A5646">
            <w:pPr>
              <w:tabs>
                <w:tab w:val="left" w:pos="4020"/>
              </w:tabs>
              <w:rPr>
                <w:sz w:val="22"/>
                <w:szCs w:val="22"/>
              </w:rPr>
            </w:pPr>
            <w:r w:rsidRPr="00591EF0">
              <w:rPr>
                <w:sz w:val="22"/>
                <w:szCs w:val="22"/>
              </w:rPr>
              <w:t>Полозов И.Г.</w:t>
            </w:r>
          </w:p>
        </w:tc>
        <w:tc>
          <w:tcPr>
            <w:tcW w:w="3493" w:type="dxa"/>
          </w:tcPr>
          <w:p w14:paraId="002AFE70" w14:textId="75A13F1D" w:rsidR="00E2724D" w:rsidRPr="00591EF0" w:rsidRDefault="0007683D" w:rsidP="004A5646">
            <w:pPr>
              <w:tabs>
                <w:tab w:val="left" w:pos="4020"/>
              </w:tabs>
              <w:jc w:val="center"/>
              <w:rPr>
                <w:sz w:val="22"/>
                <w:szCs w:val="22"/>
              </w:rPr>
            </w:pPr>
            <w:r>
              <w:rPr>
                <w:sz w:val="22"/>
                <w:szCs w:val="22"/>
              </w:rPr>
              <w:t>-</w:t>
            </w:r>
          </w:p>
        </w:tc>
      </w:tr>
      <w:tr w:rsidR="00E2724D" w:rsidRPr="00591EF0" w14:paraId="5588C60F" w14:textId="77777777" w:rsidTr="008860A1">
        <w:tc>
          <w:tcPr>
            <w:tcW w:w="959" w:type="dxa"/>
          </w:tcPr>
          <w:p w14:paraId="33483BA9" w14:textId="77777777" w:rsidR="00E2724D" w:rsidRPr="00591EF0" w:rsidRDefault="00E2724D" w:rsidP="004A5646">
            <w:pPr>
              <w:tabs>
                <w:tab w:val="left" w:pos="4020"/>
              </w:tabs>
              <w:jc w:val="center"/>
              <w:rPr>
                <w:sz w:val="22"/>
                <w:szCs w:val="22"/>
              </w:rPr>
            </w:pPr>
            <w:r w:rsidRPr="00591EF0">
              <w:rPr>
                <w:sz w:val="22"/>
                <w:szCs w:val="22"/>
              </w:rPr>
              <w:t>6.</w:t>
            </w:r>
          </w:p>
        </w:tc>
        <w:tc>
          <w:tcPr>
            <w:tcW w:w="2391" w:type="dxa"/>
          </w:tcPr>
          <w:p w14:paraId="75259747" w14:textId="77777777" w:rsidR="00E2724D" w:rsidRPr="00591EF0" w:rsidRDefault="00E2724D" w:rsidP="004A5646">
            <w:pPr>
              <w:tabs>
                <w:tab w:val="left" w:pos="4020"/>
              </w:tabs>
              <w:rPr>
                <w:sz w:val="22"/>
                <w:szCs w:val="22"/>
              </w:rPr>
            </w:pPr>
            <w:r w:rsidRPr="00591EF0">
              <w:rPr>
                <w:sz w:val="22"/>
                <w:szCs w:val="22"/>
              </w:rPr>
              <w:t>Коннова Е.А.</w:t>
            </w:r>
          </w:p>
        </w:tc>
        <w:tc>
          <w:tcPr>
            <w:tcW w:w="3493" w:type="dxa"/>
          </w:tcPr>
          <w:p w14:paraId="3E296808" w14:textId="688FF6D7" w:rsidR="00E2724D" w:rsidRPr="00591EF0" w:rsidRDefault="0007683D" w:rsidP="004A5646">
            <w:pPr>
              <w:tabs>
                <w:tab w:val="left" w:pos="4020"/>
              </w:tabs>
              <w:jc w:val="center"/>
              <w:rPr>
                <w:sz w:val="22"/>
                <w:szCs w:val="22"/>
              </w:rPr>
            </w:pPr>
            <w:r>
              <w:rPr>
                <w:sz w:val="22"/>
                <w:szCs w:val="22"/>
              </w:rPr>
              <w:t>-</w:t>
            </w:r>
          </w:p>
        </w:tc>
      </w:tr>
      <w:tr w:rsidR="00E2724D" w:rsidRPr="00591EF0" w14:paraId="4EE0D32E" w14:textId="77777777" w:rsidTr="008860A1">
        <w:tc>
          <w:tcPr>
            <w:tcW w:w="959" w:type="dxa"/>
          </w:tcPr>
          <w:p w14:paraId="7B230E67" w14:textId="77777777" w:rsidR="00E2724D" w:rsidRPr="00591EF0" w:rsidRDefault="00E2724D" w:rsidP="004A5646">
            <w:pPr>
              <w:tabs>
                <w:tab w:val="left" w:pos="4020"/>
              </w:tabs>
              <w:jc w:val="center"/>
              <w:rPr>
                <w:sz w:val="22"/>
                <w:szCs w:val="22"/>
              </w:rPr>
            </w:pPr>
            <w:r w:rsidRPr="00591EF0">
              <w:rPr>
                <w:sz w:val="22"/>
                <w:szCs w:val="22"/>
              </w:rPr>
              <w:t>7.</w:t>
            </w:r>
          </w:p>
        </w:tc>
        <w:tc>
          <w:tcPr>
            <w:tcW w:w="2391" w:type="dxa"/>
          </w:tcPr>
          <w:p w14:paraId="0AEC8746" w14:textId="77777777" w:rsidR="00E2724D" w:rsidRPr="00591EF0" w:rsidRDefault="00E2724D" w:rsidP="004A5646">
            <w:pPr>
              <w:tabs>
                <w:tab w:val="left" w:pos="4020"/>
              </w:tabs>
              <w:rPr>
                <w:sz w:val="22"/>
                <w:szCs w:val="22"/>
              </w:rPr>
            </w:pPr>
            <w:r w:rsidRPr="00591EF0">
              <w:rPr>
                <w:sz w:val="22"/>
                <w:szCs w:val="22"/>
              </w:rPr>
              <w:t>Агапова О.П.</w:t>
            </w:r>
          </w:p>
        </w:tc>
        <w:tc>
          <w:tcPr>
            <w:tcW w:w="3493" w:type="dxa"/>
          </w:tcPr>
          <w:p w14:paraId="2F0E33AA" w14:textId="7002EC2B" w:rsidR="00E2724D" w:rsidRPr="00591EF0" w:rsidRDefault="0007683D" w:rsidP="004A5646">
            <w:pPr>
              <w:tabs>
                <w:tab w:val="left" w:pos="4020"/>
              </w:tabs>
              <w:jc w:val="center"/>
              <w:rPr>
                <w:sz w:val="22"/>
                <w:szCs w:val="22"/>
              </w:rPr>
            </w:pPr>
            <w:r>
              <w:rPr>
                <w:sz w:val="22"/>
                <w:szCs w:val="22"/>
              </w:rPr>
              <w:t>за</w:t>
            </w:r>
          </w:p>
        </w:tc>
      </w:tr>
    </w:tbl>
    <w:p w14:paraId="22125E0F" w14:textId="51E8AF04" w:rsidR="00E2724D" w:rsidRPr="00E2724D" w:rsidRDefault="00E2724D" w:rsidP="004A5646">
      <w:pPr>
        <w:tabs>
          <w:tab w:val="left" w:pos="4020"/>
        </w:tabs>
        <w:ind w:firstLine="709"/>
        <w:rPr>
          <w:sz w:val="22"/>
          <w:szCs w:val="22"/>
        </w:rPr>
      </w:pPr>
      <w:r w:rsidRPr="00E2724D">
        <w:rPr>
          <w:sz w:val="22"/>
          <w:szCs w:val="22"/>
        </w:rPr>
        <w:t xml:space="preserve">Итого: за – </w:t>
      </w:r>
      <w:r w:rsidR="006D790B">
        <w:rPr>
          <w:sz w:val="22"/>
          <w:szCs w:val="22"/>
        </w:rPr>
        <w:t>4</w:t>
      </w:r>
      <w:r w:rsidRPr="00E2724D">
        <w:rPr>
          <w:sz w:val="22"/>
          <w:szCs w:val="22"/>
        </w:rPr>
        <w:t>, против – 0, воздержался – 0, отсутствуют –</w:t>
      </w:r>
      <w:r w:rsidR="006D790B">
        <w:rPr>
          <w:sz w:val="22"/>
          <w:szCs w:val="22"/>
        </w:rPr>
        <w:t>3</w:t>
      </w:r>
      <w:r w:rsidRPr="00E2724D">
        <w:rPr>
          <w:sz w:val="22"/>
          <w:szCs w:val="22"/>
        </w:rPr>
        <w:t xml:space="preserve">. </w:t>
      </w:r>
    </w:p>
    <w:p w14:paraId="3BC1470A" w14:textId="77777777" w:rsidR="00C56B96" w:rsidRDefault="00C56B96" w:rsidP="004A5646">
      <w:pPr>
        <w:pStyle w:val="24"/>
        <w:widowControl/>
        <w:tabs>
          <w:tab w:val="left" w:pos="851"/>
          <w:tab w:val="left" w:pos="1134"/>
          <w:tab w:val="left" w:pos="1560"/>
        </w:tabs>
        <w:ind w:left="851" w:firstLine="0"/>
        <w:rPr>
          <w:bCs/>
          <w:szCs w:val="24"/>
        </w:rPr>
      </w:pPr>
    </w:p>
    <w:p w14:paraId="34BC0693" w14:textId="77777777" w:rsidR="000B38BC" w:rsidRPr="00E2724D" w:rsidRDefault="000B38BC" w:rsidP="004A5646">
      <w:pPr>
        <w:pStyle w:val="24"/>
        <w:widowControl/>
        <w:tabs>
          <w:tab w:val="left" w:pos="851"/>
          <w:tab w:val="left" w:pos="1276"/>
          <w:tab w:val="left" w:pos="1560"/>
        </w:tabs>
        <w:ind w:firstLine="708"/>
        <w:rPr>
          <w:b/>
          <w:szCs w:val="24"/>
        </w:rPr>
      </w:pPr>
      <w:r w:rsidRPr="00E2724D">
        <w:rPr>
          <w:b/>
          <w:szCs w:val="24"/>
        </w:rPr>
        <w:t>РЕШИЛИ:</w:t>
      </w: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65725E" w14:paraId="39799A5E" w14:textId="77777777" w:rsidTr="00FC1544">
        <w:trPr>
          <w:trHeight w:val="371"/>
        </w:trPr>
        <w:tc>
          <w:tcPr>
            <w:tcW w:w="6352" w:type="dxa"/>
            <w:vAlign w:val="bottom"/>
            <w:hideMark/>
          </w:tcPr>
          <w:p w14:paraId="754E1A21" w14:textId="77777777" w:rsidR="0065725E" w:rsidRPr="0065725E" w:rsidRDefault="0065725E" w:rsidP="004A5646">
            <w:pPr>
              <w:rPr>
                <w:sz w:val="22"/>
                <w:szCs w:val="24"/>
              </w:rPr>
            </w:pPr>
            <w:r w:rsidRPr="0065725E">
              <w:rPr>
                <w:sz w:val="22"/>
                <w:szCs w:val="24"/>
              </w:rPr>
              <w:t>Ответственный секретарь Правления</w:t>
            </w:r>
          </w:p>
        </w:tc>
        <w:tc>
          <w:tcPr>
            <w:tcW w:w="1553" w:type="dxa"/>
            <w:vAlign w:val="center"/>
          </w:tcPr>
          <w:p w14:paraId="504D57C0" w14:textId="77777777" w:rsidR="0065725E" w:rsidRPr="0065725E" w:rsidRDefault="0065725E" w:rsidP="004A5646">
            <w:pPr>
              <w:tabs>
                <w:tab w:val="left" w:pos="4020"/>
              </w:tabs>
              <w:jc w:val="center"/>
              <w:rPr>
                <w:sz w:val="22"/>
                <w:szCs w:val="24"/>
              </w:rPr>
            </w:pPr>
          </w:p>
        </w:tc>
        <w:tc>
          <w:tcPr>
            <w:tcW w:w="2452" w:type="dxa"/>
            <w:vAlign w:val="bottom"/>
            <w:hideMark/>
          </w:tcPr>
          <w:p w14:paraId="422C5304" w14:textId="198881A4" w:rsidR="0065725E" w:rsidRPr="0065725E" w:rsidRDefault="00505AFE" w:rsidP="00FC1544">
            <w:pPr>
              <w:tabs>
                <w:tab w:val="left" w:pos="4020"/>
              </w:tabs>
              <w:jc w:val="right"/>
              <w:rPr>
                <w:sz w:val="22"/>
                <w:szCs w:val="24"/>
              </w:rPr>
            </w:pPr>
            <w:r>
              <w:rPr>
                <w:sz w:val="22"/>
                <w:szCs w:val="24"/>
              </w:rPr>
              <w:t xml:space="preserve">О.Н. </w:t>
            </w:r>
            <w:proofErr w:type="spellStart"/>
            <w:r>
              <w:rPr>
                <w:sz w:val="22"/>
                <w:szCs w:val="24"/>
              </w:rPr>
              <w:t>Карика</w:t>
            </w:r>
            <w:proofErr w:type="spellEnd"/>
          </w:p>
        </w:tc>
      </w:tr>
      <w:tr w:rsidR="0065725E" w:rsidRPr="0065725E" w14:paraId="77304A4B" w14:textId="77777777" w:rsidTr="00FC1544">
        <w:trPr>
          <w:trHeight w:val="245"/>
        </w:trPr>
        <w:tc>
          <w:tcPr>
            <w:tcW w:w="6352" w:type="dxa"/>
            <w:vAlign w:val="bottom"/>
          </w:tcPr>
          <w:p w14:paraId="0923E0CB" w14:textId="77777777" w:rsidR="0065725E" w:rsidRPr="0065725E" w:rsidRDefault="0065725E" w:rsidP="004A5646">
            <w:pPr>
              <w:rPr>
                <w:b/>
                <w:sz w:val="22"/>
                <w:szCs w:val="24"/>
              </w:rPr>
            </w:pPr>
            <w:r w:rsidRPr="0065725E">
              <w:rPr>
                <w:b/>
                <w:sz w:val="22"/>
                <w:szCs w:val="24"/>
              </w:rPr>
              <w:t>Члены правления:</w:t>
            </w:r>
          </w:p>
        </w:tc>
        <w:tc>
          <w:tcPr>
            <w:tcW w:w="1553" w:type="dxa"/>
            <w:vAlign w:val="center"/>
          </w:tcPr>
          <w:p w14:paraId="40737AA7" w14:textId="77777777" w:rsidR="0065725E" w:rsidRPr="0065725E" w:rsidRDefault="0065725E" w:rsidP="004A5646">
            <w:pPr>
              <w:tabs>
                <w:tab w:val="left" w:pos="4020"/>
              </w:tabs>
              <w:jc w:val="center"/>
              <w:rPr>
                <w:sz w:val="22"/>
                <w:szCs w:val="24"/>
              </w:rPr>
            </w:pPr>
          </w:p>
        </w:tc>
        <w:tc>
          <w:tcPr>
            <w:tcW w:w="2452" w:type="dxa"/>
            <w:vAlign w:val="bottom"/>
          </w:tcPr>
          <w:p w14:paraId="29352745" w14:textId="77777777" w:rsidR="0065725E" w:rsidRPr="0065725E" w:rsidRDefault="0065725E" w:rsidP="00FC1544">
            <w:pPr>
              <w:tabs>
                <w:tab w:val="left" w:pos="4020"/>
              </w:tabs>
              <w:jc w:val="right"/>
              <w:rPr>
                <w:sz w:val="22"/>
                <w:szCs w:val="24"/>
              </w:rPr>
            </w:pPr>
          </w:p>
        </w:tc>
      </w:tr>
      <w:tr w:rsidR="0065725E" w:rsidRPr="0065725E" w14:paraId="4444A184" w14:textId="77777777" w:rsidTr="00173F99">
        <w:trPr>
          <w:trHeight w:val="547"/>
        </w:trPr>
        <w:tc>
          <w:tcPr>
            <w:tcW w:w="6352" w:type="dxa"/>
            <w:vAlign w:val="bottom"/>
          </w:tcPr>
          <w:p w14:paraId="25C20FB8" w14:textId="74AFD5C0" w:rsidR="0065725E" w:rsidRPr="0065725E" w:rsidRDefault="0065725E" w:rsidP="00173F99">
            <w:pPr>
              <w:rPr>
                <w:sz w:val="22"/>
                <w:szCs w:val="24"/>
              </w:rPr>
            </w:pPr>
            <w:r w:rsidRPr="0065725E">
              <w:rPr>
                <w:sz w:val="22"/>
                <w:szCs w:val="24"/>
              </w:rPr>
              <w:t xml:space="preserve">Заместитель </w:t>
            </w:r>
            <w:r w:rsidR="0007683D">
              <w:rPr>
                <w:sz w:val="22"/>
                <w:szCs w:val="24"/>
              </w:rPr>
              <w:t>директора</w:t>
            </w:r>
            <w:r w:rsidRPr="0065725E">
              <w:rPr>
                <w:sz w:val="22"/>
                <w:szCs w:val="24"/>
              </w:rPr>
              <w:t xml:space="preserve"> Департамента энергетики и тарифов Ивановской области, статс-секретарь</w:t>
            </w:r>
          </w:p>
        </w:tc>
        <w:tc>
          <w:tcPr>
            <w:tcW w:w="1553" w:type="dxa"/>
          </w:tcPr>
          <w:p w14:paraId="20E1C8E8" w14:textId="77777777" w:rsidR="0065725E" w:rsidRPr="0065725E" w:rsidRDefault="0065725E" w:rsidP="004A5646">
            <w:pPr>
              <w:tabs>
                <w:tab w:val="left" w:pos="4020"/>
              </w:tabs>
              <w:jc w:val="center"/>
              <w:rPr>
                <w:sz w:val="22"/>
                <w:szCs w:val="24"/>
              </w:rPr>
            </w:pPr>
          </w:p>
        </w:tc>
        <w:tc>
          <w:tcPr>
            <w:tcW w:w="2452" w:type="dxa"/>
            <w:vAlign w:val="bottom"/>
          </w:tcPr>
          <w:p w14:paraId="10E53590" w14:textId="77777777" w:rsidR="0065725E" w:rsidRPr="0065725E" w:rsidRDefault="0065725E" w:rsidP="00FC1544">
            <w:pPr>
              <w:tabs>
                <w:tab w:val="left" w:pos="4020"/>
              </w:tabs>
              <w:jc w:val="right"/>
              <w:rPr>
                <w:sz w:val="22"/>
                <w:szCs w:val="24"/>
              </w:rPr>
            </w:pPr>
            <w:r w:rsidRPr="0065725E">
              <w:rPr>
                <w:sz w:val="22"/>
                <w:szCs w:val="24"/>
              </w:rPr>
              <w:t>Н.Б. Гущина</w:t>
            </w:r>
          </w:p>
        </w:tc>
      </w:tr>
      <w:tr w:rsidR="0065725E" w:rsidRPr="0065725E" w14:paraId="68E6E161" w14:textId="77777777" w:rsidTr="00173F99">
        <w:trPr>
          <w:trHeight w:val="547"/>
        </w:trPr>
        <w:tc>
          <w:tcPr>
            <w:tcW w:w="6352" w:type="dxa"/>
            <w:vAlign w:val="bottom"/>
          </w:tcPr>
          <w:p w14:paraId="17F51461" w14:textId="77777777" w:rsidR="0065725E" w:rsidRPr="0065725E" w:rsidRDefault="0065725E" w:rsidP="00173F99">
            <w:pPr>
              <w:rPr>
                <w:sz w:val="22"/>
                <w:szCs w:val="24"/>
              </w:rPr>
            </w:pPr>
            <w:r w:rsidRPr="0065725E">
              <w:rPr>
                <w:sz w:val="22"/>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301B9565" w14:textId="3B2B29DA" w:rsidR="0065725E" w:rsidRPr="0065725E" w:rsidRDefault="0065725E" w:rsidP="004A5646">
            <w:pPr>
              <w:tabs>
                <w:tab w:val="left" w:pos="4020"/>
              </w:tabs>
              <w:jc w:val="center"/>
              <w:rPr>
                <w:sz w:val="22"/>
                <w:szCs w:val="24"/>
              </w:rPr>
            </w:pPr>
          </w:p>
        </w:tc>
        <w:tc>
          <w:tcPr>
            <w:tcW w:w="2452" w:type="dxa"/>
            <w:vAlign w:val="bottom"/>
          </w:tcPr>
          <w:p w14:paraId="2D3F1A76" w14:textId="77777777" w:rsidR="0065725E" w:rsidRPr="0065725E" w:rsidRDefault="0065725E" w:rsidP="00FC1544">
            <w:pPr>
              <w:tabs>
                <w:tab w:val="left" w:pos="4020"/>
              </w:tabs>
              <w:jc w:val="right"/>
              <w:rPr>
                <w:sz w:val="22"/>
                <w:szCs w:val="24"/>
              </w:rPr>
            </w:pPr>
            <w:r w:rsidRPr="0065725E">
              <w:rPr>
                <w:sz w:val="22"/>
                <w:szCs w:val="24"/>
              </w:rPr>
              <w:t xml:space="preserve">Е.В. </w:t>
            </w:r>
            <w:proofErr w:type="spellStart"/>
            <w:r w:rsidRPr="0065725E">
              <w:rPr>
                <w:sz w:val="22"/>
                <w:szCs w:val="24"/>
              </w:rPr>
              <w:t>Турбачкина</w:t>
            </w:r>
            <w:proofErr w:type="spellEnd"/>
          </w:p>
        </w:tc>
      </w:tr>
      <w:tr w:rsidR="0061278C" w:rsidRPr="0061278C" w14:paraId="1C8C549F" w14:textId="77777777" w:rsidTr="00173F99">
        <w:trPr>
          <w:trHeight w:val="559"/>
        </w:trPr>
        <w:tc>
          <w:tcPr>
            <w:tcW w:w="6352" w:type="dxa"/>
            <w:vAlign w:val="bottom"/>
            <w:hideMark/>
          </w:tcPr>
          <w:p w14:paraId="7C612F22" w14:textId="77777777" w:rsidR="0065725E" w:rsidRPr="0065725E" w:rsidRDefault="0065725E" w:rsidP="00173F99">
            <w:pPr>
              <w:rPr>
                <w:sz w:val="22"/>
                <w:szCs w:val="24"/>
              </w:rPr>
            </w:pPr>
            <w:r w:rsidRPr="0065725E">
              <w:rPr>
                <w:sz w:val="22"/>
                <w:szCs w:val="24"/>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375A36F2" w14:textId="01F17055" w:rsidR="0065725E" w:rsidRPr="0065725E" w:rsidRDefault="0007683D" w:rsidP="00C4725D">
            <w:pPr>
              <w:tabs>
                <w:tab w:val="left" w:pos="4020"/>
              </w:tabs>
              <w:jc w:val="center"/>
              <w:rPr>
                <w:sz w:val="22"/>
                <w:szCs w:val="24"/>
              </w:rPr>
            </w:pPr>
            <w:r>
              <w:rPr>
                <w:sz w:val="22"/>
                <w:szCs w:val="24"/>
              </w:rPr>
              <w:t>-</w:t>
            </w:r>
          </w:p>
        </w:tc>
        <w:tc>
          <w:tcPr>
            <w:tcW w:w="2452" w:type="dxa"/>
            <w:vAlign w:val="bottom"/>
          </w:tcPr>
          <w:p w14:paraId="1AFAA4AE" w14:textId="707E2E20" w:rsidR="0065725E" w:rsidRPr="0061278C" w:rsidRDefault="00C4725D" w:rsidP="00C4725D">
            <w:pPr>
              <w:tabs>
                <w:tab w:val="left" w:pos="4020"/>
              </w:tabs>
              <w:jc w:val="right"/>
              <w:rPr>
                <w:sz w:val="22"/>
                <w:szCs w:val="24"/>
              </w:rPr>
            </w:pPr>
            <w:r w:rsidRPr="0061278C">
              <w:rPr>
                <w:sz w:val="22"/>
                <w:szCs w:val="24"/>
              </w:rPr>
              <w:t>Е.А. Коннова</w:t>
            </w:r>
          </w:p>
        </w:tc>
      </w:tr>
      <w:tr w:rsidR="0065725E" w:rsidRPr="0065725E" w14:paraId="7C83037E" w14:textId="77777777" w:rsidTr="00173F99">
        <w:trPr>
          <w:trHeight w:val="553"/>
        </w:trPr>
        <w:tc>
          <w:tcPr>
            <w:tcW w:w="6352" w:type="dxa"/>
            <w:vAlign w:val="bottom"/>
            <w:hideMark/>
          </w:tcPr>
          <w:p w14:paraId="4E970E16" w14:textId="77777777" w:rsidR="0065725E" w:rsidRPr="0065725E" w:rsidRDefault="0065725E" w:rsidP="00173F99">
            <w:pPr>
              <w:rPr>
                <w:sz w:val="22"/>
                <w:szCs w:val="24"/>
              </w:rPr>
            </w:pPr>
            <w:r w:rsidRPr="0065725E">
              <w:rPr>
                <w:sz w:val="22"/>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14042FEC" w14:textId="266F2214" w:rsidR="0065725E" w:rsidRPr="0065725E" w:rsidRDefault="0007683D" w:rsidP="004A5646">
            <w:pPr>
              <w:tabs>
                <w:tab w:val="left" w:pos="4020"/>
              </w:tabs>
              <w:jc w:val="center"/>
              <w:rPr>
                <w:sz w:val="22"/>
                <w:szCs w:val="24"/>
              </w:rPr>
            </w:pPr>
            <w:r>
              <w:rPr>
                <w:sz w:val="22"/>
                <w:szCs w:val="24"/>
              </w:rPr>
              <w:t>-</w:t>
            </w:r>
          </w:p>
        </w:tc>
        <w:tc>
          <w:tcPr>
            <w:tcW w:w="2452" w:type="dxa"/>
            <w:vAlign w:val="bottom"/>
          </w:tcPr>
          <w:p w14:paraId="7FAF209C" w14:textId="77777777" w:rsidR="0065725E" w:rsidRPr="0065725E" w:rsidRDefault="0065725E" w:rsidP="00FC1544">
            <w:pPr>
              <w:tabs>
                <w:tab w:val="left" w:pos="4020"/>
              </w:tabs>
              <w:jc w:val="right"/>
              <w:rPr>
                <w:sz w:val="22"/>
                <w:szCs w:val="24"/>
              </w:rPr>
            </w:pPr>
            <w:r w:rsidRPr="0065725E">
              <w:rPr>
                <w:sz w:val="22"/>
                <w:szCs w:val="24"/>
              </w:rPr>
              <w:t>И.Г. Полозов</w:t>
            </w:r>
          </w:p>
        </w:tc>
      </w:tr>
      <w:tr w:rsidR="0065725E" w:rsidRPr="0065725E" w14:paraId="657EA1EF" w14:textId="77777777" w:rsidTr="00173F99">
        <w:trPr>
          <w:trHeight w:val="799"/>
        </w:trPr>
        <w:tc>
          <w:tcPr>
            <w:tcW w:w="6352" w:type="dxa"/>
            <w:vAlign w:val="bottom"/>
            <w:hideMark/>
          </w:tcPr>
          <w:p w14:paraId="4929FEAC" w14:textId="77777777" w:rsidR="0065725E" w:rsidRPr="0065725E" w:rsidRDefault="0065725E" w:rsidP="00173F99">
            <w:pPr>
              <w:rPr>
                <w:sz w:val="22"/>
                <w:szCs w:val="24"/>
              </w:rPr>
            </w:pPr>
            <w:r w:rsidRPr="0065725E">
              <w:rPr>
                <w:sz w:val="22"/>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6B1BD6BC" w14:textId="107B31C3" w:rsidR="0065725E" w:rsidRPr="0065725E" w:rsidRDefault="0065725E" w:rsidP="004A5646">
            <w:pPr>
              <w:tabs>
                <w:tab w:val="left" w:pos="4020"/>
              </w:tabs>
              <w:jc w:val="center"/>
              <w:rPr>
                <w:sz w:val="22"/>
                <w:szCs w:val="24"/>
              </w:rPr>
            </w:pPr>
          </w:p>
        </w:tc>
        <w:tc>
          <w:tcPr>
            <w:tcW w:w="2452" w:type="dxa"/>
            <w:vAlign w:val="bottom"/>
          </w:tcPr>
          <w:p w14:paraId="2609EABA" w14:textId="77777777" w:rsidR="0065725E" w:rsidRPr="0065725E" w:rsidRDefault="0065725E" w:rsidP="00FC1544">
            <w:pPr>
              <w:tabs>
                <w:tab w:val="left" w:pos="4020"/>
              </w:tabs>
              <w:jc w:val="right"/>
              <w:rPr>
                <w:sz w:val="22"/>
                <w:szCs w:val="24"/>
              </w:rPr>
            </w:pPr>
            <w:r w:rsidRPr="0065725E">
              <w:rPr>
                <w:sz w:val="22"/>
                <w:szCs w:val="24"/>
              </w:rPr>
              <w:t>О.П. Агапова</w:t>
            </w:r>
          </w:p>
        </w:tc>
      </w:tr>
      <w:tr w:rsidR="0065725E" w:rsidRPr="0065725E" w14:paraId="263484F7" w14:textId="77777777" w:rsidTr="00173F99">
        <w:trPr>
          <w:trHeight w:val="541"/>
        </w:trPr>
        <w:tc>
          <w:tcPr>
            <w:tcW w:w="6352" w:type="dxa"/>
            <w:vAlign w:val="bottom"/>
            <w:hideMark/>
          </w:tcPr>
          <w:p w14:paraId="461728CA" w14:textId="77777777" w:rsidR="0065725E" w:rsidRPr="0065725E" w:rsidRDefault="0065725E" w:rsidP="00173F99">
            <w:pPr>
              <w:rPr>
                <w:sz w:val="22"/>
                <w:szCs w:val="24"/>
              </w:rPr>
            </w:pPr>
            <w:r w:rsidRPr="0065725E">
              <w:rPr>
                <w:sz w:val="22"/>
                <w:szCs w:val="24"/>
              </w:rPr>
              <w:t xml:space="preserve">Главный специалист-эксперт аналитического </w:t>
            </w:r>
            <w:proofErr w:type="gramStart"/>
            <w:r w:rsidRPr="0065725E">
              <w:rPr>
                <w:sz w:val="22"/>
                <w:szCs w:val="24"/>
              </w:rPr>
              <w:t>отдела  Управления</w:t>
            </w:r>
            <w:proofErr w:type="gramEnd"/>
            <w:r w:rsidRPr="0065725E">
              <w:rPr>
                <w:sz w:val="22"/>
                <w:szCs w:val="24"/>
              </w:rPr>
              <w:t xml:space="preserve"> Федеральной антимонопольной службы России по Ивановской области</w:t>
            </w:r>
          </w:p>
        </w:tc>
        <w:tc>
          <w:tcPr>
            <w:tcW w:w="1553" w:type="dxa"/>
          </w:tcPr>
          <w:p w14:paraId="0184947E" w14:textId="77777777" w:rsidR="0065725E" w:rsidRPr="0065725E" w:rsidRDefault="0065725E" w:rsidP="004A5646">
            <w:pPr>
              <w:tabs>
                <w:tab w:val="left" w:pos="4020"/>
              </w:tabs>
              <w:jc w:val="center"/>
              <w:rPr>
                <w:sz w:val="22"/>
                <w:szCs w:val="24"/>
              </w:rPr>
            </w:pPr>
          </w:p>
        </w:tc>
        <w:tc>
          <w:tcPr>
            <w:tcW w:w="2452" w:type="dxa"/>
            <w:vAlign w:val="bottom"/>
          </w:tcPr>
          <w:p w14:paraId="564167B6" w14:textId="77777777" w:rsidR="0065725E" w:rsidRPr="0065725E" w:rsidRDefault="0065725E" w:rsidP="00FC1544">
            <w:pPr>
              <w:tabs>
                <w:tab w:val="left" w:pos="4020"/>
              </w:tabs>
              <w:jc w:val="right"/>
              <w:rPr>
                <w:sz w:val="22"/>
                <w:szCs w:val="24"/>
              </w:rPr>
            </w:pPr>
            <w:r w:rsidRPr="0065725E">
              <w:rPr>
                <w:sz w:val="22"/>
                <w:szCs w:val="24"/>
              </w:rPr>
              <w:t xml:space="preserve">З.Б. </w:t>
            </w:r>
            <w:proofErr w:type="spellStart"/>
            <w:r w:rsidRPr="0065725E">
              <w:rPr>
                <w:sz w:val="22"/>
                <w:szCs w:val="24"/>
              </w:rPr>
              <w:t>Виднова</w:t>
            </w:r>
            <w:proofErr w:type="spellEnd"/>
          </w:p>
        </w:tc>
      </w:tr>
    </w:tbl>
    <w:p w14:paraId="47DDC07C" w14:textId="77777777" w:rsidR="0065725E" w:rsidRPr="00E3665E" w:rsidRDefault="0065725E" w:rsidP="004A5646">
      <w:pPr>
        <w:pStyle w:val="24"/>
        <w:widowControl/>
        <w:tabs>
          <w:tab w:val="left" w:pos="851"/>
          <w:tab w:val="left" w:pos="993"/>
          <w:tab w:val="left" w:pos="1276"/>
        </w:tabs>
        <w:rPr>
          <w:b/>
          <w:sz w:val="2"/>
          <w:szCs w:val="2"/>
        </w:rPr>
      </w:pPr>
    </w:p>
    <w:sectPr w:rsidR="0065725E" w:rsidRPr="00E3665E" w:rsidSect="00A363F5">
      <w:headerReference w:type="default" r:id="rId9"/>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10BD" w14:textId="77777777" w:rsidR="00F87D08" w:rsidRDefault="00F87D08" w:rsidP="00510D4D">
      <w:r>
        <w:separator/>
      </w:r>
    </w:p>
  </w:endnote>
  <w:endnote w:type="continuationSeparator" w:id="0">
    <w:p w14:paraId="1A1288F5" w14:textId="77777777" w:rsidR="00F87D08" w:rsidRDefault="00F87D08"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2F538" w14:textId="77777777" w:rsidR="00F87D08" w:rsidRDefault="00F87D08" w:rsidP="00510D4D">
      <w:r>
        <w:separator/>
      </w:r>
    </w:p>
  </w:footnote>
  <w:footnote w:type="continuationSeparator" w:id="0">
    <w:p w14:paraId="40F3FEF8" w14:textId="77777777" w:rsidR="00F87D08" w:rsidRDefault="00F87D08"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EndPr/>
    <w:sdtContent>
      <w:p w14:paraId="47809052" w14:textId="77777777" w:rsidR="004A07A9" w:rsidRDefault="004A07A9">
        <w:pPr>
          <w:pStyle w:val="a7"/>
          <w:jc w:val="right"/>
        </w:pPr>
        <w:r>
          <w:fldChar w:fldCharType="begin"/>
        </w:r>
        <w:r>
          <w:instrText>PAGE   \* MERGEFORMAT</w:instrText>
        </w:r>
        <w:r>
          <w:fldChar w:fldCharType="separate"/>
        </w:r>
        <w:r w:rsidR="004F0098">
          <w:rPr>
            <w:noProof/>
          </w:rPr>
          <w:t>4</w:t>
        </w:r>
        <w:r>
          <w:rPr>
            <w:noProof/>
          </w:rPr>
          <w:fldChar w:fldCharType="end"/>
        </w:r>
      </w:p>
    </w:sdtContent>
  </w:sdt>
  <w:p w14:paraId="2A2D671E" w14:textId="77777777" w:rsidR="004A07A9" w:rsidRDefault="004A07A9">
    <w:pPr>
      <w:pStyle w:val="a7"/>
    </w:pPr>
  </w:p>
  <w:p w14:paraId="2AD9AEC2" w14:textId="77777777" w:rsidR="004A07A9" w:rsidRDefault="004A07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8FB"/>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4ED17CC"/>
    <w:multiLevelType w:val="hybridMultilevel"/>
    <w:tmpl w:val="F452B892"/>
    <w:lvl w:ilvl="0" w:tplc="8B1EA8BE">
      <w:start w:val="7"/>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A4A7B80"/>
    <w:multiLevelType w:val="hybridMultilevel"/>
    <w:tmpl w:val="B7723128"/>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BA61A30"/>
    <w:multiLevelType w:val="hybridMultilevel"/>
    <w:tmpl w:val="D6B8E332"/>
    <w:lvl w:ilvl="0" w:tplc="92E270F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AB5777"/>
    <w:multiLevelType w:val="hybridMultilevel"/>
    <w:tmpl w:val="BA0E4E22"/>
    <w:lvl w:ilvl="0" w:tplc="F208D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F42B1"/>
    <w:multiLevelType w:val="hybridMultilevel"/>
    <w:tmpl w:val="FC04EBFE"/>
    <w:lvl w:ilvl="0" w:tplc="5600B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B67899"/>
    <w:multiLevelType w:val="hybridMultilevel"/>
    <w:tmpl w:val="1662347A"/>
    <w:lvl w:ilvl="0" w:tplc="867CBA2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31003C4"/>
    <w:multiLevelType w:val="hybridMultilevel"/>
    <w:tmpl w:val="35242D7E"/>
    <w:lvl w:ilvl="0" w:tplc="4D32D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B4086B"/>
    <w:multiLevelType w:val="hybridMultilevel"/>
    <w:tmpl w:val="9530BCF4"/>
    <w:lvl w:ilvl="0" w:tplc="D62C0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A90B36"/>
    <w:multiLevelType w:val="hybridMultilevel"/>
    <w:tmpl w:val="57DE3DA6"/>
    <w:lvl w:ilvl="0" w:tplc="768EC9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CD425F2"/>
    <w:multiLevelType w:val="hybridMultilevel"/>
    <w:tmpl w:val="CFE6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1438E6"/>
    <w:multiLevelType w:val="hybridMultilevel"/>
    <w:tmpl w:val="FF028B0E"/>
    <w:lvl w:ilvl="0" w:tplc="E05E28F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054E00"/>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8F7529A"/>
    <w:multiLevelType w:val="hybridMultilevel"/>
    <w:tmpl w:val="B74C4E72"/>
    <w:lvl w:ilvl="0" w:tplc="E9DC633E">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1A30A0A"/>
    <w:multiLevelType w:val="hybridMultilevel"/>
    <w:tmpl w:val="A4109DB0"/>
    <w:lvl w:ilvl="0" w:tplc="685CF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BA0FBC"/>
    <w:multiLevelType w:val="hybridMultilevel"/>
    <w:tmpl w:val="DE9A4C22"/>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61D3103"/>
    <w:multiLevelType w:val="multilevel"/>
    <w:tmpl w:val="D47E9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E42321"/>
    <w:multiLevelType w:val="hybridMultilevel"/>
    <w:tmpl w:val="A3EE7D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F96103B"/>
    <w:multiLevelType w:val="hybridMultilevel"/>
    <w:tmpl w:val="A484E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2055A9"/>
    <w:multiLevelType w:val="hybridMultilevel"/>
    <w:tmpl w:val="27D8CC36"/>
    <w:lvl w:ilvl="0" w:tplc="AF4A2DA6">
      <w:start w:val="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34A1D34"/>
    <w:multiLevelType w:val="hybridMultilevel"/>
    <w:tmpl w:val="791EEE0C"/>
    <w:lvl w:ilvl="0" w:tplc="044404E6">
      <w:start w:val="1"/>
      <w:numFmt w:val="decimal"/>
      <w:lvlText w:val="%1."/>
      <w:lvlJc w:val="left"/>
      <w:pPr>
        <w:ind w:left="2043"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5F347FD"/>
    <w:multiLevelType w:val="hybridMultilevel"/>
    <w:tmpl w:val="E118D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D213BEA"/>
    <w:multiLevelType w:val="hybridMultilevel"/>
    <w:tmpl w:val="9C362EB0"/>
    <w:lvl w:ilvl="0" w:tplc="76BA55D0">
      <w:start w:val="1"/>
      <w:numFmt w:val="decimal"/>
      <w:lvlText w:val="%1."/>
      <w:lvlJc w:val="left"/>
      <w:pPr>
        <w:ind w:left="9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DD81A0D"/>
    <w:multiLevelType w:val="hybridMultilevel"/>
    <w:tmpl w:val="53287844"/>
    <w:lvl w:ilvl="0" w:tplc="1D54A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B13C5E"/>
    <w:multiLevelType w:val="hybridMultilevel"/>
    <w:tmpl w:val="EC90E7D2"/>
    <w:lvl w:ilvl="0" w:tplc="759C7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A76397"/>
    <w:multiLevelType w:val="hybridMultilevel"/>
    <w:tmpl w:val="70B68FE0"/>
    <w:lvl w:ilvl="0" w:tplc="3FD09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8CB1C6F"/>
    <w:multiLevelType w:val="hybridMultilevel"/>
    <w:tmpl w:val="D1149710"/>
    <w:lvl w:ilvl="0" w:tplc="3A9E2A16">
      <w:start w:val="2"/>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27" w15:restartNumberingAfterBreak="0">
    <w:nsid w:val="59B3709D"/>
    <w:multiLevelType w:val="hybridMultilevel"/>
    <w:tmpl w:val="75585472"/>
    <w:lvl w:ilvl="0" w:tplc="0419000F">
      <w:start w:val="1"/>
      <w:numFmt w:val="decimal"/>
      <w:lvlText w:val="%1."/>
      <w:lvlJc w:val="left"/>
      <w:pPr>
        <w:ind w:left="720" w:hanging="360"/>
      </w:pPr>
    </w:lvl>
    <w:lvl w:ilvl="1" w:tplc="04EE95E8">
      <w:start w:val="1"/>
      <w:numFmt w:val="decimal"/>
      <w:lvlText w:val="%2."/>
      <w:lvlJc w:val="left"/>
      <w:pPr>
        <w:ind w:left="1353"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D826AC"/>
    <w:multiLevelType w:val="hybridMultilevel"/>
    <w:tmpl w:val="7B96AB36"/>
    <w:lvl w:ilvl="0" w:tplc="2382A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915935"/>
    <w:multiLevelType w:val="hybridMultilevel"/>
    <w:tmpl w:val="778CB63C"/>
    <w:lvl w:ilvl="0" w:tplc="CE3C7F24">
      <w:start w:val="3"/>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3D53BB4"/>
    <w:multiLevelType w:val="hybridMultilevel"/>
    <w:tmpl w:val="68E0E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963B1B"/>
    <w:multiLevelType w:val="hybridMultilevel"/>
    <w:tmpl w:val="8F38C628"/>
    <w:lvl w:ilvl="0" w:tplc="814CCBBA">
      <w:start w:val="1"/>
      <w:numFmt w:val="decimal"/>
      <w:lvlText w:val="%1."/>
      <w:lvlJc w:val="left"/>
      <w:pPr>
        <w:ind w:left="2295" w:hanging="1395"/>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9053D3"/>
    <w:multiLevelType w:val="hybridMultilevel"/>
    <w:tmpl w:val="D3FAD1B0"/>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C0E112A"/>
    <w:multiLevelType w:val="hybridMultilevel"/>
    <w:tmpl w:val="D25E1496"/>
    <w:lvl w:ilvl="0" w:tplc="742C2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3947A3"/>
    <w:multiLevelType w:val="hybridMultilevel"/>
    <w:tmpl w:val="E398C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60531538">
    <w:abstractNumId w:val="20"/>
  </w:num>
  <w:num w:numId="2" w16cid:durableId="1123693077">
    <w:abstractNumId w:val="15"/>
  </w:num>
  <w:num w:numId="3" w16cid:durableId="1500777856">
    <w:abstractNumId w:val="2"/>
  </w:num>
  <w:num w:numId="4" w16cid:durableId="863135514">
    <w:abstractNumId w:val="29"/>
  </w:num>
  <w:num w:numId="5" w16cid:durableId="1131023534">
    <w:abstractNumId w:val="1"/>
  </w:num>
  <w:num w:numId="6" w16cid:durableId="1891653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106321">
    <w:abstractNumId w:val="12"/>
  </w:num>
  <w:num w:numId="8" w16cid:durableId="1292008902">
    <w:abstractNumId w:val="31"/>
  </w:num>
  <w:num w:numId="9" w16cid:durableId="1891764631">
    <w:abstractNumId w:val="21"/>
  </w:num>
  <w:num w:numId="10" w16cid:durableId="655574232">
    <w:abstractNumId w:val="30"/>
  </w:num>
  <w:num w:numId="11" w16cid:durableId="347802947">
    <w:abstractNumId w:val="14"/>
  </w:num>
  <w:num w:numId="12" w16cid:durableId="834105409">
    <w:abstractNumId w:val="0"/>
  </w:num>
  <w:num w:numId="13" w16cid:durableId="781992680">
    <w:abstractNumId w:val="13"/>
  </w:num>
  <w:num w:numId="14" w16cid:durableId="1261722614">
    <w:abstractNumId w:val="35"/>
  </w:num>
  <w:num w:numId="15" w16cid:durableId="1498233241">
    <w:abstractNumId w:val="33"/>
  </w:num>
  <w:num w:numId="16" w16cid:durableId="503128772">
    <w:abstractNumId w:val="6"/>
  </w:num>
  <w:num w:numId="17" w16cid:durableId="1708410574">
    <w:abstractNumId w:val="23"/>
  </w:num>
  <w:num w:numId="18" w16cid:durableId="1811752993">
    <w:abstractNumId w:val="7"/>
  </w:num>
  <w:num w:numId="19" w16cid:durableId="8259425">
    <w:abstractNumId w:val="34"/>
  </w:num>
  <w:num w:numId="20" w16cid:durableId="1286352956">
    <w:abstractNumId w:val="32"/>
  </w:num>
  <w:num w:numId="21" w16cid:durableId="186451195">
    <w:abstractNumId w:val="3"/>
  </w:num>
  <w:num w:numId="22" w16cid:durableId="621809392">
    <w:abstractNumId w:val="18"/>
  </w:num>
  <w:num w:numId="23" w16cid:durableId="318533312">
    <w:abstractNumId w:val="8"/>
  </w:num>
  <w:num w:numId="24" w16cid:durableId="118229113">
    <w:abstractNumId w:val="11"/>
  </w:num>
  <w:num w:numId="25" w16cid:durableId="780150834">
    <w:abstractNumId w:val="26"/>
  </w:num>
  <w:num w:numId="26" w16cid:durableId="991838335">
    <w:abstractNumId w:val="28"/>
  </w:num>
  <w:num w:numId="27" w16cid:durableId="1328826974">
    <w:abstractNumId w:val="27"/>
  </w:num>
  <w:num w:numId="28" w16cid:durableId="2025787765">
    <w:abstractNumId w:val="9"/>
  </w:num>
  <w:num w:numId="29" w16cid:durableId="1746292363">
    <w:abstractNumId w:val="25"/>
  </w:num>
  <w:num w:numId="30" w16cid:durableId="1530485630">
    <w:abstractNumId w:val="22"/>
  </w:num>
  <w:num w:numId="31" w16cid:durableId="2071154211">
    <w:abstractNumId w:val="4"/>
  </w:num>
  <w:num w:numId="32" w16cid:durableId="895239435">
    <w:abstractNumId w:val="10"/>
  </w:num>
  <w:num w:numId="33" w16cid:durableId="117527563">
    <w:abstractNumId w:val="19"/>
  </w:num>
  <w:num w:numId="34" w16cid:durableId="1637100647">
    <w:abstractNumId w:val="5"/>
  </w:num>
  <w:num w:numId="35" w16cid:durableId="1729765242">
    <w:abstractNumId w:val="17"/>
  </w:num>
  <w:num w:numId="36" w16cid:durableId="149017599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3D20"/>
    <w:rsid w:val="000047E6"/>
    <w:rsid w:val="00005A7B"/>
    <w:rsid w:val="000060F8"/>
    <w:rsid w:val="000070FF"/>
    <w:rsid w:val="00010875"/>
    <w:rsid w:val="00011A40"/>
    <w:rsid w:val="000127BB"/>
    <w:rsid w:val="00013429"/>
    <w:rsid w:val="000142F5"/>
    <w:rsid w:val="00014BDF"/>
    <w:rsid w:val="000158E1"/>
    <w:rsid w:val="000168A3"/>
    <w:rsid w:val="0001735F"/>
    <w:rsid w:val="000177B8"/>
    <w:rsid w:val="00020A86"/>
    <w:rsid w:val="00021AB6"/>
    <w:rsid w:val="00022359"/>
    <w:rsid w:val="0002273E"/>
    <w:rsid w:val="00022923"/>
    <w:rsid w:val="00022BD6"/>
    <w:rsid w:val="00024BF8"/>
    <w:rsid w:val="00024F52"/>
    <w:rsid w:val="0002748E"/>
    <w:rsid w:val="0003041F"/>
    <w:rsid w:val="000308D6"/>
    <w:rsid w:val="0003102F"/>
    <w:rsid w:val="000319C8"/>
    <w:rsid w:val="00033E05"/>
    <w:rsid w:val="00033E97"/>
    <w:rsid w:val="000341E0"/>
    <w:rsid w:val="00035536"/>
    <w:rsid w:val="00035DA4"/>
    <w:rsid w:val="00035F48"/>
    <w:rsid w:val="000364D8"/>
    <w:rsid w:val="000379E0"/>
    <w:rsid w:val="00037DAE"/>
    <w:rsid w:val="00045143"/>
    <w:rsid w:val="0004780D"/>
    <w:rsid w:val="000512E4"/>
    <w:rsid w:val="0005218C"/>
    <w:rsid w:val="0005377A"/>
    <w:rsid w:val="00053FE0"/>
    <w:rsid w:val="00054215"/>
    <w:rsid w:val="00055D37"/>
    <w:rsid w:val="00056730"/>
    <w:rsid w:val="00057289"/>
    <w:rsid w:val="000579CF"/>
    <w:rsid w:val="000605D5"/>
    <w:rsid w:val="000620D4"/>
    <w:rsid w:val="000626D7"/>
    <w:rsid w:val="00062D8F"/>
    <w:rsid w:val="00063EF2"/>
    <w:rsid w:val="00063F8F"/>
    <w:rsid w:val="00064087"/>
    <w:rsid w:val="00064409"/>
    <w:rsid w:val="000644E6"/>
    <w:rsid w:val="00066256"/>
    <w:rsid w:val="00072F5B"/>
    <w:rsid w:val="000733C1"/>
    <w:rsid w:val="00074167"/>
    <w:rsid w:val="000746AB"/>
    <w:rsid w:val="00074964"/>
    <w:rsid w:val="00076365"/>
    <w:rsid w:val="0007683D"/>
    <w:rsid w:val="000769E5"/>
    <w:rsid w:val="000773E9"/>
    <w:rsid w:val="00077BD6"/>
    <w:rsid w:val="00077E77"/>
    <w:rsid w:val="000800F5"/>
    <w:rsid w:val="00081E50"/>
    <w:rsid w:val="000827D2"/>
    <w:rsid w:val="00084C4E"/>
    <w:rsid w:val="00085524"/>
    <w:rsid w:val="00087306"/>
    <w:rsid w:val="0008799A"/>
    <w:rsid w:val="000900CD"/>
    <w:rsid w:val="00090CD0"/>
    <w:rsid w:val="00092AFE"/>
    <w:rsid w:val="00092FA3"/>
    <w:rsid w:val="00094EB6"/>
    <w:rsid w:val="00095C86"/>
    <w:rsid w:val="00096B69"/>
    <w:rsid w:val="00096B7C"/>
    <w:rsid w:val="00096F95"/>
    <w:rsid w:val="000A098C"/>
    <w:rsid w:val="000A1671"/>
    <w:rsid w:val="000A19CB"/>
    <w:rsid w:val="000A1A5C"/>
    <w:rsid w:val="000A1C91"/>
    <w:rsid w:val="000A203F"/>
    <w:rsid w:val="000A2810"/>
    <w:rsid w:val="000A2C1C"/>
    <w:rsid w:val="000A2C79"/>
    <w:rsid w:val="000A2FDC"/>
    <w:rsid w:val="000A4A8D"/>
    <w:rsid w:val="000A5960"/>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65AB"/>
    <w:rsid w:val="000C6B40"/>
    <w:rsid w:val="000C7BC2"/>
    <w:rsid w:val="000D0C60"/>
    <w:rsid w:val="000D289B"/>
    <w:rsid w:val="000D335D"/>
    <w:rsid w:val="000D3556"/>
    <w:rsid w:val="000D3A2E"/>
    <w:rsid w:val="000D3D81"/>
    <w:rsid w:val="000D4588"/>
    <w:rsid w:val="000D460D"/>
    <w:rsid w:val="000D51C2"/>
    <w:rsid w:val="000D55D3"/>
    <w:rsid w:val="000D58DD"/>
    <w:rsid w:val="000D6800"/>
    <w:rsid w:val="000E01BB"/>
    <w:rsid w:val="000E1088"/>
    <w:rsid w:val="000E18F5"/>
    <w:rsid w:val="000E26E4"/>
    <w:rsid w:val="000E36DE"/>
    <w:rsid w:val="000E3716"/>
    <w:rsid w:val="000E39F5"/>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8FD"/>
    <w:rsid w:val="00103A93"/>
    <w:rsid w:val="00104576"/>
    <w:rsid w:val="001049AE"/>
    <w:rsid w:val="00104DC5"/>
    <w:rsid w:val="00104F9D"/>
    <w:rsid w:val="00107B13"/>
    <w:rsid w:val="00107C46"/>
    <w:rsid w:val="00110152"/>
    <w:rsid w:val="001112CA"/>
    <w:rsid w:val="00112A73"/>
    <w:rsid w:val="00112AA9"/>
    <w:rsid w:val="00114BCD"/>
    <w:rsid w:val="00114C87"/>
    <w:rsid w:val="00115336"/>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12EA"/>
    <w:rsid w:val="00131B45"/>
    <w:rsid w:val="00133CF3"/>
    <w:rsid w:val="001340A9"/>
    <w:rsid w:val="00134A60"/>
    <w:rsid w:val="0013516B"/>
    <w:rsid w:val="00135404"/>
    <w:rsid w:val="0013544D"/>
    <w:rsid w:val="00136045"/>
    <w:rsid w:val="001360AC"/>
    <w:rsid w:val="00136A09"/>
    <w:rsid w:val="00136D1F"/>
    <w:rsid w:val="00137662"/>
    <w:rsid w:val="00137C29"/>
    <w:rsid w:val="00137FA7"/>
    <w:rsid w:val="001406AB"/>
    <w:rsid w:val="00141B96"/>
    <w:rsid w:val="00141DD1"/>
    <w:rsid w:val="00142B97"/>
    <w:rsid w:val="0014426F"/>
    <w:rsid w:val="00144792"/>
    <w:rsid w:val="001448E5"/>
    <w:rsid w:val="00144ACF"/>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680"/>
    <w:rsid w:val="001627C1"/>
    <w:rsid w:val="00165E20"/>
    <w:rsid w:val="00166803"/>
    <w:rsid w:val="00166D7A"/>
    <w:rsid w:val="0016798E"/>
    <w:rsid w:val="0017073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21FD"/>
    <w:rsid w:val="00182C26"/>
    <w:rsid w:val="00182E4B"/>
    <w:rsid w:val="00184249"/>
    <w:rsid w:val="001848A0"/>
    <w:rsid w:val="00185156"/>
    <w:rsid w:val="001860C7"/>
    <w:rsid w:val="00187137"/>
    <w:rsid w:val="0018762A"/>
    <w:rsid w:val="00187D0E"/>
    <w:rsid w:val="00191D9A"/>
    <w:rsid w:val="001921DC"/>
    <w:rsid w:val="0019256E"/>
    <w:rsid w:val="0019389D"/>
    <w:rsid w:val="001940E4"/>
    <w:rsid w:val="0019558F"/>
    <w:rsid w:val="0019573B"/>
    <w:rsid w:val="00197A10"/>
    <w:rsid w:val="001A0736"/>
    <w:rsid w:val="001A0881"/>
    <w:rsid w:val="001A2C64"/>
    <w:rsid w:val="001A3665"/>
    <w:rsid w:val="001A3E6B"/>
    <w:rsid w:val="001A4194"/>
    <w:rsid w:val="001A453E"/>
    <w:rsid w:val="001A486E"/>
    <w:rsid w:val="001A52ED"/>
    <w:rsid w:val="001A60CC"/>
    <w:rsid w:val="001A6726"/>
    <w:rsid w:val="001B0379"/>
    <w:rsid w:val="001B2343"/>
    <w:rsid w:val="001B27CB"/>
    <w:rsid w:val="001B317A"/>
    <w:rsid w:val="001B57BE"/>
    <w:rsid w:val="001C17E1"/>
    <w:rsid w:val="001C2349"/>
    <w:rsid w:val="001C3860"/>
    <w:rsid w:val="001C3924"/>
    <w:rsid w:val="001C3AC7"/>
    <w:rsid w:val="001C4644"/>
    <w:rsid w:val="001C4F66"/>
    <w:rsid w:val="001C5181"/>
    <w:rsid w:val="001C5311"/>
    <w:rsid w:val="001C5B89"/>
    <w:rsid w:val="001C5C71"/>
    <w:rsid w:val="001C6E88"/>
    <w:rsid w:val="001C798C"/>
    <w:rsid w:val="001D0C11"/>
    <w:rsid w:val="001D3BA0"/>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6045"/>
    <w:rsid w:val="001E6096"/>
    <w:rsid w:val="001E6D20"/>
    <w:rsid w:val="001E7394"/>
    <w:rsid w:val="001E7A3E"/>
    <w:rsid w:val="001F0A7E"/>
    <w:rsid w:val="001F0EAF"/>
    <w:rsid w:val="001F2796"/>
    <w:rsid w:val="001F46BB"/>
    <w:rsid w:val="001F5D02"/>
    <w:rsid w:val="001F61F5"/>
    <w:rsid w:val="0020162F"/>
    <w:rsid w:val="002022D0"/>
    <w:rsid w:val="00202A76"/>
    <w:rsid w:val="00205732"/>
    <w:rsid w:val="00205F09"/>
    <w:rsid w:val="00206EAF"/>
    <w:rsid w:val="00207586"/>
    <w:rsid w:val="0020779C"/>
    <w:rsid w:val="00210F80"/>
    <w:rsid w:val="00212BE7"/>
    <w:rsid w:val="00213131"/>
    <w:rsid w:val="00215190"/>
    <w:rsid w:val="002172F3"/>
    <w:rsid w:val="00220200"/>
    <w:rsid w:val="0022116D"/>
    <w:rsid w:val="0022197D"/>
    <w:rsid w:val="00222674"/>
    <w:rsid w:val="00222BDD"/>
    <w:rsid w:val="00222EA1"/>
    <w:rsid w:val="00223093"/>
    <w:rsid w:val="00223C9D"/>
    <w:rsid w:val="00224106"/>
    <w:rsid w:val="002262E1"/>
    <w:rsid w:val="002274AE"/>
    <w:rsid w:val="00230652"/>
    <w:rsid w:val="00230928"/>
    <w:rsid w:val="00231421"/>
    <w:rsid w:val="002317EC"/>
    <w:rsid w:val="00232B3E"/>
    <w:rsid w:val="00232F48"/>
    <w:rsid w:val="00233618"/>
    <w:rsid w:val="00233F93"/>
    <w:rsid w:val="0023434D"/>
    <w:rsid w:val="002346DA"/>
    <w:rsid w:val="0023604B"/>
    <w:rsid w:val="00236283"/>
    <w:rsid w:val="00236862"/>
    <w:rsid w:val="00236B32"/>
    <w:rsid w:val="0023753B"/>
    <w:rsid w:val="002375DF"/>
    <w:rsid w:val="00237DDF"/>
    <w:rsid w:val="00237E5E"/>
    <w:rsid w:val="00240BAF"/>
    <w:rsid w:val="0024143A"/>
    <w:rsid w:val="002416CC"/>
    <w:rsid w:val="00242266"/>
    <w:rsid w:val="0024263D"/>
    <w:rsid w:val="00243FB3"/>
    <w:rsid w:val="00244382"/>
    <w:rsid w:val="002449DE"/>
    <w:rsid w:val="002449E0"/>
    <w:rsid w:val="00244CD8"/>
    <w:rsid w:val="00245049"/>
    <w:rsid w:val="00246C3B"/>
    <w:rsid w:val="00252182"/>
    <w:rsid w:val="002521C2"/>
    <w:rsid w:val="002543D2"/>
    <w:rsid w:val="00254EBE"/>
    <w:rsid w:val="00255A3E"/>
    <w:rsid w:val="00255CDB"/>
    <w:rsid w:val="002571A7"/>
    <w:rsid w:val="002575A2"/>
    <w:rsid w:val="00257737"/>
    <w:rsid w:val="00257935"/>
    <w:rsid w:val="00257B1C"/>
    <w:rsid w:val="00257B2C"/>
    <w:rsid w:val="00261560"/>
    <w:rsid w:val="00263B8F"/>
    <w:rsid w:val="00264288"/>
    <w:rsid w:val="00264741"/>
    <w:rsid w:val="0026627F"/>
    <w:rsid w:val="002666C2"/>
    <w:rsid w:val="00267883"/>
    <w:rsid w:val="00267D24"/>
    <w:rsid w:val="002709EB"/>
    <w:rsid w:val="00271327"/>
    <w:rsid w:val="002728B7"/>
    <w:rsid w:val="00272C26"/>
    <w:rsid w:val="00272F26"/>
    <w:rsid w:val="0027591F"/>
    <w:rsid w:val="00275AD4"/>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671"/>
    <w:rsid w:val="002907E0"/>
    <w:rsid w:val="002920DE"/>
    <w:rsid w:val="00292E51"/>
    <w:rsid w:val="00292FA3"/>
    <w:rsid w:val="00293A5F"/>
    <w:rsid w:val="00295546"/>
    <w:rsid w:val="00295953"/>
    <w:rsid w:val="002961CD"/>
    <w:rsid w:val="00296951"/>
    <w:rsid w:val="00296A11"/>
    <w:rsid w:val="00296AC1"/>
    <w:rsid w:val="00297C1B"/>
    <w:rsid w:val="002A04A6"/>
    <w:rsid w:val="002A0C43"/>
    <w:rsid w:val="002A1EC0"/>
    <w:rsid w:val="002A22E4"/>
    <w:rsid w:val="002A2326"/>
    <w:rsid w:val="002A2339"/>
    <w:rsid w:val="002A3682"/>
    <w:rsid w:val="002A40C4"/>
    <w:rsid w:val="002A46B9"/>
    <w:rsid w:val="002A5172"/>
    <w:rsid w:val="002A55C3"/>
    <w:rsid w:val="002A66D2"/>
    <w:rsid w:val="002A67F0"/>
    <w:rsid w:val="002A684A"/>
    <w:rsid w:val="002B09AE"/>
    <w:rsid w:val="002B335B"/>
    <w:rsid w:val="002B4A79"/>
    <w:rsid w:val="002B52FD"/>
    <w:rsid w:val="002B576A"/>
    <w:rsid w:val="002B692C"/>
    <w:rsid w:val="002C0876"/>
    <w:rsid w:val="002C1BF7"/>
    <w:rsid w:val="002C1C9E"/>
    <w:rsid w:val="002C2E64"/>
    <w:rsid w:val="002C3360"/>
    <w:rsid w:val="002C363C"/>
    <w:rsid w:val="002C58CA"/>
    <w:rsid w:val="002C5A31"/>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10CF"/>
    <w:rsid w:val="002E1205"/>
    <w:rsid w:val="002E73F8"/>
    <w:rsid w:val="002F03FB"/>
    <w:rsid w:val="002F2DAC"/>
    <w:rsid w:val="002F358F"/>
    <w:rsid w:val="002F6607"/>
    <w:rsid w:val="002F68D8"/>
    <w:rsid w:val="003005C6"/>
    <w:rsid w:val="003011EE"/>
    <w:rsid w:val="00301478"/>
    <w:rsid w:val="003016E3"/>
    <w:rsid w:val="003032DC"/>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71C4"/>
    <w:rsid w:val="003274B9"/>
    <w:rsid w:val="003275A0"/>
    <w:rsid w:val="00327CF2"/>
    <w:rsid w:val="003327E8"/>
    <w:rsid w:val="0033380C"/>
    <w:rsid w:val="00334ABE"/>
    <w:rsid w:val="00334C23"/>
    <w:rsid w:val="003371BA"/>
    <w:rsid w:val="00337770"/>
    <w:rsid w:val="00340943"/>
    <w:rsid w:val="00341D5B"/>
    <w:rsid w:val="00342E50"/>
    <w:rsid w:val="00343078"/>
    <w:rsid w:val="00343584"/>
    <w:rsid w:val="003445FC"/>
    <w:rsid w:val="00344ABD"/>
    <w:rsid w:val="00344F3C"/>
    <w:rsid w:val="00344FFA"/>
    <w:rsid w:val="00346126"/>
    <w:rsid w:val="00346A84"/>
    <w:rsid w:val="00346B11"/>
    <w:rsid w:val="00346F2B"/>
    <w:rsid w:val="0034779A"/>
    <w:rsid w:val="003506E0"/>
    <w:rsid w:val="00350F54"/>
    <w:rsid w:val="00350FE8"/>
    <w:rsid w:val="003515FF"/>
    <w:rsid w:val="00353F27"/>
    <w:rsid w:val="0035457C"/>
    <w:rsid w:val="003546A6"/>
    <w:rsid w:val="00354DDB"/>
    <w:rsid w:val="003554FA"/>
    <w:rsid w:val="00356AEC"/>
    <w:rsid w:val="003600D8"/>
    <w:rsid w:val="003612DF"/>
    <w:rsid w:val="00361F12"/>
    <w:rsid w:val="00362D1C"/>
    <w:rsid w:val="00363758"/>
    <w:rsid w:val="00365155"/>
    <w:rsid w:val="00365579"/>
    <w:rsid w:val="003662E1"/>
    <w:rsid w:val="00366F64"/>
    <w:rsid w:val="00367582"/>
    <w:rsid w:val="00367A3D"/>
    <w:rsid w:val="00367A45"/>
    <w:rsid w:val="0037050A"/>
    <w:rsid w:val="00371467"/>
    <w:rsid w:val="003716CB"/>
    <w:rsid w:val="0037202F"/>
    <w:rsid w:val="00374500"/>
    <w:rsid w:val="003758BB"/>
    <w:rsid w:val="003777BC"/>
    <w:rsid w:val="00377F35"/>
    <w:rsid w:val="00380224"/>
    <w:rsid w:val="00382058"/>
    <w:rsid w:val="003822B7"/>
    <w:rsid w:val="00382A42"/>
    <w:rsid w:val="00383BA9"/>
    <w:rsid w:val="00383C87"/>
    <w:rsid w:val="00384125"/>
    <w:rsid w:val="00384B95"/>
    <w:rsid w:val="0038523C"/>
    <w:rsid w:val="003868B1"/>
    <w:rsid w:val="00386A1B"/>
    <w:rsid w:val="00387388"/>
    <w:rsid w:val="00387466"/>
    <w:rsid w:val="003906C5"/>
    <w:rsid w:val="00390A25"/>
    <w:rsid w:val="003915D7"/>
    <w:rsid w:val="00392870"/>
    <w:rsid w:val="00393DD8"/>
    <w:rsid w:val="00394A40"/>
    <w:rsid w:val="003958D0"/>
    <w:rsid w:val="00395A3F"/>
    <w:rsid w:val="0039727E"/>
    <w:rsid w:val="003A0AFA"/>
    <w:rsid w:val="003A2EB3"/>
    <w:rsid w:val="003A3891"/>
    <w:rsid w:val="003A43E9"/>
    <w:rsid w:val="003A4CA6"/>
    <w:rsid w:val="003A4CA9"/>
    <w:rsid w:val="003A688D"/>
    <w:rsid w:val="003A7C3D"/>
    <w:rsid w:val="003B09F2"/>
    <w:rsid w:val="003B1637"/>
    <w:rsid w:val="003B187C"/>
    <w:rsid w:val="003B2171"/>
    <w:rsid w:val="003B2489"/>
    <w:rsid w:val="003B2702"/>
    <w:rsid w:val="003B2915"/>
    <w:rsid w:val="003B2E27"/>
    <w:rsid w:val="003B3081"/>
    <w:rsid w:val="003B38C2"/>
    <w:rsid w:val="003B3E52"/>
    <w:rsid w:val="003B45E4"/>
    <w:rsid w:val="003B5300"/>
    <w:rsid w:val="003B53D7"/>
    <w:rsid w:val="003B5C52"/>
    <w:rsid w:val="003B6155"/>
    <w:rsid w:val="003B61CB"/>
    <w:rsid w:val="003B6366"/>
    <w:rsid w:val="003B63F9"/>
    <w:rsid w:val="003B6781"/>
    <w:rsid w:val="003B7765"/>
    <w:rsid w:val="003B7D20"/>
    <w:rsid w:val="003B7E90"/>
    <w:rsid w:val="003C03F4"/>
    <w:rsid w:val="003C21A7"/>
    <w:rsid w:val="003C274A"/>
    <w:rsid w:val="003C28AC"/>
    <w:rsid w:val="003C2B44"/>
    <w:rsid w:val="003C3394"/>
    <w:rsid w:val="003C4EEB"/>
    <w:rsid w:val="003C599D"/>
    <w:rsid w:val="003C5DA9"/>
    <w:rsid w:val="003C7E49"/>
    <w:rsid w:val="003D08B9"/>
    <w:rsid w:val="003D0CAB"/>
    <w:rsid w:val="003D0DE5"/>
    <w:rsid w:val="003D1AA1"/>
    <w:rsid w:val="003D27C5"/>
    <w:rsid w:val="003D30D0"/>
    <w:rsid w:val="003D3143"/>
    <w:rsid w:val="003D5FDD"/>
    <w:rsid w:val="003D674F"/>
    <w:rsid w:val="003D6C53"/>
    <w:rsid w:val="003D6EAE"/>
    <w:rsid w:val="003E01A0"/>
    <w:rsid w:val="003E0977"/>
    <w:rsid w:val="003E0A42"/>
    <w:rsid w:val="003E169B"/>
    <w:rsid w:val="003E178D"/>
    <w:rsid w:val="003E2735"/>
    <w:rsid w:val="003E2773"/>
    <w:rsid w:val="003E2E9F"/>
    <w:rsid w:val="003E3046"/>
    <w:rsid w:val="003E341E"/>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3F77BB"/>
    <w:rsid w:val="0040220A"/>
    <w:rsid w:val="0040257F"/>
    <w:rsid w:val="0040427E"/>
    <w:rsid w:val="00405939"/>
    <w:rsid w:val="00405AED"/>
    <w:rsid w:val="00405C71"/>
    <w:rsid w:val="00406156"/>
    <w:rsid w:val="0040688C"/>
    <w:rsid w:val="0041111E"/>
    <w:rsid w:val="0041194E"/>
    <w:rsid w:val="00413F44"/>
    <w:rsid w:val="00415852"/>
    <w:rsid w:val="00415D26"/>
    <w:rsid w:val="004170D5"/>
    <w:rsid w:val="004206C7"/>
    <w:rsid w:val="00420D0E"/>
    <w:rsid w:val="00420F46"/>
    <w:rsid w:val="00421B2C"/>
    <w:rsid w:val="00421D81"/>
    <w:rsid w:val="0042216B"/>
    <w:rsid w:val="004229D1"/>
    <w:rsid w:val="00422BF9"/>
    <w:rsid w:val="00422CD2"/>
    <w:rsid w:val="004237A6"/>
    <w:rsid w:val="0042419C"/>
    <w:rsid w:val="00424403"/>
    <w:rsid w:val="004246F2"/>
    <w:rsid w:val="004256DA"/>
    <w:rsid w:val="00426F07"/>
    <w:rsid w:val="00427142"/>
    <w:rsid w:val="00430C6B"/>
    <w:rsid w:val="004310D7"/>
    <w:rsid w:val="004313CA"/>
    <w:rsid w:val="00431843"/>
    <w:rsid w:val="00431CF4"/>
    <w:rsid w:val="00434AA8"/>
    <w:rsid w:val="004355D8"/>
    <w:rsid w:val="004365DE"/>
    <w:rsid w:val="004367EB"/>
    <w:rsid w:val="00436E38"/>
    <w:rsid w:val="00436E5D"/>
    <w:rsid w:val="00437631"/>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358A"/>
    <w:rsid w:val="00455891"/>
    <w:rsid w:val="00455E0F"/>
    <w:rsid w:val="00455EE6"/>
    <w:rsid w:val="00456419"/>
    <w:rsid w:val="00456F18"/>
    <w:rsid w:val="004579E2"/>
    <w:rsid w:val="00457B5D"/>
    <w:rsid w:val="00457C31"/>
    <w:rsid w:val="004600CA"/>
    <w:rsid w:val="0046033A"/>
    <w:rsid w:val="00460E37"/>
    <w:rsid w:val="00461111"/>
    <w:rsid w:val="00461809"/>
    <w:rsid w:val="004622B8"/>
    <w:rsid w:val="00462D75"/>
    <w:rsid w:val="00464529"/>
    <w:rsid w:val="00465221"/>
    <w:rsid w:val="00465865"/>
    <w:rsid w:val="0046633E"/>
    <w:rsid w:val="0046757D"/>
    <w:rsid w:val="00470972"/>
    <w:rsid w:val="00470FE1"/>
    <w:rsid w:val="00471049"/>
    <w:rsid w:val="00471675"/>
    <w:rsid w:val="0047268F"/>
    <w:rsid w:val="00472AD5"/>
    <w:rsid w:val="00472C27"/>
    <w:rsid w:val="00473DE5"/>
    <w:rsid w:val="0047550A"/>
    <w:rsid w:val="0047560B"/>
    <w:rsid w:val="00477902"/>
    <w:rsid w:val="00480D46"/>
    <w:rsid w:val="00481DDF"/>
    <w:rsid w:val="00483D35"/>
    <w:rsid w:val="004840A3"/>
    <w:rsid w:val="00484FB1"/>
    <w:rsid w:val="004852CC"/>
    <w:rsid w:val="00485795"/>
    <w:rsid w:val="00486013"/>
    <w:rsid w:val="0048627E"/>
    <w:rsid w:val="00491F86"/>
    <w:rsid w:val="004925F1"/>
    <w:rsid w:val="00492FA3"/>
    <w:rsid w:val="00493EA7"/>
    <w:rsid w:val="004946F5"/>
    <w:rsid w:val="00496BE0"/>
    <w:rsid w:val="004A00CA"/>
    <w:rsid w:val="004A0289"/>
    <w:rsid w:val="004A07A9"/>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B0AC4"/>
    <w:rsid w:val="004B330B"/>
    <w:rsid w:val="004B43BC"/>
    <w:rsid w:val="004B46F0"/>
    <w:rsid w:val="004B4C30"/>
    <w:rsid w:val="004B6BD9"/>
    <w:rsid w:val="004B6F13"/>
    <w:rsid w:val="004B7CB4"/>
    <w:rsid w:val="004C0754"/>
    <w:rsid w:val="004C0CF8"/>
    <w:rsid w:val="004C1B9C"/>
    <w:rsid w:val="004C230C"/>
    <w:rsid w:val="004C2B4A"/>
    <w:rsid w:val="004C3BB1"/>
    <w:rsid w:val="004C4E56"/>
    <w:rsid w:val="004C4FF3"/>
    <w:rsid w:val="004C52E6"/>
    <w:rsid w:val="004C569B"/>
    <w:rsid w:val="004C6440"/>
    <w:rsid w:val="004C6880"/>
    <w:rsid w:val="004C6DAA"/>
    <w:rsid w:val="004C7233"/>
    <w:rsid w:val="004D07E7"/>
    <w:rsid w:val="004D1EF9"/>
    <w:rsid w:val="004D2FAA"/>
    <w:rsid w:val="004D3F33"/>
    <w:rsid w:val="004D40BB"/>
    <w:rsid w:val="004D648C"/>
    <w:rsid w:val="004D7175"/>
    <w:rsid w:val="004E0A50"/>
    <w:rsid w:val="004E174E"/>
    <w:rsid w:val="004E1AE3"/>
    <w:rsid w:val="004E2397"/>
    <w:rsid w:val="004E297F"/>
    <w:rsid w:val="004E2DEC"/>
    <w:rsid w:val="004E3152"/>
    <w:rsid w:val="004E34A2"/>
    <w:rsid w:val="004E41A9"/>
    <w:rsid w:val="004E455E"/>
    <w:rsid w:val="004E5066"/>
    <w:rsid w:val="004E5618"/>
    <w:rsid w:val="004E5626"/>
    <w:rsid w:val="004E5906"/>
    <w:rsid w:val="004E5F62"/>
    <w:rsid w:val="004E634B"/>
    <w:rsid w:val="004E66E2"/>
    <w:rsid w:val="004E6C4B"/>
    <w:rsid w:val="004E6DA5"/>
    <w:rsid w:val="004E78B1"/>
    <w:rsid w:val="004F0018"/>
    <w:rsid w:val="004F0098"/>
    <w:rsid w:val="004F168E"/>
    <w:rsid w:val="004F1814"/>
    <w:rsid w:val="004F1FE3"/>
    <w:rsid w:val="004F3E4C"/>
    <w:rsid w:val="004F3FE3"/>
    <w:rsid w:val="004F41F5"/>
    <w:rsid w:val="004F4254"/>
    <w:rsid w:val="004F542D"/>
    <w:rsid w:val="004F553D"/>
    <w:rsid w:val="004F5738"/>
    <w:rsid w:val="004F64A0"/>
    <w:rsid w:val="004F799F"/>
    <w:rsid w:val="004F7FF0"/>
    <w:rsid w:val="00501D51"/>
    <w:rsid w:val="00502B09"/>
    <w:rsid w:val="00502F01"/>
    <w:rsid w:val="00503431"/>
    <w:rsid w:val="005034AA"/>
    <w:rsid w:val="005048B9"/>
    <w:rsid w:val="00505AFE"/>
    <w:rsid w:val="00506587"/>
    <w:rsid w:val="00506BC1"/>
    <w:rsid w:val="00506E59"/>
    <w:rsid w:val="005076B5"/>
    <w:rsid w:val="00507734"/>
    <w:rsid w:val="00507FEF"/>
    <w:rsid w:val="00510AE1"/>
    <w:rsid w:val="00510D4D"/>
    <w:rsid w:val="00511138"/>
    <w:rsid w:val="00511B86"/>
    <w:rsid w:val="00512DE3"/>
    <w:rsid w:val="00513629"/>
    <w:rsid w:val="00513940"/>
    <w:rsid w:val="00514B54"/>
    <w:rsid w:val="00514D5D"/>
    <w:rsid w:val="00514EC9"/>
    <w:rsid w:val="00515F21"/>
    <w:rsid w:val="00516884"/>
    <w:rsid w:val="005179ED"/>
    <w:rsid w:val="00521709"/>
    <w:rsid w:val="0052321B"/>
    <w:rsid w:val="00524E52"/>
    <w:rsid w:val="00526398"/>
    <w:rsid w:val="00527EB0"/>
    <w:rsid w:val="00530833"/>
    <w:rsid w:val="00530C73"/>
    <w:rsid w:val="00530D43"/>
    <w:rsid w:val="00531293"/>
    <w:rsid w:val="005313D8"/>
    <w:rsid w:val="00532E2D"/>
    <w:rsid w:val="0053350E"/>
    <w:rsid w:val="005348EB"/>
    <w:rsid w:val="005358CE"/>
    <w:rsid w:val="00535A06"/>
    <w:rsid w:val="00535BAB"/>
    <w:rsid w:val="00536AA5"/>
    <w:rsid w:val="00536D35"/>
    <w:rsid w:val="0054063E"/>
    <w:rsid w:val="005407F0"/>
    <w:rsid w:val="0054092D"/>
    <w:rsid w:val="0054098A"/>
    <w:rsid w:val="00541193"/>
    <w:rsid w:val="00541526"/>
    <w:rsid w:val="00541B24"/>
    <w:rsid w:val="0054297B"/>
    <w:rsid w:val="00542E3C"/>
    <w:rsid w:val="00542F46"/>
    <w:rsid w:val="00545DC0"/>
    <w:rsid w:val="005462FE"/>
    <w:rsid w:val="00546B29"/>
    <w:rsid w:val="00546E6E"/>
    <w:rsid w:val="00550ACF"/>
    <w:rsid w:val="0055113F"/>
    <w:rsid w:val="005516C0"/>
    <w:rsid w:val="00551D62"/>
    <w:rsid w:val="00551D93"/>
    <w:rsid w:val="00552C27"/>
    <w:rsid w:val="00552C9F"/>
    <w:rsid w:val="00552D52"/>
    <w:rsid w:val="0055365F"/>
    <w:rsid w:val="005554B3"/>
    <w:rsid w:val="00556100"/>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80511"/>
    <w:rsid w:val="0058055F"/>
    <w:rsid w:val="00580AB4"/>
    <w:rsid w:val="00581E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1A64"/>
    <w:rsid w:val="005A1E69"/>
    <w:rsid w:val="005A24CA"/>
    <w:rsid w:val="005A342B"/>
    <w:rsid w:val="005A3FB7"/>
    <w:rsid w:val="005A41F6"/>
    <w:rsid w:val="005A7165"/>
    <w:rsid w:val="005A7753"/>
    <w:rsid w:val="005B01C4"/>
    <w:rsid w:val="005B0C46"/>
    <w:rsid w:val="005B0D3F"/>
    <w:rsid w:val="005B12E1"/>
    <w:rsid w:val="005B251F"/>
    <w:rsid w:val="005B28B4"/>
    <w:rsid w:val="005B2D37"/>
    <w:rsid w:val="005B5140"/>
    <w:rsid w:val="005B539B"/>
    <w:rsid w:val="005B60EE"/>
    <w:rsid w:val="005B7028"/>
    <w:rsid w:val="005B7B61"/>
    <w:rsid w:val="005C0873"/>
    <w:rsid w:val="005C1972"/>
    <w:rsid w:val="005C2D5F"/>
    <w:rsid w:val="005C3711"/>
    <w:rsid w:val="005C37D0"/>
    <w:rsid w:val="005C4570"/>
    <w:rsid w:val="005C52EE"/>
    <w:rsid w:val="005C5899"/>
    <w:rsid w:val="005C5A63"/>
    <w:rsid w:val="005C61C8"/>
    <w:rsid w:val="005C6B44"/>
    <w:rsid w:val="005C729A"/>
    <w:rsid w:val="005C76C1"/>
    <w:rsid w:val="005D13AB"/>
    <w:rsid w:val="005D373E"/>
    <w:rsid w:val="005D39C3"/>
    <w:rsid w:val="005D634C"/>
    <w:rsid w:val="005D6DD3"/>
    <w:rsid w:val="005D6F9E"/>
    <w:rsid w:val="005D7116"/>
    <w:rsid w:val="005D7DE8"/>
    <w:rsid w:val="005E064B"/>
    <w:rsid w:val="005E12BD"/>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3080"/>
    <w:rsid w:val="005F317F"/>
    <w:rsid w:val="005F48E1"/>
    <w:rsid w:val="005F4A5C"/>
    <w:rsid w:val="005F4B87"/>
    <w:rsid w:val="005F591F"/>
    <w:rsid w:val="005F5FB7"/>
    <w:rsid w:val="005F7512"/>
    <w:rsid w:val="005F7B57"/>
    <w:rsid w:val="00600BE8"/>
    <w:rsid w:val="00602BC1"/>
    <w:rsid w:val="00602ECF"/>
    <w:rsid w:val="006032A8"/>
    <w:rsid w:val="0060347C"/>
    <w:rsid w:val="0060375F"/>
    <w:rsid w:val="006054CB"/>
    <w:rsid w:val="00605CDA"/>
    <w:rsid w:val="00610622"/>
    <w:rsid w:val="00610BFB"/>
    <w:rsid w:val="00610D69"/>
    <w:rsid w:val="0061110D"/>
    <w:rsid w:val="0061227F"/>
    <w:rsid w:val="0061278C"/>
    <w:rsid w:val="00613895"/>
    <w:rsid w:val="006142B0"/>
    <w:rsid w:val="006155F9"/>
    <w:rsid w:val="0061648A"/>
    <w:rsid w:val="00616D51"/>
    <w:rsid w:val="0062010A"/>
    <w:rsid w:val="006215A9"/>
    <w:rsid w:val="00624C7E"/>
    <w:rsid w:val="00625307"/>
    <w:rsid w:val="006263C3"/>
    <w:rsid w:val="00627425"/>
    <w:rsid w:val="006274C0"/>
    <w:rsid w:val="00627A2B"/>
    <w:rsid w:val="00632AD3"/>
    <w:rsid w:val="00632C7F"/>
    <w:rsid w:val="00633066"/>
    <w:rsid w:val="00633E8B"/>
    <w:rsid w:val="00635719"/>
    <w:rsid w:val="00635A20"/>
    <w:rsid w:val="00635B77"/>
    <w:rsid w:val="00636BAC"/>
    <w:rsid w:val="0063716B"/>
    <w:rsid w:val="00640998"/>
    <w:rsid w:val="00641141"/>
    <w:rsid w:val="00641357"/>
    <w:rsid w:val="006417EF"/>
    <w:rsid w:val="00641CBA"/>
    <w:rsid w:val="00642922"/>
    <w:rsid w:val="00643A8A"/>
    <w:rsid w:val="00643C6F"/>
    <w:rsid w:val="00644762"/>
    <w:rsid w:val="00645429"/>
    <w:rsid w:val="006472F1"/>
    <w:rsid w:val="006477A1"/>
    <w:rsid w:val="00651A9C"/>
    <w:rsid w:val="00653C92"/>
    <w:rsid w:val="006540B1"/>
    <w:rsid w:val="00654583"/>
    <w:rsid w:val="00655CC2"/>
    <w:rsid w:val="00656091"/>
    <w:rsid w:val="0065662A"/>
    <w:rsid w:val="00657101"/>
    <w:rsid w:val="0065725E"/>
    <w:rsid w:val="00657E0F"/>
    <w:rsid w:val="006604BC"/>
    <w:rsid w:val="006605E4"/>
    <w:rsid w:val="006609FB"/>
    <w:rsid w:val="00660BA7"/>
    <w:rsid w:val="00662006"/>
    <w:rsid w:val="006620B2"/>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71564"/>
    <w:rsid w:val="00672E74"/>
    <w:rsid w:val="00672FDB"/>
    <w:rsid w:val="00674274"/>
    <w:rsid w:val="006745BD"/>
    <w:rsid w:val="0067533D"/>
    <w:rsid w:val="00675725"/>
    <w:rsid w:val="00676949"/>
    <w:rsid w:val="00676C85"/>
    <w:rsid w:val="006801F5"/>
    <w:rsid w:val="006819F0"/>
    <w:rsid w:val="006824F4"/>
    <w:rsid w:val="00683A7D"/>
    <w:rsid w:val="00683A88"/>
    <w:rsid w:val="00685B3E"/>
    <w:rsid w:val="00686BE8"/>
    <w:rsid w:val="00686E3F"/>
    <w:rsid w:val="006873FB"/>
    <w:rsid w:val="00690354"/>
    <w:rsid w:val="006912FB"/>
    <w:rsid w:val="0069166B"/>
    <w:rsid w:val="0069184E"/>
    <w:rsid w:val="00691899"/>
    <w:rsid w:val="006920BB"/>
    <w:rsid w:val="00692C63"/>
    <w:rsid w:val="006935F5"/>
    <w:rsid w:val="0069429F"/>
    <w:rsid w:val="006952AB"/>
    <w:rsid w:val="00695C66"/>
    <w:rsid w:val="006968A0"/>
    <w:rsid w:val="00697472"/>
    <w:rsid w:val="006A0AA1"/>
    <w:rsid w:val="006A25B3"/>
    <w:rsid w:val="006A272E"/>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EB0"/>
    <w:rsid w:val="006B2E1A"/>
    <w:rsid w:val="006B316F"/>
    <w:rsid w:val="006B47FE"/>
    <w:rsid w:val="006B5B76"/>
    <w:rsid w:val="006B647A"/>
    <w:rsid w:val="006B6595"/>
    <w:rsid w:val="006B6D57"/>
    <w:rsid w:val="006B748A"/>
    <w:rsid w:val="006B7E01"/>
    <w:rsid w:val="006C14AD"/>
    <w:rsid w:val="006C2738"/>
    <w:rsid w:val="006C3522"/>
    <w:rsid w:val="006C4718"/>
    <w:rsid w:val="006C5238"/>
    <w:rsid w:val="006C64F7"/>
    <w:rsid w:val="006D11D9"/>
    <w:rsid w:val="006D15EF"/>
    <w:rsid w:val="006D2335"/>
    <w:rsid w:val="006D2E2D"/>
    <w:rsid w:val="006D31F6"/>
    <w:rsid w:val="006D3962"/>
    <w:rsid w:val="006D3F26"/>
    <w:rsid w:val="006D45FA"/>
    <w:rsid w:val="006D50CD"/>
    <w:rsid w:val="006D50EE"/>
    <w:rsid w:val="006D568A"/>
    <w:rsid w:val="006D6666"/>
    <w:rsid w:val="006D790B"/>
    <w:rsid w:val="006D7FBE"/>
    <w:rsid w:val="006E0BD2"/>
    <w:rsid w:val="006E232E"/>
    <w:rsid w:val="006E2A3D"/>
    <w:rsid w:val="006E2B77"/>
    <w:rsid w:val="006E30C5"/>
    <w:rsid w:val="006E340C"/>
    <w:rsid w:val="006E3E92"/>
    <w:rsid w:val="006E419A"/>
    <w:rsid w:val="006E440D"/>
    <w:rsid w:val="006E4710"/>
    <w:rsid w:val="006E4B11"/>
    <w:rsid w:val="006E5A77"/>
    <w:rsid w:val="006E60F6"/>
    <w:rsid w:val="006E6A7C"/>
    <w:rsid w:val="006F06C9"/>
    <w:rsid w:val="006F0FBC"/>
    <w:rsid w:val="006F113A"/>
    <w:rsid w:val="006F1512"/>
    <w:rsid w:val="006F1B1A"/>
    <w:rsid w:val="006F1EF4"/>
    <w:rsid w:val="006F4FF5"/>
    <w:rsid w:val="006F5FEC"/>
    <w:rsid w:val="006F6015"/>
    <w:rsid w:val="006F7064"/>
    <w:rsid w:val="00700D25"/>
    <w:rsid w:val="00701F53"/>
    <w:rsid w:val="007020E0"/>
    <w:rsid w:val="00702820"/>
    <w:rsid w:val="00703818"/>
    <w:rsid w:val="0070469F"/>
    <w:rsid w:val="00704F98"/>
    <w:rsid w:val="00707570"/>
    <w:rsid w:val="00707A2B"/>
    <w:rsid w:val="00710480"/>
    <w:rsid w:val="007108AA"/>
    <w:rsid w:val="00711273"/>
    <w:rsid w:val="00711C60"/>
    <w:rsid w:val="00712BE2"/>
    <w:rsid w:val="00712DA2"/>
    <w:rsid w:val="007140DA"/>
    <w:rsid w:val="00714BF3"/>
    <w:rsid w:val="00715289"/>
    <w:rsid w:val="007156AA"/>
    <w:rsid w:val="00715A5A"/>
    <w:rsid w:val="00715C37"/>
    <w:rsid w:val="007171AD"/>
    <w:rsid w:val="007173AD"/>
    <w:rsid w:val="007177BC"/>
    <w:rsid w:val="00717DE0"/>
    <w:rsid w:val="0072196E"/>
    <w:rsid w:val="007219BB"/>
    <w:rsid w:val="00722568"/>
    <w:rsid w:val="00722707"/>
    <w:rsid w:val="007242FA"/>
    <w:rsid w:val="00724897"/>
    <w:rsid w:val="007257AC"/>
    <w:rsid w:val="007260A1"/>
    <w:rsid w:val="0072729E"/>
    <w:rsid w:val="00730B75"/>
    <w:rsid w:val="00731872"/>
    <w:rsid w:val="0073286E"/>
    <w:rsid w:val="007329D7"/>
    <w:rsid w:val="0073329A"/>
    <w:rsid w:val="00733ADD"/>
    <w:rsid w:val="0073560D"/>
    <w:rsid w:val="0073573F"/>
    <w:rsid w:val="00735DED"/>
    <w:rsid w:val="00740CE0"/>
    <w:rsid w:val="00740E9A"/>
    <w:rsid w:val="00740F4B"/>
    <w:rsid w:val="00741800"/>
    <w:rsid w:val="00743103"/>
    <w:rsid w:val="0074423C"/>
    <w:rsid w:val="00744C20"/>
    <w:rsid w:val="00745249"/>
    <w:rsid w:val="0074557F"/>
    <w:rsid w:val="007461F6"/>
    <w:rsid w:val="00746A74"/>
    <w:rsid w:val="00746FF5"/>
    <w:rsid w:val="0075015D"/>
    <w:rsid w:val="00750F20"/>
    <w:rsid w:val="007512DA"/>
    <w:rsid w:val="00751CA7"/>
    <w:rsid w:val="007524F3"/>
    <w:rsid w:val="00752A02"/>
    <w:rsid w:val="00752CC8"/>
    <w:rsid w:val="0075428E"/>
    <w:rsid w:val="007543BC"/>
    <w:rsid w:val="00755D76"/>
    <w:rsid w:val="0075752C"/>
    <w:rsid w:val="00757AA9"/>
    <w:rsid w:val="00757B92"/>
    <w:rsid w:val="007602ED"/>
    <w:rsid w:val="0076095A"/>
    <w:rsid w:val="00760C5A"/>
    <w:rsid w:val="00761D60"/>
    <w:rsid w:val="00762643"/>
    <w:rsid w:val="00765527"/>
    <w:rsid w:val="00765AB5"/>
    <w:rsid w:val="00765AFB"/>
    <w:rsid w:val="00765D70"/>
    <w:rsid w:val="00767343"/>
    <w:rsid w:val="00767A1C"/>
    <w:rsid w:val="00767E6C"/>
    <w:rsid w:val="00770F33"/>
    <w:rsid w:val="007718BA"/>
    <w:rsid w:val="00772253"/>
    <w:rsid w:val="00772F35"/>
    <w:rsid w:val="00773B99"/>
    <w:rsid w:val="00774120"/>
    <w:rsid w:val="00775E96"/>
    <w:rsid w:val="007772B7"/>
    <w:rsid w:val="0077741F"/>
    <w:rsid w:val="0077767B"/>
    <w:rsid w:val="0077787A"/>
    <w:rsid w:val="00777D48"/>
    <w:rsid w:val="007809E9"/>
    <w:rsid w:val="00780C55"/>
    <w:rsid w:val="00781347"/>
    <w:rsid w:val="00781992"/>
    <w:rsid w:val="007820F7"/>
    <w:rsid w:val="007825E0"/>
    <w:rsid w:val="00782629"/>
    <w:rsid w:val="00782A5B"/>
    <w:rsid w:val="00782E6C"/>
    <w:rsid w:val="0078308B"/>
    <w:rsid w:val="007832D7"/>
    <w:rsid w:val="007833A6"/>
    <w:rsid w:val="007850A3"/>
    <w:rsid w:val="007860A0"/>
    <w:rsid w:val="00791E9C"/>
    <w:rsid w:val="0079297D"/>
    <w:rsid w:val="00792CDA"/>
    <w:rsid w:val="007932D2"/>
    <w:rsid w:val="00794CD5"/>
    <w:rsid w:val="00797289"/>
    <w:rsid w:val="00797301"/>
    <w:rsid w:val="007A043C"/>
    <w:rsid w:val="007A1D14"/>
    <w:rsid w:val="007A2D78"/>
    <w:rsid w:val="007A30F1"/>
    <w:rsid w:val="007A43C2"/>
    <w:rsid w:val="007A4832"/>
    <w:rsid w:val="007A50E3"/>
    <w:rsid w:val="007A5F98"/>
    <w:rsid w:val="007A64DB"/>
    <w:rsid w:val="007B1B9A"/>
    <w:rsid w:val="007B2290"/>
    <w:rsid w:val="007B249D"/>
    <w:rsid w:val="007B3874"/>
    <w:rsid w:val="007B3AF3"/>
    <w:rsid w:val="007B4265"/>
    <w:rsid w:val="007B646F"/>
    <w:rsid w:val="007B6EDE"/>
    <w:rsid w:val="007C0532"/>
    <w:rsid w:val="007C19D6"/>
    <w:rsid w:val="007C3350"/>
    <w:rsid w:val="007C3404"/>
    <w:rsid w:val="007C372D"/>
    <w:rsid w:val="007C3882"/>
    <w:rsid w:val="007C42FC"/>
    <w:rsid w:val="007C49EB"/>
    <w:rsid w:val="007C55D8"/>
    <w:rsid w:val="007C5A8E"/>
    <w:rsid w:val="007C6384"/>
    <w:rsid w:val="007C65FB"/>
    <w:rsid w:val="007C729F"/>
    <w:rsid w:val="007D1231"/>
    <w:rsid w:val="007D1245"/>
    <w:rsid w:val="007D42BB"/>
    <w:rsid w:val="007D560A"/>
    <w:rsid w:val="007E0618"/>
    <w:rsid w:val="007E0674"/>
    <w:rsid w:val="007E0C20"/>
    <w:rsid w:val="007E0E49"/>
    <w:rsid w:val="007E24CF"/>
    <w:rsid w:val="007E40CF"/>
    <w:rsid w:val="007E41E9"/>
    <w:rsid w:val="007E41F8"/>
    <w:rsid w:val="007E424C"/>
    <w:rsid w:val="007E4E44"/>
    <w:rsid w:val="007E517F"/>
    <w:rsid w:val="007E6917"/>
    <w:rsid w:val="007E6C46"/>
    <w:rsid w:val="007E7807"/>
    <w:rsid w:val="007E7A7D"/>
    <w:rsid w:val="007F293E"/>
    <w:rsid w:val="007F4401"/>
    <w:rsid w:val="007F4521"/>
    <w:rsid w:val="007F4D9E"/>
    <w:rsid w:val="007F5212"/>
    <w:rsid w:val="007F52E2"/>
    <w:rsid w:val="007F5603"/>
    <w:rsid w:val="007F694E"/>
    <w:rsid w:val="007F6F34"/>
    <w:rsid w:val="007F7BA7"/>
    <w:rsid w:val="00801CE2"/>
    <w:rsid w:val="00803275"/>
    <w:rsid w:val="0080390E"/>
    <w:rsid w:val="008061C6"/>
    <w:rsid w:val="008064A7"/>
    <w:rsid w:val="0080678E"/>
    <w:rsid w:val="008079E9"/>
    <w:rsid w:val="00807E29"/>
    <w:rsid w:val="008114D3"/>
    <w:rsid w:val="008129A7"/>
    <w:rsid w:val="00813278"/>
    <w:rsid w:val="0081397B"/>
    <w:rsid w:val="00813986"/>
    <w:rsid w:val="00813F3E"/>
    <w:rsid w:val="0081473C"/>
    <w:rsid w:val="00814FA0"/>
    <w:rsid w:val="0081609C"/>
    <w:rsid w:val="008171AC"/>
    <w:rsid w:val="00817D69"/>
    <w:rsid w:val="00820C3C"/>
    <w:rsid w:val="00820CD9"/>
    <w:rsid w:val="00821B83"/>
    <w:rsid w:val="00821D76"/>
    <w:rsid w:val="00825091"/>
    <w:rsid w:val="0082544E"/>
    <w:rsid w:val="00826254"/>
    <w:rsid w:val="008266FB"/>
    <w:rsid w:val="00826E03"/>
    <w:rsid w:val="008271E2"/>
    <w:rsid w:val="00827C16"/>
    <w:rsid w:val="00831A50"/>
    <w:rsid w:val="0083303A"/>
    <w:rsid w:val="0083320B"/>
    <w:rsid w:val="008332ED"/>
    <w:rsid w:val="00833867"/>
    <w:rsid w:val="00834AF0"/>
    <w:rsid w:val="008357E3"/>
    <w:rsid w:val="00836628"/>
    <w:rsid w:val="0083733E"/>
    <w:rsid w:val="00837485"/>
    <w:rsid w:val="008378DF"/>
    <w:rsid w:val="0084181E"/>
    <w:rsid w:val="00842427"/>
    <w:rsid w:val="008435C8"/>
    <w:rsid w:val="00843CDF"/>
    <w:rsid w:val="00844C8C"/>
    <w:rsid w:val="00844F32"/>
    <w:rsid w:val="00846AB1"/>
    <w:rsid w:val="008470E3"/>
    <w:rsid w:val="0085033E"/>
    <w:rsid w:val="00850976"/>
    <w:rsid w:val="008516D0"/>
    <w:rsid w:val="0085201F"/>
    <w:rsid w:val="008537EE"/>
    <w:rsid w:val="00853C14"/>
    <w:rsid w:val="008544EC"/>
    <w:rsid w:val="00854814"/>
    <w:rsid w:val="008559CE"/>
    <w:rsid w:val="00856B17"/>
    <w:rsid w:val="00857170"/>
    <w:rsid w:val="0086183E"/>
    <w:rsid w:val="00861923"/>
    <w:rsid w:val="00864834"/>
    <w:rsid w:val="00865666"/>
    <w:rsid w:val="008706C3"/>
    <w:rsid w:val="008717D0"/>
    <w:rsid w:val="00871BCE"/>
    <w:rsid w:val="00871D45"/>
    <w:rsid w:val="00874022"/>
    <w:rsid w:val="00874CC9"/>
    <w:rsid w:val="00874D1F"/>
    <w:rsid w:val="008770E6"/>
    <w:rsid w:val="00877B26"/>
    <w:rsid w:val="00880478"/>
    <w:rsid w:val="00881ACD"/>
    <w:rsid w:val="0088242C"/>
    <w:rsid w:val="00882858"/>
    <w:rsid w:val="00882CD7"/>
    <w:rsid w:val="00883AD5"/>
    <w:rsid w:val="00884513"/>
    <w:rsid w:val="0088545D"/>
    <w:rsid w:val="008860A1"/>
    <w:rsid w:val="008863FD"/>
    <w:rsid w:val="00886792"/>
    <w:rsid w:val="008902CF"/>
    <w:rsid w:val="00890F14"/>
    <w:rsid w:val="008920BC"/>
    <w:rsid w:val="00892AA3"/>
    <w:rsid w:val="00893024"/>
    <w:rsid w:val="0089329E"/>
    <w:rsid w:val="00893B13"/>
    <w:rsid w:val="00893EA6"/>
    <w:rsid w:val="008959A8"/>
    <w:rsid w:val="00895A23"/>
    <w:rsid w:val="008969DD"/>
    <w:rsid w:val="008975A5"/>
    <w:rsid w:val="008A1125"/>
    <w:rsid w:val="008A25F1"/>
    <w:rsid w:val="008A295D"/>
    <w:rsid w:val="008A2EB1"/>
    <w:rsid w:val="008A2F02"/>
    <w:rsid w:val="008A34B1"/>
    <w:rsid w:val="008A42DC"/>
    <w:rsid w:val="008A43F6"/>
    <w:rsid w:val="008A4402"/>
    <w:rsid w:val="008A7140"/>
    <w:rsid w:val="008B1408"/>
    <w:rsid w:val="008B2280"/>
    <w:rsid w:val="008B32E7"/>
    <w:rsid w:val="008B3C5E"/>
    <w:rsid w:val="008B4389"/>
    <w:rsid w:val="008B594F"/>
    <w:rsid w:val="008B5E81"/>
    <w:rsid w:val="008B64C6"/>
    <w:rsid w:val="008B6670"/>
    <w:rsid w:val="008B7243"/>
    <w:rsid w:val="008B7594"/>
    <w:rsid w:val="008C0A34"/>
    <w:rsid w:val="008C3FC6"/>
    <w:rsid w:val="008C5180"/>
    <w:rsid w:val="008C53B1"/>
    <w:rsid w:val="008C53CC"/>
    <w:rsid w:val="008C6EA6"/>
    <w:rsid w:val="008C7AE3"/>
    <w:rsid w:val="008D02C6"/>
    <w:rsid w:val="008D22D5"/>
    <w:rsid w:val="008D4D14"/>
    <w:rsid w:val="008D596E"/>
    <w:rsid w:val="008D652F"/>
    <w:rsid w:val="008E095A"/>
    <w:rsid w:val="008E11D4"/>
    <w:rsid w:val="008E217C"/>
    <w:rsid w:val="008E2EEB"/>
    <w:rsid w:val="008E4A18"/>
    <w:rsid w:val="008E4C08"/>
    <w:rsid w:val="008E4E46"/>
    <w:rsid w:val="008E4ECC"/>
    <w:rsid w:val="008E4EF7"/>
    <w:rsid w:val="008E59FA"/>
    <w:rsid w:val="008E5D3B"/>
    <w:rsid w:val="008E7867"/>
    <w:rsid w:val="008F0D5C"/>
    <w:rsid w:val="008F0F3F"/>
    <w:rsid w:val="008F1EA2"/>
    <w:rsid w:val="008F2035"/>
    <w:rsid w:val="008F3426"/>
    <w:rsid w:val="008F3BB8"/>
    <w:rsid w:val="008F465D"/>
    <w:rsid w:val="008F469F"/>
    <w:rsid w:val="008F4E26"/>
    <w:rsid w:val="008F5144"/>
    <w:rsid w:val="008F5AE8"/>
    <w:rsid w:val="00900B60"/>
    <w:rsid w:val="00901267"/>
    <w:rsid w:val="00901BFC"/>
    <w:rsid w:val="00901FBC"/>
    <w:rsid w:val="009028D2"/>
    <w:rsid w:val="009030BC"/>
    <w:rsid w:val="00903215"/>
    <w:rsid w:val="00903E62"/>
    <w:rsid w:val="00904C2A"/>
    <w:rsid w:val="00905080"/>
    <w:rsid w:val="00905445"/>
    <w:rsid w:val="00905455"/>
    <w:rsid w:val="009064C7"/>
    <w:rsid w:val="00906505"/>
    <w:rsid w:val="00906AC9"/>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20F3"/>
    <w:rsid w:val="00922E4E"/>
    <w:rsid w:val="009231C4"/>
    <w:rsid w:val="00923239"/>
    <w:rsid w:val="00923A69"/>
    <w:rsid w:val="00925DAB"/>
    <w:rsid w:val="00927FE9"/>
    <w:rsid w:val="00930193"/>
    <w:rsid w:val="00930DE6"/>
    <w:rsid w:val="00931A24"/>
    <w:rsid w:val="00932350"/>
    <w:rsid w:val="0093272A"/>
    <w:rsid w:val="00932B0E"/>
    <w:rsid w:val="00932F95"/>
    <w:rsid w:val="0093344C"/>
    <w:rsid w:val="00933838"/>
    <w:rsid w:val="00934E5A"/>
    <w:rsid w:val="009372A2"/>
    <w:rsid w:val="0093779F"/>
    <w:rsid w:val="00940D20"/>
    <w:rsid w:val="00941920"/>
    <w:rsid w:val="00942DA2"/>
    <w:rsid w:val="00944153"/>
    <w:rsid w:val="00944B6B"/>
    <w:rsid w:val="00946658"/>
    <w:rsid w:val="00946A63"/>
    <w:rsid w:val="009471A5"/>
    <w:rsid w:val="00950560"/>
    <w:rsid w:val="00950EA0"/>
    <w:rsid w:val="00950FAD"/>
    <w:rsid w:val="00951833"/>
    <w:rsid w:val="009518A4"/>
    <w:rsid w:val="009518C3"/>
    <w:rsid w:val="00952908"/>
    <w:rsid w:val="009545E1"/>
    <w:rsid w:val="0095467D"/>
    <w:rsid w:val="00954EE0"/>
    <w:rsid w:val="00955BF0"/>
    <w:rsid w:val="0095610A"/>
    <w:rsid w:val="009566FC"/>
    <w:rsid w:val="00956BAF"/>
    <w:rsid w:val="009575B9"/>
    <w:rsid w:val="00961A92"/>
    <w:rsid w:val="00961CF5"/>
    <w:rsid w:val="00961E6D"/>
    <w:rsid w:val="009626C7"/>
    <w:rsid w:val="009631EB"/>
    <w:rsid w:val="00963451"/>
    <w:rsid w:val="00963498"/>
    <w:rsid w:val="00964224"/>
    <w:rsid w:val="0096472F"/>
    <w:rsid w:val="00964C68"/>
    <w:rsid w:val="00965C05"/>
    <w:rsid w:val="0096625C"/>
    <w:rsid w:val="00966D5D"/>
    <w:rsid w:val="009671B0"/>
    <w:rsid w:val="00967BA0"/>
    <w:rsid w:val="00967D4C"/>
    <w:rsid w:val="00972AC4"/>
    <w:rsid w:val="00974472"/>
    <w:rsid w:val="00975371"/>
    <w:rsid w:val="00975D04"/>
    <w:rsid w:val="0097745D"/>
    <w:rsid w:val="00977820"/>
    <w:rsid w:val="00977F7A"/>
    <w:rsid w:val="00980424"/>
    <w:rsid w:val="0098182D"/>
    <w:rsid w:val="00981F36"/>
    <w:rsid w:val="00982078"/>
    <w:rsid w:val="00982695"/>
    <w:rsid w:val="00983FFD"/>
    <w:rsid w:val="009858D4"/>
    <w:rsid w:val="00986347"/>
    <w:rsid w:val="009864D7"/>
    <w:rsid w:val="00987AB4"/>
    <w:rsid w:val="00987ED7"/>
    <w:rsid w:val="0099039B"/>
    <w:rsid w:val="0099083F"/>
    <w:rsid w:val="009919CA"/>
    <w:rsid w:val="00992D05"/>
    <w:rsid w:val="009931A1"/>
    <w:rsid w:val="009931B8"/>
    <w:rsid w:val="00994008"/>
    <w:rsid w:val="00995DDD"/>
    <w:rsid w:val="009A054A"/>
    <w:rsid w:val="009A075A"/>
    <w:rsid w:val="009A0D44"/>
    <w:rsid w:val="009A1A05"/>
    <w:rsid w:val="009A1A23"/>
    <w:rsid w:val="009A1FD5"/>
    <w:rsid w:val="009A200E"/>
    <w:rsid w:val="009A26C7"/>
    <w:rsid w:val="009A314A"/>
    <w:rsid w:val="009A3E6D"/>
    <w:rsid w:val="009A3EA6"/>
    <w:rsid w:val="009A4C3B"/>
    <w:rsid w:val="009A5425"/>
    <w:rsid w:val="009A6630"/>
    <w:rsid w:val="009B058E"/>
    <w:rsid w:val="009B1DA0"/>
    <w:rsid w:val="009B2F7D"/>
    <w:rsid w:val="009B3477"/>
    <w:rsid w:val="009B3D5F"/>
    <w:rsid w:val="009B49A3"/>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C64AD"/>
    <w:rsid w:val="009D13AE"/>
    <w:rsid w:val="009D18BF"/>
    <w:rsid w:val="009D224E"/>
    <w:rsid w:val="009D27DE"/>
    <w:rsid w:val="009D347F"/>
    <w:rsid w:val="009D5028"/>
    <w:rsid w:val="009D516A"/>
    <w:rsid w:val="009D6C84"/>
    <w:rsid w:val="009D70DE"/>
    <w:rsid w:val="009D716F"/>
    <w:rsid w:val="009D762B"/>
    <w:rsid w:val="009E0350"/>
    <w:rsid w:val="009E133D"/>
    <w:rsid w:val="009E151A"/>
    <w:rsid w:val="009E1F77"/>
    <w:rsid w:val="009E2E1F"/>
    <w:rsid w:val="009E2EF4"/>
    <w:rsid w:val="009E2F1C"/>
    <w:rsid w:val="009E318F"/>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72DB"/>
    <w:rsid w:val="009F7D83"/>
    <w:rsid w:val="00A00BBB"/>
    <w:rsid w:val="00A00E67"/>
    <w:rsid w:val="00A0113E"/>
    <w:rsid w:val="00A01B87"/>
    <w:rsid w:val="00A01DF3"/>
    <w:rsid w:val="00A01EBB"/>
    <w:rsid w:val="00A02474"/>
    <w:rsid w:val="00A02C50"/>
    <w:rsid w:val="00A02FB5"/>
    <w:rsid w:val="00A03385"/>
    <w:rsid w:val="00A03BA0"/>
    <w:rsid w:val="00A055C3"/>
    <w:rsid w:val="00A070C4"/>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26A2"/>
    <w:rsid w:val="00A2324D"/>
    <w:rsid w:val="00A23EC4"/>
    <w:rsid w:val="00A241BA"/>
    <w:rsid w:val="00A2501C"/>
    <w:rsid w:val="00A25324"/>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43575"/>
    <w:rsid w:val="00A5070D"/>
    <w:rsid w:val="00A50B01"/>
    <w:rsid w:val="00A51793"/>
    <w:rsid w:val="00A51ADE"/>
    <w:rsid w:val="00A51E74"/>
    <w:rsid w:val="00A52624"/>
    <w:rsid w:val="00A52A75"/>
    <w:rsid w:val="00A53457"/>
    <w:rsid w:val="00A5345B"/>
    <w:rsid w:val="00A53FC0"/>
    <w:rsid w:val="00A547B1"/>
    <w:rsid w:val="00A557EE"/>
    <w:rsid w:val="00A60787"/>
    <w:rsid w:val="00A60AB9"/>
    <w:rsid w:val="00A6165E"/>
    <w:rsid w:val="00A61DAE"/>
    <w:rsid w:val="00A635B6"/>
    <w:rsid w:val="00A63BF7"/>
    <w:rsid w:val="00A64492"/>
    <w:rsid w:val="00A656A1"/>
    <w:rsid w:val="00A667D2"/>
    <w:rsid w:val="00A66A05"/>
    <w:rsid w:val="00A675B7"/>
    <w:rsid w:val="00A7001F"/>
    <w:rsid w:val="00A7079C"/>
    <w:rsid w:val="00A70C3F"/>
    <w:rsid w:val="00A712AB"/>
    <w:rsid w:val="00A72BC6"/>
    <w:rsid w:val="00A7377E"/>
    <w:rsid w:val="00A7405E"/>
    <w:rsid w:val="00A74C42"/>
    <w:rsid w:val="00A76336"/>
    <w:rsid w:val="00A76551"/>
    <w:rsid w:val="00A76F61"/>
    <w:rsid w:val="00A77C30"/>
    <w:rsid w:val="00A81060"/>
    <w:rsid w:val="00A81214"/>
    <w:rsid w:val="00A8424F"/>
    <w:rsid w:val="00A84439"/>
    <w:rsid w:val="00A870ED"/>
    <w:rsid w:val="00A873F7"/>
    <w:rsid w:val="00A87BA8"/>
    <w:rsid w:val="00A9003C"/>
    <w:rsid w:val="00A904FA"/>
    <w:rsid w:val="00A9059D"/>
    <w:rsid w:val="00A90C12"/>
    <w:rsid w:val="00A91886"/>
    <w:rsid w:val="00A93F01"/>
    <w:rsid w:val="00A96032"/>
    <w:rsid w:val="00A9726B"/>
    <w:rsid w:val="00A9768C"/>
    <w:rsid w:val="00AA037F"/>
    <w:rsid w:val="00AA0C59"/>
    <w:rsid w:val="00AA1B4D"/>
    <w:rsid w:val="00AA1F8B"/>
    <w:rsid w:val="00AA38B8"/>
    <w:rsid w:val="00AA3F4B"/>
    <w:rsid w:val="00AA4455"/>
    <w:rsid w:val="00AA6179"/>
    <w:rsid w:val="00AA6353"/>
    <w:rsid w:val="00AB1BEF"/>
    <w:rsid w:val="00AB1C19"/>
    <w:rsid w:val="00AB32F5"/>
    <w:rsid w:val="00AB3724"/>
    <w:rsid w:val="00AB3ECB"/>
    <w:rsid w:val="00AB4093"/>
    <w:rsid w:val="00AB40B4"/>
    <w:rsid w:val="00AB4D2D"/>
    <w:rsid w:val="00AB7855"/>
    <w:rsid w:val="00AC02C9"/>
    <w:rsid w:val="00AC076E"/>
    <w:rsid w:val="00AC180E"/>
    <w:rsid w:val="00AC1A34"/>
    <w:rsid w:val="00AC1D09"/>
    <w:rsid w:val="00AC36D3"/>
    <w:rsid w:val="00AC4892"/>
    <w:rsid w:val="00AC4BD1"/>
    <w:rsid w:val="00AC557C"/>
    <w:rsid w:val="00AC6694"/>
    <w:rsid w:val="00AC68F1"/>
    <w:rsid w:val="00AC73CA"/>
    <w:rsid w:val="00AC765A"/>
    <w:rsid w:val="00AC7F5E"/>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BD2"/>
    <w:rsid w:val="00AF196C"/>
    <w:rsid w:val="00AF1CD7"/>
    <w:rsid w:val="00AF2497"/>
    <w:rsid w:val="00AF2778"/>
    <w:rsid w:val="00AF28DA"/>
    <w:rsid w:val="00AF402E"/>
    <w:rsid w:val="00AF4638"/>
    <w:rsid w:val="00AF4D1D"/>
    <w:rsid w:val="00AF5F9D"/>
    <w:rsid w:val="00AF64AC"/>
    <w:rsid w:val="00AF714F"/>
    <w:rsid w:val="00AF7BFB"/>
    <w:rsid w:val="00B01273"/>
    <w:rsid w:val="00B016E9"/>
    <w:rsid w:val="00B01995"/>
    <w:rsid w:val="00B01A15"/>
    <w:rsid w:val="00B02059"/>
    <w:rsid w:val="00B0309E"/>
    <w:rsid w:val="00B031C6"/>
    <w:rsid w:val="00B03AA8"/>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1E3"/>
    <w:rsid w:val="00B21363"/>
    <w:rsid w:val="00B221DE"/>
    <w:rsid w:val="00B23145"/>
    <w:rsid w:val="00B23A90"/>
    <w:rsid w:val="00B23F3D"/>
    <w:rsid w:val="00B24A51"/>
    <w:rsid w:val="00B25A19"/>
    <w:rsid w:val="00B25D8A"/>
    <w:rsid w:val="00B25DA2"/>
    <w:rsid w:val="00B26374"/>
    <w:rsid w:val="00B266F9"/>
    <w:rsid w:val="00B26988"/>
    <w:rsid w:val="00B27825"/>
    <w:rsid w:val="00B31A7C"/>
    <w:rsid w:val="00B329F1"/>
    <w:rsid w:val="00B33F67"/>
    <w:rsid w:val="00B34B11"/>
    <w:rsid w:val="00B3507E"/>
    <w:rsid w:val="00B36707"/>
    <w:rsid w:val="00B36D12"/>
    <w:rsid w:val="00B37215"/>
    <w:rsid w:val="00B374CD"/>
    <w:rsid w:val="00B37D39"/>
    <w:rsid w:val="00B37FA6"/>
    <w:rsid w:val="00B40B5B"/>
    <w:rsid w:val="00B42DDF"/>
    <w:rsid w:val="00B438C0"/>
    <w:rsid w:val="00B43ADB"/>
    <w:rsid w:val="00B4506A"/>
    <w:rsid w:val="00B450A3"/>
    <w:rsid w:val="00B46729"/>
    <w:rsid w:val="00B46AA0"/>
    <w:rsid w:val="00B46B98"/>
    <w:rsid w:val="00B46BAB"/>
    <w:rsid w:val="00B47951"/>
    <w:rsid w:val="00B47F5B"/>
    <w:rsid w:val="00B5188E"/>
    <w:rsid w:val="00B51E88"/>
    <w:rsid w:val="00B5391A"/>
    <w:rsid w:val="00B53E27"/>
    <w:rsid w:val="00B54C15"/>
    <w:rsid w:val="00B55126"/>
    <w:rsid w:val="00B551CF"/>
    <w:rsid w:val="00B55247"/>
    <w:rsid w:val="00B55412"/>
    <w:rsid w:val="00B55FE4"/>
    <w:rsid w:val="00B56303"/>
    <w:rsid w:val="00B56485"/>
    <w:rsid w:val="00B56724"/>
    <w:rsid w:val="00B56D16"/>
    <w:rsid w:val="00B57171"/>
    <w:rsid w:val="00B571B0"/>
    <w:rsid w:val="00B57A77"/>
    <w:rsid w:val="00B62C46"/>
    <w:rsid w:val="00B62F98"/>
    <w:rsid w:val="00B6377E"/>
    <w:rsid w:val="00B659E3"/>
    <w:rsid w:val="00B67DF3"/>
    <w:rsid w:val="00B67F4C"/>
    <w:rsid w:val="00B71057"/>
    <w:rsid w:val="00B716E0"/>
    <w:rsid w:val="00B721F6"/>
    <w:rsid w:val="00B72311"/>
    <w:rsid w:val="00B723DF"/>
    <w:rsid w:val="00B72B8F"/>
    <w:rsid w:val="00B734E3"/>
    <w:rsid w:val="00B73D7D"/>
    <w:rsid w:val="00B74159"/>
    <w:rsid w:val="00B748BA"/>
    <w:rsid w:val="00B75BF1"/>
    <w:rsid w:val="00B77C78"/>
    <w:rsid w:val="00B803FA"/>
    <w:rsid w:val="00B8127C"/>
    <w:rsid w:val="00B81DE0"/>
    <w:rsid w:val="00B81FC6"/>
    <w:rsid w:val="00B83AC3"/>
    <w:rsid w:val="00B83E44"/>
    <w:rsid w:val="00B83F63"/>
    <w:rsid w:val="00B845B9"/>
    <w:rsid w:val="00B85B7B"/>
    <w:rsid w:val="00B878D1"/>
    <w:rsid w:val="00B90F18"/>
    <w:rsid w:val="00B91031"/>
    <w:rsid w:val="00B92132"/>
    <w:rsid w:val="00B93081"/>
    <w:rsid w:val="00B93CA1"/>
    <w:rsid w:val="00B93DC3"/>
    <w:rsid w:val="00B94A6D"/>
    <w:rsid w:val="00B960A9"/>
    <w:rsid w:val="00B96863"/>
    <w:rsid w:val="00B96DCC"/>
    <w:rsid w:val="00B97956"/>
    <w:rsid w:val="00BA0FEA"/>
    <w:rsid w:val="00BA2D3F"/>
    <w:rsid w:val="00BA40B4"/>
    <w:rsid w:val="00BA4634"/>
    <w:rsid w:val="00BA4AE8"/>
    <w:rsid w:val="00BA5EC5"/>
    <w:rsid w:val="00BB07CF"/>
    <w:rsid w:val="00BB25CB"/>
    <w:rsid w:val="00BB27D4"/>
    <w:rsid w:val="00BB2F84"/>
    <w:rsid w:val="00BB32B7"/>
    <w:rsid w:val="00BB3308"/>
    <w:rsid w:val="00BB3960"/>
    <w:rsid w:val="00BB4F84"/>
    <w:rsid w:val="00BB5018"/>
    <w:rsid w:val="00BB52A8"/>
    <w:rsid w:val="00BB654C"/>
    <w:rsid w:val="00BB675F"/>
    <w:rsid w:val="00BC0AB4"/>
    <w:rsid w:val="00BC0D89"/>
    <w:rsid w:val="00BC19A7"/>
    <w:rsid w:val="00BC1D19"/>
    <w:rsid w:val="00BC2363"/>
    <w:rsid w:val="00BC24B5"/>
    <w:rsid w:val="00BC2931"/>
    <w:rsid w:val="00BC4620"/>
    <w:rsid w:val="00BC5635"/>
    <w:rsid w:val="00BC5760"/>
    <w:rsid w:val="00BC5AB4"/>
    <w:rsid w:val="00BC5ECB"/>
    <w:rsid w:val="00BC6069"/>
    <w:rsid w:val="00BC62D6"/>
    <w:rsid w:val="00BC64EF"/>
    <w:rsid w:val="00BC6D3A"/>
    <w:rsid w:val="00BC77B2"/>
    <w:rsid w:val="00BC77F8"/>
    <w:rsid w:val="00BD03FE"/>
    <w:rsid w:val="00BD041F"/>
    <w:rsid w:val="00BD0729"/>
    <w:rsid w:val="00BD29DF"/>
    <w:rsid w:val="00BD44A3"/>
    <w:rsid w:val="00BD63FF"/>
    <w:rsid w:val="00BD6444"/>
    <w:rsid w:val="00BD6B1C"/>
    <w:rsid w:val="00BD6D5C"/>
    <w:rsid w:val="00BD6FD4"/>
    <w:rsid w:val="00BD73D2"/>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3922"/>
    <w:rsid w:val="00BF3D90"/>
    <w:rsid w:val="00BF5414"/>
    <w:rsid w:val="00BF6103"/>
    <w:rsid w:val="00BF7C48"/>
    <w:rsid w:val="00C00B81"/>
    <w:rsid w:val="00C015E9"/>
    <w:rsid w:val="00C01C2F"/>
    <w:rsid w:val="00C023D5"/>
    <w:rsid w:val="00C03D7D"/>
    <w:rsid w:val="00C04C5D"/>
    <w:rsid w:val="00C05300"/>
    <w:rsid w:val="00C0719D"/>
    <w:rsid w:val="00C10CBF"/>
    <w:rsid w:val="00C11E26"/>
    <w:rsid w:val="00C12159"/>
    <w:rsid w:val="00C129A9"/>
    <w:rsid w:val="00C12DDA"/>
    <w:rsid w:val="00C130D3"/>
    <w:rsid w:val="00C139C8"/>
    <w:rsid w:val="00C15013"/>
    <w:rsid w:val="00C15711"/>
    <w:rsid w:val="00C158B8"/>
    <w:rsid w:val="00C1721F"/>
    <w:rsid w:val="00C175D5"/>
    <w:rsid w:val="00C20D63"/>
    <w:rsid w:val="00C20FE2"/>
    <w:rsid w:val="00C22177"/>
    <w:rsid w:val="00C2289C"/>
    <w:rsid w:val="00C23388"/>
    <w:rsid w:val="00C233E9"/>
    <w:rsid w:val="00C23A4C"/>
    <w:rsid w:val="00C2413B"/>
    <w:rsid w:val="00C25A22"/>
    <w:rsid w:val="00C2605B"/>
    <w:rsid w:val="00C27DEA"/>
    <w:rsid w:val="00C30C6C"/>
    <w:rsid w:val="00C3134E"/>
    <w:rsid w:val="00C3180F"/>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5258"/>
    <w:rsid w:val="00C45766"/>
    <w:rsid w:val="00C471B9"/>
    <w:rsid w:val="00C4725D"/>
    <w:rsid w:val="00C507DB"/>
    <w:rsid w:val="00C50B10"/>
    <w:rsid w:val="00C51E99"/>
    <w:rsid w:val="00C5304B"/>
    <w:rsid w:val="00C53ADA"/>
    <w:rsid w:val="00C540A4"/>
    <w:rsid w:val="00C54506"/>
    <w:rsid w:val="00C547B8"/>
    <w:rsid w:val="00C54D8A"/>
    <w:rsid w:val="00C54F8B"/>
    <w:rsid w:val="00C564C8"/>
    <w:rsid w:val="00C56B96"/>
    <w:rsid w:val="00C56C9F"/>
    <w:rsid w:val="00C602FC"/>
    <w:rsid w:val="00C604E4"/>
    <w:rsid w:val="00C613BA"/>
    <w:rsid w:val="00C61E41"/>
    <w:rsid w:val="00C62B00"/>
    <w:rsid w:val="00C640CF"/>
    <w:rsid w:val="00C645BC"/>
    <w:rsid w:val="00C64ECD"/>
    <w:rsid w:val="00C64F64"/>
    <w:rsid w:val="00C651A0"/>
    <w:rsid w:val="00C65C68"/>
    <w:rsid w:val="00C660E8"/>
    <w:rsid w:val="00C67A6A"/>
    <w:rsid w:val="00C70AD4"/>
    <w:rsid w:val="00C70F96"/>
    <w:rsid w:val="00C714D3"/>
    <w:rsid w:val="00C72C6E"/>
    <w:rsid w:val="00C73671"/>
    <w:rsid w:val="00C74300"/>
    <w:rsid w:val="00C743D9"/>
    <w:rsid w:val="00C74CAD"/>
    <w:rsid w:val="00C7639C"/>
    <w:rsid w:val="00C7750C"/>
    <w:rsid w:val="00C800BB"/>
    <w:rsid w:val="00C83099"/>
    <w:rsid w:val="00C8472D"/>
    <w:rsid w:val="00C85C6F"/>
    <w:rsid w:val="00C86322"/>
    <w:rsid w:val="00C86377"/>
    <w:rsid w:val="00C86F40"/>
    <w:rsid w:val="00C87187"/>
    <w:rsid w:val="00C871AA"/>
    <w:rsid w:val="00C87D7F"/>
    <w:rsid w:val="00C90891"/>
    <w:rsid w:val="00C92568"/>
    <w:rsid w:val="00C9408D"/>
    <w:rsid w:val="00C95FF7"/>
    <w:rsid w:val="00C975AF"/>
    <w:rsid w:val="00C97E0E"/>
    <w:rsid w:val="00CA02B8"/>
    <w:rsid w:val="00CA1A07"/>
    <w:rsid w:val="00CA1F02"/>
    <w:rsid w:val="00CA209B"/>
    <w:rsid w:val="00CA3B08"/>
    <w:rsid w:val="00CA4326"/>
    <w:rsid w:val="00CA4C11"/>
    <w:rsid w:val="00CA5045"/>
    <w:rsid w:val="00CA5AEE"/>
    <w:rsid w:val="00CA681B"/>
    <w:rsid w:val="00CA710C"/>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4C41"/>
    <w:rsid w:val="00CC4C70"/>
    <w:rsid w:val="00CC4C91"/>
    <w:rsid w:val="00CC51E9"/>
    <w:rsid w:val="00CC5536"/>
    <w:rsid w:val="00CC5B04"/>
    <w:rsid w:val="00CC6AAF"/>
    <w:rsid w:val="00CC6FDD"/>
    <w:rsid w:val="00CD05F0"/>
    <w:rsid w:val="00CD067F"/>
    <w:rsid w:val="00CD09E0"/>
    <w:rsid w:val="00CD0D6B"/>
    <w:rsid w:val="00CD3108"/>
    <w:rsid w:val="00CD3448"/>
    <w:rsid w:val="00CD3A21"/>
    <w:rsid w:val="00CD3C4E"/>
    <w:rsid w:val="00CD4BA8"/>
    <w:rsid w:val="00CD5765"/>
    <w:rsid w:val="00CD5B75"/>
    <w:rsid w:val="00CD767E"/>
    <w:rsid w:val="00CD78C0"/>
    <w:rsid w:val="00CE087A"/>
    <w:rsid w:val="00CE08E4"/>
    <w:rsid w:val="00CE1239"/>
    <w:rsid w:val="00CE13F5"/>
    <w:rsid w:val="00CE141F"/>
    <w:rsid w:val="00CE1884"/>
    <w:rsid w:val="00CE21C1"/>
    <w:rsid w:val="00CE25BF"/>
    <w:rsid w:val="00CE29FB"/>
    <w:rsid w:val="00CE4E07"/>
    <w:rsid w:val="00CE59C6"/>
    <w:rsid w:val="00CE6551"/>
    <w:rsid w:val="00CE6D3A"/>
    <w:rsid w:val="00CF0CD3"/>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18E3"/>
    <w:rsid w:val="00D02173"/>
    <w:rsid w:val="00D02659"/>
    <w:rsid w:val="00D026F3"/>
    <w:rsid w:val="00D029D8"/>
    <w:rsid w:val="00D02AF0"/>
    <w:rsid w:val="00D03F34"/>
    <w:rsid w:val="00D04301"/>
    <w:rsid w:val="00D043C4"/>
    <w:rsid w:val="00D0550D"/>
    <w:rsid w:val="00D0747A"/>
    <w:rsid w:val="00D11A5F"/>
    <w:rsid w:val="00D1280E"/>
    <w:rsid w:val="00D128D0"/>
    <w:rsid w:val="00D12B72"/>
    <w:rsid w:val="00D136F8"/>
    <w:rsid w:val="00D143EA"/>
    <w:rsid w:val="00D14B8F"/>
    <w:rsid w:val="00D155F4"/>
    <w:rsid w:val="00D165A5"/>
    <w:rsid w:val="00D167C0"/>
    <w:rsid w:val="00D17917"/>
    <w:rsid w:val="00D17F2E"/>
    <w:rsid w:val="00D203E5"/>
    <w:rsid w:val="00D20D8C"/>
    <w:rsid w:val="00D21205"/>
    <w:rsid w:val="00D22BD7"/>
    <w:rsid w:val="00D240A5"/>
    <w:rsid w:val="00D24ABE"/>
    <w:rsid w:val="00D24B9E"/>
    <w:rsid w:val="00D25A35"/>
    <w:rsid w:val="00D265AF"/>
    <w:rsid w:val="00D26B32"/>
    <w:rsid w:val="00D27862"/>
    <w:rsid w:val="00D30FF0"/>
    <w:rsid w:val="00D3119D"/>
    <w:rsid w:val="00D3137C"/>
    <w:rsid w:val="00D32B7E"/>
    <w:rsid w:val="00D33374"/>
    <w:rsid w:val="00D334DF"/>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525F"/>
    <w:rsid w:val="00D45D66"/>
    <w:rsid w:val="00D46E7E"/>
    <w:rsid w:val="00D51094"/>
    <w:rsid w:val="00D51DD4"/>
    <w:rsid w:val="00D528F5"/>
    <w:rsid w:val="00D5311C"/>
    <w:rsid w:val="00D53FD4"/>
    <w:rsid w:val="00D54B2D"/>
    <w:rsid w:val="00D54FC6"/>
    <w:rsid w:val="00D564B7"/>
    <w:rsid w:val="00D56E56"/>
    <w:rsid w:val="00D56FF6"/>
    <w:rsid w:val="00D57F6B"/>
    <w:rsid w:val="00D60701"/>
    <w:rsid w:val="00D60CA2"/>
    <w:rsid w:val="00D6122F"/>
    <w:rsid w:val="00D613EA"/>
    <w:rsid w:val="00D640DC"/>
    <w:rsid w:val="00D6451E"/>
    <w:rsid w:val="00D64D6C"/>
    <w:rsid w:val="00D663EA"/>
    <w:rsid w:val="00D66C51"/>
    <w:rsid w:val="00D66E87"/>
    <w:rsid w:val="00D675D7"/>
    <w:rsid w:val="00D67BCC"/>
    <w:rsid w:val="00D71D2F"/>
    <w:rsid w:val="00D72F59"/>
    <w:rsid w:val="00D73AF5"/>
    <w:rsid w:val="00D741AC"/>
    <w:rsid w:val="00D7434D"/>
    <w:rsid w:val="00D744C8"/>
    <w:rsid w:val="00D74896"/>
    <w:rsid w:val="00D76198"/>
    <w:rsid w:val="00D81C90"/>
    <w:rsid w:val="00D81CCA"/>
    <w:rsid w:val="00D81FEF"/>
    <w:rsid w:val="00D837A1"/>
    <w:rsid w:val="00D84CC1"/>
    <w:rsid w:val="00D85044"/>
    <w:rsid w:val="00D8551A"/>
    <w:rsid w:val="00D85541"/>
    <w:rsid w:val="00D85EFD"/>
    <w:rsid w:val="00D86479"/>
    <w:rsid w:val="00D867A8"/>
    <w:rsid w:val="00D87226"/>
    <w:rsid w:val="00D9085E"/>
    <w:rsid w:val="00D9086A"/>
    <w:rsid w:val="00D908AC"/>
    <w:rsid w:val="00D90DAA"/>
    <w:rsid w:val="00D9126A"/>
    <w:rsid w:val="00D91854"/>
    <w:rsid w:val="00D921D9"/>
    <w:rsid w:val="00D9237C"/>
    <w:rsid w:val="00D93DD8"/>
    <w:rsid w:val="00D945DC"/>
    <w:rsid w:val="00D95891"/>
    <w:rsid w:val="00D95EF4"/>
    <w:rsid w:val="00D96D31"/>
    <w:rsid w:val="00DA1950"/>
    <w:rsid w:val="00DA2A2E"/>
    <w:rsid w:val="00DA2AB8"/>
    <w:rsid w:val="00DA31CA"/>
    <w:rsid w:val="00DA43E5"/>
    <w:rsid w:val="00DA4A44"/>
    <w:rsid w:val="00DA5C28"/>
    <w:rsid w:val="00DA5DB5"/>
    <w:rsid w:val="00DA603F"/>
    <w:rsid w:val="00DA70D6"/>
    <w:rsid w:val="00DB05A9"/>
    <w:rsid w:val="00DB0604"/>
    <w:rsid w:val="00DB0A25"/>
    <w:rsid w:val="00DB0E68"/>
    <w:rsid w:val="00DB2C45"/>
    <w:rsid w:val="00DB3810"/>
    <w:rsid w:val="00DB3FC4"/>
    <w:rsid w:val="00DB434C"/>
    <w:rsid w:val="00DB53F8"/>
    <w:rsid w:val="00DB62ED"/>
    <w:rsid w:val="00DB73E1"/>
    <w:rsid w:val="00DB7501"/>
    <w:rsid w:val="00DB75B7"/>
    <w:rsid w:val="00DC171C"/>
    <w:rsid w:val="00DC2B93"/>
    <w:rsid w:val="00DC4AD9"/>
    <w:rsid w:val="00DC4D2A"/>
    <w:rsid w:val="00DC54E0"/>
    <w:rsid w:val="00DC57E1"/>
    <w:rsid w:val="00DC5890"/>
    <w:rsid w:val="00DC718B"/>
    <w:rsid w:val="00DC7860"/>
    <w:rsid w:val="00DC7F7C"/>
    <w:rsid w:val="00DD0024"/>
    <w:rsid w:val="00DD08E6"/>
    <w:rsid w:val="00DD19EE"/>
    <w:rsid w:val="00DD2CD2"/>
    <w:rsid w:val="00DD5045"/>
    <w:rsid w:val="00DD50BB"/>
    <w:rsid w:val="00DD5D9B"/>
    <w:rsid w:val="00DD78D7"/>
    <w:rsid w:val="00DE038F"/>
    <w:rsid w:val="00DE14AC"/>
    <w:rsid w:val="00DE18FE"/>
    <w:rsid w:val="00DE1992"/>
    <w:rsid w:val="00DE1A80"/>
    <w:rsid w:val="00DE1CA1"/>
    <w:rsid w:val="00DE2E47"/>
    <w:rsid w:val="00DE312E"/>
    <w:rsid w:val="00DE35A9"/>
    <w:rsid w:val="00DE3F0F"/>
    <w:rsid w:val="00DE5224"/>
    <w:rsid w:val="00DE5447"/>
    <w:rsid w:val="00DE5D34"/>
    <w:rsid w:val="00DF084E"/>
    <w:rsid w:val="00DF1355"/>
    <w:rsid w:val="00DF1F09"/>
    <w:rsid w:val="00DF2B09"/>
    <w:rsid w:val="00DF35E0"/>
    <w:rsid w:val="00DF49B4"/>
    <w:rsid w:val="00DF51F3"/>
    <w:rsid w:val="00DF5DA0"/>
    <w:rsid w:val="00E0036E"/>
    <w:rsid w:val="00E003AA"/>
    <w:rsid w:val="00E00655"/>
    <w:rsid w:val="00E00A28"/>
    <w:rsid w:val="00E013B0"/>
    <w:rsid w:val="00E01BF9"/>
    <w:rsid w:val="00E03BB1"/>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D68"/>
    <w:rsid w:val="00E152FA"/>
    <w:rsid w:val="00E16279"/>
    <w:rsid w:val="00E170FA"/>
    <w:rsid w:val="00E2047B"/>
    <w:rsid w:val="00E204B7"/>
    <w:rsid w:val="00E208CE"/>
    <w:rsid w:val="00E20AB1"/>
    <w:rsid w:val="00E20C87"/>
    <w:rsid w:val="00E2168E"/>
    <w:rsid w:val="00E21D4E"/>
    <w:rsid w:val="00E22B9C"/>
    <w:rsid w:val="00E23C9B"/>
    <w:rsid w:val="00E26383"/>
    <w:rsid w:val="00E26C47"/>
    <w:rsid w:val="00E27146"/>
    <w:rsid w:val="00E2724D"/>
    <w:rsid w:val="00E2786A"/>
    <w:rsid w:val="00E312D1"/>
    <w:rsid w:val="00E316AE"/>
    <w:rsid w:val="00E319B4"/>
    <w:rsid w:val="00E32583"/>
    <w:rsid w:val="00E32D44"/>
    <w:rsid w:val="00E33372"/>
    <w:rsid w:val="00E33A58"/>
    <w:rsid w:val="00E353C3"/>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6172"/>
    <w:rsid w:val="00E4646A"/>
    <w:rsid w:val="00E46F12"/>
    <w:rsid w:val="00E478B7"/>
    <w:rsid w:val="00E50349"/>
    <w:rsid w:val="00E51011"/>
    <w:rsid w:val="00E51D45"/>
    <w:rsid w:val="00E52D85"/>
    <w:rsid w:val="00E54C24"/>
    <w:rsid w:val="00E55946"/>
    <w:rsid w:val="00E56159"/>
    <w:rsid w:val="00E5695E"/>
    <w:rsid w:val="00E5745B"/>
    <w:rsid w:val="00E602C8"/>
    <w:rsid w:val="00E605F3"/>
    <w:rsid w:val="00E614A2"/>
    <w:rsid w:val="00E6217C"/>
    <w:rsid w:val="00E626B4"/>
    <w:rsid w:val="00E62CA5"/>
    <w:rsid w:val="00E62FA9"/>
    <w:rsid w:val="00E634AD"/>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113B"/>
    <w:rsid w:val="00E81AB4"/>
    <w:rsid w:val="00E81BD0"/>
    <w:rsid w:val="00E8399B"/>
    <w:rsid w:val="00E83DD6"/>
    <w:rsid w:val="00E8406D"/>
    <w:rsid w:val="00E84BD6"/>
    <w:rsid w:val="00E85572"/>
    <w:rsid w:val="00E85C27"/>
    <w:rsid w:val="00E86346"/>
    <w:rsid w:val="00E86B6B"/>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435E"/>
    <w:rsid w:val="00EA4E12"/>
    <w:rsid w:val="00EA4EEC"/>
    <w:rsid w:val="00EA5BC3"/>
    <w:rsid w:val="00EA6847"/>
    <w:rsid w:val="00EA7DED"/>
    <w:rsid w:val="00EB07D8"/>
    <w:rsid w:val="00EB082C"/>
    <w:rsid w:val="00EB159B"/>
    <w:rsid w:val="00EB19CC"/>
    <w:rsid w:val="00EB1DA4"/>
    <w:rsid w:val="00EB2351"/>
    <w:rsid w:val="00EB2B8C"/>
    <w:rsid w:val="00EB3811"/>
    <w:rsid w:val="00EB3FD9"/>
    <w:rsid w:val="00EB4E61"/>
    <w:rsid w:val="00EB570A"/>
    <w:rsid w:val="00EB5CC5"/>
    <w:rsid w:val="00EB6B7C"/>
    <w:rsid w:val="00EB7574"/>
    <w:rsid w:val="00EB75D1"/>
    <w:rsid w:val="00EC1452"/>
    <w:rsid w:val="00EC1FB9"/>
    <w:rsid w:val="00EC2BA9"/>
    <w:rsid w:val="00EC3CA0"/>
    <w:rsid w:val="00EC4700"/>
    <w:rsid w:val="00EC479F"/>
    <w:rsid w:val="00EC67C9"/>
    <w:rsid w:val="00EC74D0"/>
    <w:rsid w:val="00EC7716"/>
    <w:rsid w:val="00ED078A"/>
    <w:rsid w:val="00ED1B79"/>
    <w:rsid w:val="00ED2B6D"/>
    <w:rsid w:val="00ED38AD"/>
    <w:rsid w:val="00ED4FEB"/>
    <w:rsid w:val="00ED5DA7"/>
    <w:rsid w:val="00ED7937"/>
    <w:rsid w:val="00EE0275"/>
    <w:rsid w:val="00EE1CC1"/>
    <w:rsid w:val="00EE2D68"/>
    <w:rsid w:val="00EE47AE"/>
    <w:rsid w:val="00EE4B1F"/>
    <w:rsid w:val="00EE4BB6"/>
    <w:rsid w:val="00EE6203"/>
    <w:rsid w:val="00EE65BF"/>
    <w:rsid w:val="00EE6A7B"/>
    <w:rsid w:val="00EE70A2"/>
    <w:rsid w:val="00EE70A4"/>
    <w:rsid w:val="00EF00B8"/>
    <w:rsid w:val="00EF02D3"/>
    <w:rsid w:val="00EF159C"/>
    <w:rsid w:val="00EF16ED"/>
    <w:rsid w:val="00EF1780"/>
    <w:rsid w:val="00EF52B1"/>
    <w:rsid w:val="00EF624B"/>
    <w:rsid w:val="00EF6494"/>
    <w:rsid w:val="00EF64D2"/>
    <w:rsid w:val="00EF708C"/>
    <w:rsid w:val="00EF7C7E"/>
    <w:rsid w:val="00EF7D96"/>
    <w:rsid w:val="00F000DC"/>
    <w:rsid w:val="00F00796"/>
    <w:rsid w:val="00F01315"/>
    <w:rsid w:val="00F01860"/>
    <w:rsid w:val="00F03523"/>
    <w:rsid w:val="00F03A41"/>
    <w:rsid w:val="00F04D58"/>
    <w:rsid w:val="00F061CE"/>
    <w:rsid w:val="00F063A7"/>
    <w:rsid w:val="00F0716A"/>
    <w:rsid w:val="00F07F79"/>
    <w:rsid w:val="00F1038F"/>
    <w:rsid w:val="00F10A63"/>
    <w:rsid w:val="00F10BDB"/>
    <w:rsid w:val="00F11979"/>
    <w:rsid w:val="00F13133"/>
    <w:rsid w:val="00F13498"/>
    <w:rsid w:val="00F134FE"/>
    <w:rsid w:val="00F13E32"/>
    <w:rsid w:val="00F1433E"/>
    <w:rsid w:val="00F14362"/>
    <w:rsid w:val="00F14780"/>
    <w:rsid w:val="00F14EBD"/>
    <w:rsid w:val="00F1693F"/>
    <w:rsid w:val="00F179CF"/>
    <w:rsid w:val="00F17BE1"/>
    <w:rsid w:val="00F17EE8"/>
    <w:rsid w:val="00F17F23"/>
    <w:rsid w:val="00F20C0E"/>
    <w:rsid w:val="00F216C0"/>
    <w:rsid w:val="00F22125"/>
    <w:rsid w:val="00F221AA"/>
    <w:rsid w:val="00F230BB"/>
    <w:rsid w:val="00F23367"/>
    <w:rsid w:val="00F23E7E"/>
    <w:rsid w:val="00F2411B"/>
    <w:rsid w:val="00F2732A"/>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32D7"/>
    <w:rsid w:val="00F533FE"/>
    <w:rsid w:val="00F53F09"/>
    <w:rsid w:val="00F54F24"/>
    <w:rsid w:val="00F56AD3"/>
    <w:rsid w:val="00F607CB"/>
    <w:rsid w:val="00F6175C"/>
    <w:rsid w:val="00F62F9C"/>
    <w:rsid w:val="00F646C8"/>
    <w:rsid w:val="00F646FF"/>
    <w:rsid w:val="00F64C26"/>
    <w:rsid w:val="00F665B5"/>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1D4E"/>
    <w:rsid w:val="00F81DC3"/>
    <w:rsid w:val="00F82B08"/>
    <w:rsid w:val="00F8523D"/>
    <w:rsid w:val="00F856CD"/>
    <w:rsid w:val="00F8723B"/>
    <w:rsid w:val="00F8742E"/>
    <w:rsid w:val="00F87D08"/>
    <w:rsid w:val="00F90990"/>
    <w:rsid w:val="00F92ABD"/>
    <w:rsid w:val="00F94CE7"/>
    <w:rsid w:val="00F94CF8"/>
    <w:rsid w:val="00F9573A"/>
    <w:rsid w:val="00F95FE5"/>
    <w:rsid w:val="00F965FF"/>
    <w:rsid w:val="00F96DE7"/>
    <w:rsid w:val="00F9702C"/>
    <w:rsid w:val="00F97CB8"/>
    <w:rsid w:val="00FA0A18"/>
    <w:rsid w:val="00FA0A37"/>
    <w:rsid w:val="00FA0F88"/>
    <w:rsid w:val="00FA1400"/>
    <w:rsid w:val="00FA2083"/>
    <w:rsid w:val="00FA27A0"/>
    <w:rsid w:val="00FA46E0"/>
    <w:rsid w:val="00FA4C94"/>
    <w:rsid w:val="00FB0A6D"/>
    <w:rsid w:val="00FB0BE6"/>
    <w:rsid w:val="00FB3EE5"/>
    <w:rsid w:val="00FB429C"/>
    <w:rsid w:val="00FB4926"/>
    <w:rsid w:val="00FB4947"/>
    <w:rsid w:val="00FB4A64"/>
    <w:rsid w:val="00FB6A10"/>
    <w:rsid w:val="00FC1544"/>
    <w:rsid w:val="00FC15FC"/>
    <w:rsid w:val="00FC1A04"/>
    <w:rsid w:val="00FC1D81"/>
    <w:rsid w:val="00FC4304"/>
    <w:rsid w:val="00FC5785"/>
    <w:rsid w:val="00FC5F52"/>
    <w:rsid w:val="00FC6090"/>
    <w:rsid w:val="00FC6A5F"/>
    <w:rsid w:val="00FC78F1"/>
    <w:rsid w:val="00FD2285"/>
    <w:rsid w:val="00FD2428"/>
    <w:rsid w:val="00FD24E4"/>
    <w:rsid w:val="00FD2CF0"/>
    <w:rsid w:val="00FD3320"/>
    <w:rsid w:val="00FD3F1B"/>
    <w:rsid w:val="00FD496A"/>
    <w:rsid w:val="00FD4C08"/>
    <w:rsid w:val="00FD4F42"/>
    <w:rsid w:val="00FD54A5"/>
    <w:rsid w:val="00FD621A"/>
    <w:rsid w:val="00FE075D"/>
    <w:rsid w:val="00FE0774"/>
    <w:rsid w:val="00FE14FE"/>
    <w:rsid w:val="00FE2976"/>
    <w:rsid w:val="00FE338B"/>
    <w:rsid w:val="00FE38E2"/>
    <w:rsid w:val="00FE3937"/>
    <w:rsid w:val="00FE5114"/>
    <w:rsid w:val="00FE52C8"/>
    <w:rsid w:val="00FE5B2A"/>
    <w:rsid w:val="00FF0B47"/>
    <w:rsid w:val="00FF194B"/>
    <w:rsid w:val="00FF1DA8"/>
    <w:rsid w:val="00FF2156"/>
    <w:rsid w:val="00FF2619"/>
    <w:rsid w:val="00FF2630"/>
    <w:rsid w:val="00FF35E5"/>
    <w:rsid w:val="00FF3699"/>
    <w:rsid w:val="00FF3AF5"/>
    <w:rsid w:val="00FF4A03"/>
    <w:rsid w:val="00FF4C51"/>
    <w:rsid w:val="00FF526E"/>
    <w:rsid w:val="00FF5F86"/>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5778E"/>
  <w15:docId w15:val="{6364B339-DBA9-40B6-AAAA-75963F71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BB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019&amp;dst=1035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6C96-848D-4588-969A-0CB423F2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0100</cp:lastModifiedBy>
  <cp:revision>35</cp:revision>
  <cp:lastPrinted>2023-09-25T10:43:00Z</cp:lastPrinted>
  <dcterms:created xsi:type="dcterms:W3CDTF">2024-05-31T09:40:00Z</dcterms:created>
  <dcterms:modified xsi:type="dcterms:W3CDTF">2024-06-24T09:11:00Z</dcterms:modified>
</cp:coreProperties>
</file>