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Утверждаю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Председатель Правления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Департамента энергетики и тарифов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Ивановской области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</w:rPr>
        <w:t>______________________Е.Н. Морева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5B384C" w:rsidRPr="009B4C3C" w:rsidRDefault="006E7BB8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9B4C3C">
        <w:rPr>
          <w:b/>
          <w:sz w:val="24"/>
          <w:szCs w:val="24"/>
          <w:u w:val="single"/>
        </w:rPr>
        <w:t>П</w:t>
      </w:r>
      <w:proofErr w:type="gramEnd"/>
      <w:r w:rsidRPr="009B4C3C">
        <w:rPr>
          <w:b/>
          <w:sz w:val="24"/>
          <w:szCs w:val="24"/>
          <w:u w:val="single"/>
        </w:rPr>
        <w:t xml:space="preserve"> Р О Т О К О Л  </w:t>
      </w:r>
      <w:r w:rsidR="005B384C" w:rsidRPr="009B4C3C">
        <w:rPr>
          <w:b/>
          <w:sz w:val="24"/>
          <w:szCs w:val="24"/>
          <w:u w:val="single"/>
        </w:rPr>
        <w:t xml:space="preserve">№ </w:t>
      </w:r>
      <w:r w:rsidR="00AB2502" w:rsidRPr="009B4C3C">
        <w:rPr>
          <w:b/>
          <w:sz w:val="24"/>
          <w:szCs w:val="24"/>
          <w:u w:val="single"/>
        </w:rPr>
        <w:t>4</w:t>
      </w:r>
      <w:r w:rsidR="00EC1C9B">
        <w:rPr>
          <w:b/>
          <w:sz w:val="24"/>
          <w:szCs w:val="24"/>
          <w:u w:val="single"/>
        </w:rPr>
        <w:t>0</w:t>
      </w:r>
      <w:r w:rsidR="00C64358" w:rsidRPr="009B4C3C">
        <w:rPr>
          <w:b/>
          <w:sz w:val="24"/>
          <w:szCs w:val="24"/>
          <w:u w:val="single"/>
        </w:rPr>
        <w:t>/</w:t>
      </w:r>
      <w:r w:rsidR="00876516">
        <w:rPr>
          <w:b/>
          <w:sz w:val="24"/>
          <w:szCs w:val="24"/>
          <w:u w:val="single"/>
        </w:rPr>
        <w:t>8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9B4C3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5B384C" w:rsidRPr="009B4C3C" w:rsidRDefault="005B384C" w:rsidP="005B384C">
      <w:pPr>
        <w:jc w:val="center"/>
        <w:rPr>
          <w:sz w:val="24"/>
          <w:szCs w:val="24"/>
        </w:rPr>
      </w:pPr>
    </w:p>
    <w:p w:rsidR="005B384C" w:rsidRPr="009B4C3C" w:rsidRDefault="00876516" w:rsidP="005B384C">
      <w:pPr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C45974" w:rsidRPr="009B4C3C">
        <w:rPr>
          <w:sz w:val="24"/>
          <w:szCs w:val="24"/>
        </w:rPr>
        <w:t xml:space="preserve"> </w:t>
      </w:r>
      <w:r w:rsidR="00A423D8" w:rsidRPr="009B4C3C">
        <w:rPr>
          <w:sz w:val="24"/>
          <w:szCs w:val="24"/>
        </w:rPr>
        <w:t>октября</w:t>
      </w:r>
      <w:r w:rsidR="00CD1ACA" w:rsidRPr="009B4C3C">
        <w:rPr>
          <w:sz w:val="24"/>
          <w:szCs w:val="24"/>
        </w:rPr>
        <w:t xml:space="preserve"> </w:t>
      </w:r>
      <w:r w:rsidR="00C45974" w:rsidRPr="009B4C3C">
        <w:rPr>
          <w:sz w:val="24"/>
          <w:szCs w:val="24"/>
        </w:rPr>
        <w:t>202</w:t>
      </w:r>
      <w:r w:rsidR="00EC1C9B">
        <w:rPr>
          <w:sz w:val="24"/>
          <w:szCs w:val="24"/>
        </w:rPr>
        <w:t>3</w:t>
      </w:r>
      <w:r w:rsidR="00B173E4" w:rsidRPr="009B4C3C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>г.</w:t>
      </w:r>
      <w:r w:rsidR="005B384C" w:rsidRPr="009B4C3C">
        <w:rPr>
          <w:sz w:val="24"/>
          <w:szCs w:val="24"/>
        </w:rPr>
        <w:tab/>
        <w:t xml:space="preserve"> </w:t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  <w:t xml:space="preserve">  </w:t>
      </w:r>
      <w:r w:rsidR="005B384C" w:rsidRPr="009B4C3C">
        <w:rPr>
          <w:sz w:val="24"/>
          <w:szCs w:val="24"/>
        </w:rPr>
        <w:tab/>
      </w:r>
      <w:r w:rsidR="004E2154" w:rsidRPr="009B4C3C">
        <w:rPr>
          <w:sz w:val="24"/>
          <w:szCs w:val="24"/>
        </w:rPr>
        <w:t xml:space="preserve">       </w:t>
      </w:r>
      <w:r w:rsidR="005B384C" w:rsidRPr="009B4C3C">
        <w:rPr>
          <w:sz w:val="24"/>
          <w:szCs w:val="24"/>
        </w:rPr>
        <w:t xml:space="preserve">   г. Иваново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Присутствовали:</w:t>
      </w:r>
    </w:p>
    <w:p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Председатель Правления: Морева Е.Н.</w:t>
      </w:r>
    </w:p>
    <w:p w:rsidR="00593C83" w:rsidRPr="009B4C3C" w:rsidRDefault="00593C83" w:rsidP="00593C83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 xml:space="preserve">Члены Правления: Бугаева С.Е., </w:t>
      </w:r>
      <w:r w:rsidR="00790FF1" w:rsidRPr="009B4C3C">
        <w:rPr>
          <w:sz w:val="24"/>
          <w:szCs w:val="24"/>
        </w:rPr>
        <w:t xml:space="preserve">Гущина Н.Б., </w:t>
      </w:r>
      <w:r w:rsidR="005010B2" w:rsidRPr="009B4C3C">
        <w:rPr>
          <w:sz w:val="24"/>
          <w:szCs w:val="24"/>
        </w:rPr>
        <w:t>Турбачкина Е.В.</w:t>
      </w:r>
      <w:r w:rsidR="00EC1C9B">
        <w:rPr>
          <w:sz w:val="24"/>
          <w:szCs w:val="24"/>
        </w:rPr>
        <w:t xml:space="preserve">, </w:t>
      </w:r>
      <w:r w:rsidR="006E7BB8" w:rsidRPr="009B4C3C">
        <w:rPr>
          <w:sz w:val="24"/>
          <w:szCs w:val="24"/>
        </w:rPr>
        <w:t>Полозов И.Г.</w:t>
      </w:r>
      <w:r w:rsidRPr="009B4C3C">
        <w:rPr>
          <w:sz w:val="24"/>
          <w:szCs w:val="24"/>
        </w:rPr>
        <w:t xml:space="preserve">, </w:t>
      </w:r>
      <w:r w:rsidR="00335AB5" w:rsidRPr="009B4C3C">
        <w:rPr>
          <w:sz w:val="24"/>
          <w:szCs w:val="24"/>
        </w:rPr>
        <w:t>Коннова Е.А</w:t>
      </w:r>
      <w:r w:rsidR="009D60BE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, Агапова О</w:t>
      </w:r>
      <w:r w:rsidR="00F93FAF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П</w:t>
      </w:r>
      <w:r w:rsidRPr="009B4C3C">
        <w:rPr>
          <w:sz w:val="24"/>
          <w:szCs w:val="24"/>
        </w:rPr>
        <w:t>.</w:t>
      </w:r>
    </w:p>
    <w:p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 Департамента энергетики и тарифов Ивановской области:</w:t>
      </w:r>
      <w:r w:rsidR="00211B49" w:rsidRPr="009B4C3C">
        <w:rPr>
          <w:sz w:val="24"/>
          <w:szCs w:val="24"/>
        </w:rPr>
        <w:t xml:space="preserve"> Сергеев М.А</w:t>
      </w:r>
      <w:r w:rsidR="006E7BB8" w:rsidRPr="009B4C3C">
        <w:rPr>
          <w:sz w:val="24"/>
          <w:szCs w:val="24"/>
        </w:rPr>
        <w:t>.</w:t>
      </w:r>
    </w:p>
    <w:p w:rsidR="006E7BB8" w:rsidRPr="009B4C3C" w:rsidRDefault="006E7BB8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От УФАС России по Ивановской области: Виднова З.Б. (на праве совещательного голоса, участие в голосовании не принимает).</w:t>
      </w:r>
    </w:p>
    <w:p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От Ассоциации «НП Совет рынка»: Кулешов А.И.</w:t>
      </w:r>
    </w:p>
    <w:p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Ответственный секретарь Правления:</w:t>
      </w:r>
      <w:r w:rsidR="00C828F9" w:rsidRPr="009B4C3C">
        <w:rPr>
          <w:sz w:val="24"/>
          <w:szCs w:val="24"/>
        </w:rPr>
        <w:t xml:space="preserve"> </w:t>
      </w:r>
      <w:r w:rsidR="00C82BB3" w:rsidRPr="009B4C3C">
        <w:rPr>
          <w:sz w:val="24"/>
          <w:szCs w:val="24"/>
        </w:rPr>
        <w:t>Аскярова М.В</w:t>
      </w:r>
      <w:r w:rsidR="00211B49" w:rsidRPr="009B4C3C">
        <w:rPr>
          <w:sz w:val="24"/>
          <w:szCs w:val="24"/>
        </w:rPr>
        <w:t>.</w:t>
      </w:r>
    </w:p>
    <w:p w:rsidR="005B384C" w:rsidRPr="009B4C3C" w:rsidRDefault="005B384C" w:rsidP="005B384C">
      <w:pPr>
        <w:jc w:val="both"/>
        <w:rPr>
          <w:b/>
          <w:sz w:val="24"/>
          <w:szCs w:val="24"/>
        </w:rPr>
      </w:pPr>
    </w:p>
    <w:p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proofErr w:type="gramStart"/>
      <w:r w:rsidRPr="009B4C3C">
        <w:rPr>
          <w:b/>
          <w:sz w:val="24"/>
          <w:szCs w:val="24"/>
        </w:rPr>
        <w:t>П</w:t>
      </w:r>
      <w:proofErr w:type="gramEnd"/>
      <w:r w:rsidRPr="009B4C3C">
        <w:rPr>
          <w:b/>
          <w:sz w:val="24"/>
          <w:szCs w:val="24"/>
        </w:rPr>
        <w:t xml:space="preserve"> О В Е С Т К А:</w:t>
      </w:r>
    </w:p>
    <w:p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:rsidR="00335AB5" w:rsidRPr="009B4C3C" w:rsidRDefault="00EC1C9B" w:rsidP="00B16361">
      <w:pPr>
        <w:pStyle w:val="aa"/>
        <w:tabs>
          <w:tab w:val="left" w:pos="0"/>
          <w:tab w:val="left" w:pos="709"/>
          <w:tab w:val="left" w:pos="851"/>
        </w:tabs>
        <w:ind w:left="0" w:firstLine="709"/>
        <w:jc w:val="both"/>
        <w:rPr>
          <w:b/>
          <w:bCs/>
          <w:sz w:val="24"/>
          <w:szCs w:val="24"/>
        </w:rPr>
      </w:pPr>
      <w:r w:rsidRPr="00EC1C9B">
        <w:rPr>
          <w:b/>
          <w:bCs/>
          <w:sz w:val="24"/>
          <w:szCs w:val="24"/>
        </w:rPr>
        <w:t>«О внесении изменений в постановление Департамента энергетики и тарифов Ивановской области от 28.10.2022 № 43-э/3 «Об установлении необходимой валовой выручки и долгосрочных параметров регулирования для АО «ПСК» на 2023-2027 гг.,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="00515FCE" w:rsidRPr="009B4C3C">
        <w:rPr>
          <w:b/>
          <w:bCs/>
          <w:sz w:val="24"/>
          <w:szCs w:val="24"/>
        </w:rPr>
        <w:t>.</w:t>
      </w:r>
    </w:p>
    <w:p w:rsidR="0069698E" w:rsidRPr="009B4C3C" w:rsidRDefault="004C3F09" w:rsidP="00B16361">
      <w:pPr>
        <w:pStyle w:val="aa"/>
        <w:tabs>
          <w:tab w:val="left" w:pos="0"/>
          <w:tab w:val="left" w:pos="709"/>
          <w:tab w:val="left" w:pos="851"/>
        </w:tabs>
        <w:ind w:left="0" w:firstLine="709"/>
        <w:jc w:val="both"/>
        <w:rPr>
          <w:b/>
          <w:bCs/>
          <w:sz w:val="24"/>
          <w:szCs w:val="24"/>
        </w:rPr>
      </w:pPr>
      <w:r w:rsidRPr="009B4C3C">
        <w:rPr>
          <w:b/>
          <w:bCs/>
          <w:sz w:val="24"/>
          <w:szCs w:val="24"/>
        </w:rPr>
        <w:t xml:space="preserve">СЛУШАЛИ: </w:t>
      </w:r>
      <w:r w:rsidR="00EC1C9B" w:rsidRPr="00EC1C9B">
        <w:rPr>
          <w:b/>
          <w:bCs/>
          <w:sz w:val="24"/>
          <w:szCs w:val="24"/>
        </w:rPr>
        <w:t>«О внесении изменений в постановление Департамента энергетики и тарифов Ивановской области от 28.10.2022 № 43-э/3 «Об установлении необходимой валовой выручки и долгосрочных параметров регулирования для АО «ПСК» на 2023-2027 гг.,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="00EC1C9B" w:rsidRPr="009B4C3C">
        <w:rPr>
          <w:b/>
          <w:bCs/>
          <w:sz w:val="24"/>
          <w:szCs w:val="24"/>
        </w:rPr>
        <w:t xml:space="preserve"> </w:t>
      </w:r>
      <w:r w:rsidR="0069698E" w:rsidRPr="009B4C3C">
        <w:rPr>
          <w:b/>
          <w:bCs/>
          <w:sz w:val="24"/>
          <w:szCs w:val="24"/>
        </w:rPr>
        <w:t>(Морева, Коннова,</w:t>
      </w:r>
      <w:r w:rsidR="00F836FE" w:rsidRPr="009B4C3C">
        <w:rPr>
          <w:b/>
          <w:bCs/>
          <w:sz w:val="24"/>
          <w:szCs w:val="24"/>
        </w:rPr>
        <w:t xml:space="preserve"> </w:t>
      </w:r>
      <w:r w:rsidR="00EC1C9B">
        <w:rPr>
          <w:b/>
          <w:bCs/>
          <w:sz w:val="24"/>
          <w:szCs w:val="24"/>
        </w:rPr>
        <w:t>Сергеев</w:t>
      </w:r>
      <w:r w:rsidR="0069698E" w:rsidRPr="009B4C3C">
        <w:rPr>
          <w:b/>
          <w:bCs/>
          <w:sz w:val="24"/>
          <w:szCs w:val="24"/>
        </w:rPr>
        <w:t>).</w:t>
      </w:r>
    </w:p>
    <w:p w:rsidR="00671CC5" w:rsidRPr="009B4C3C" w:rsidRDefault="00671CC5" w:rsidP="00B86D23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9B4C3C">
        <w:rPr>
          <w:bCs/>
          <w:sz w:val="24"/>
          <w:szCs w:val="24"/>
        </w:rPr>
        <w:t>Рассмотр</w:t>
      </w:r>
      <w:r w:rsidR="00150B76" w:rsidRPr="009B4C3C">
        <w:rPr>
          <w:bCs/>
          <w:sz w:val="24"/>
          <w:szCs w:val="24"/>
        </w:rPr>
        <w:t>ен</w:t>
      </w:r>
      <w:r w:rsidR="0069698E" w:rsidRPr="009B4C3C">
        <w:rPr>
          <w:bCs/>
          <w:sz w:val="24"/>
          <w:szCs w:val="24"/>
        </w:rPr>
        <w:t>о</w:t>
      </w:r>
      <w:r w:rsidR="00150B76" w:rsidRPr="009B4C3C">
        <w:rPr>
          <w:bCs/>
          <w:sz w:val="24"/>
          <w:szCs w:val="24"/>
        </w:rPr>
        <w:t xml:space="preserve"> дел</w:t>
      </w:r>
      <w:r w:rsidR="0069698E" w:rsidRPr="009B4C3C">
        <w:rPr>
          <w:bCs/>
          <w:sz w:val="24"/>
          <w:szCs w:val="24"/>
        </w:rPr>
        <w:t>о</w:t>
      </w:r>
      <w:r w:rsidRPr="009B4C3C">
        <w:rPr>
          <w:bCs/>
          <w:sz w:val="24"/>
          <w:szCs w:val="24"/>
        </w:rPr>
        <w:t xml:space="preserve"> в части корректировки </w:t>
      </w:r>
      <w:r w:rsidRPr="009B4C3C">
        <w:rPr>
          <w:sz w:val="24"/>
          <w:szCs w:val="24"/>
        </w:rPr>
        <w:t>НВВ на содерж</w:t>
      </w:r>
      <w:r w:rsidR="00C45974" w:rsidRPr="009B4C3C">
        <w:rPr>
          <w:sz w:val="24"/>
          <w:szCs w:val="24"/>
        </w:rPr>
        <w:t>ание электрических сетей на 202</w:t>
      </w:r>
      <w:r w:rsidR="00EC1C9B">
        <w:rPr>
          <w:sz w:val="24"/>
          <w:szCs w:val="24"/>
        </w:rPr>
        <w:t>4</w:t>
      </w:r>
      <w:r w:rsidRPr="009B4C3C">
        <w:rPr>
          <w:sz w:val="24"/>
          <w:szCs w:val="24"/>
        </w:rPr>
        <w:t xml:space="preserve"> год, </w:t>
      </w:r>
      <w:r w:rsidRPr="009B4C3C">
        <w:rPr>
          <w:bCs/>
          <w:sz w:val="24"/>
          <w:szCs w:val="24"/>
        </w:rPr>
        <w:t>принимаемой в расчет единых (котловых) и индивидуальных тарифов на услуги по передаче электрической энергии (без учета оплаты потерь)</w:t>
      </w:r>
      <w:r w:rsidR="00150B76" w:rsidRPr="009B4C3C">
        <w:rPr>
          <w:bCs/>
          <w:sz w:val="24"/>
          <w:szCs w:val="24"/>
        </w:rPr>
        <w:t>,</w:t>
      </w:r>
      <w:r w:rsidRPr="009B4C3C">
        <w:rPr>
          <w:bCs/>
          <w:sz w:val="24"/>
          <w:szCs w:val="24"/>
        </w:rPr>
        <w:t xml:space="preserve"> для </w:t>
      </w:r>
      <w:r w:rsidR="00056A15" w:rsidRPr="009B4C3C">
        <w:rPr>
          <w:bCs/>
          <w:sz w:val="24"/>
          <w:szCs w:val="24"/>
        </w:rPr>
        <w:t>А</w:t>
      </w:r>
      <w:r w:rsidR="004E35E5" w:rsidRPr="009B4C3C">
        <w:rPr>
          <w:bCs/>
          <w:sz w:val="24"/>
          <w:szCs w:val="24"/>
        </w:rPr>
        <w:t xml:space="preserve">О </w:t>
      </w:r>
      <w:r w:rsidR="004F3A3D" w:rsidRPr="009B4C3C">
        <w:rPr>
          <w:bCs/>
          <w:sz w:val="24"/>
          <w:szCs w:val="24"/>
        </w:rPr>
        <w:t>«</w:t>
      </w:r>
      <w:r w:rsidR="00EC1C9B">
        <w:rPr>
          <w:bCs/>
          <w:sz w:val="24"/>
          <w:szCs w:val="24"/>
        </w:rPr>
        <w:t>ПСК</w:t>
      </w:r>
      <w:r w:rsidR="004F3A3D" w:rsidRPr="009B4C3C">
        <w:rPr>
          <w:bCs/>
          <w:sz w:val="24"/>
          <w:szCs w:val="24"/>
        </w:rPr>
        <w:t>»</w:t>
      </w:r>
      <w:r w:rsidR="004E35E5" w:rsidRPr="009B4C3C">
        <w:rPr>
          <w:bCs/>
          <w:sz w:val="24"/>
          <w:szCs w:val="24"/>
        </w:rPr>
        <w:t xml:space="preserve"> (долгос</w:t>
      </w:r>
      <w:r w:rsidR="0069698E" w:rsidRPr="009B4C3C">
        <w:rPr>
          <w:bCs/>
          <w:sz w:val="24"/>
          <w:szCs w:val="24"/>
        </w:rPr>
        <w:t>рочный период регулирования 202</w:t>
      </w:r>
      <w:r w:rsidR="00EC1C9B">
        <w:rPr>
          <w:bCs/>
          <w:sz w:val="24"/>
          <w:szCs w:val="24"/>
        </w:rPr>
        <w:t>3</w:t>
      </w:r>
      <w:r w:rsidR="0069698E" w:rsidRPr="009B4C3C">
        <w:rPr>
          <w:bCs/>
          <w:sz w:val="24"/>
          <w:szCs w:val="24"/>
        </w:rPr>
        <w:t>-202</w:t>
      </w:r>
      <w:r w:rsidR="00EC1C9B">
        <w:rPr>
          <w:bCs/>
          <w:sz w:val="24"/>
          <w:szCs w:val="24"/>
        </w:rPr>
        <w:t>7</w:t>
      </w:r>
      <w:r w:rsidR="004E35E5" w:rsidRPr="009B4C3C">
        <w:rPr>
          <w:bCs/>
          <w:sz w:val="24"/>
          <w:szCs w:val="24"/>
        </w:rPr>
        <w:t xml:space="preserve"> гг.)</w:t>
      </w:r>
      <w:r w:rsidR="00473802" w:rsidRPr="009B4C3C">
        <w:rPr>
          <w:bCs/>
          <w:sz w:val="24"/>
          <w:szCs w:val="24"/>
        </w:rPr>
        <w:t>.</w:t>
      </w:r>
    </w:p>
    <w:p w:rsidR="006B54D8" w:rsidRPr="00DD26C2" w:rsidRDefault="006B54D8" w:rsidP="006B54D8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4"/>
          <w:szCs w:val="24"/>
        </w:rPr>
      </w:pPr>
      <w:r w:rsidRPr="00DD26C2">
        <w:rPr>
          <w:sz w:val="24"/>
          <w:szCs w:val="24"/>
        </w:rPr>
        <w:t>В соответствии с проведенной экспертизой установлено, что вышеуказанная сетевая организация соответствует 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РФ от 28.02.2015 № 184.</w:t>
      </w:r>
    </w:p>
    <w:p w:rsidR="006B54D8" w:rsidRPr="00DD26C2" w:rsidRDefault="006B54D8" w:rsidP="006B54D8">
      <w:pPr>
        <w:ind w:firstLine="567"/>
        <w:jc w:val="both"/>
        <w:rPr>
          <w:sz w:val="24"/>
          <w:szCs w:val="24"/>
        </w:rPr>
      </w:pPr>
      <w:r w:rsidRPr="00DD26C2">
        <w:rPr>
          <w:bCs/>
          <w:sz w:val="24"/>
          <w:szCs w:val="24"/>
        </w:rPr>
        <w:t>Департамент отмечает, что расчеты произведены специалистами Департамента в</w:t>
      </w:r>
      <w:r w:rsidRPr="00DD26C2">
        <w:rPr>
          <w:sz w:val="24"/>
          <w:szCs w:val="24"/>
        </w:rPr>
        <w:t xml:space="preserve"> соответствии </w:t>
      </w:r>
      <w:proofErr w:type="gramStart"/>
      <w:r w:rsidRPr="00DD26C2">
        <w:rPr>
          <w:sz w:val="24"/>
          <w:szCs w:val="24"/>
        </w:rPr>
        <w:t>с</w:t>
      </w:r>
      <w:proofErr w:type="gramEnd"/>
      <w:r w:rsidRPr="00DD26C2">
        <w:rPr>
          <w:sz w:val="24"/>
          <w:szCs w:val="24"/>
        </w:rPr>
        <w:t>:</w:t>
      </w:r>
    </w:p>
    <w:p w:rsidR="006B54D8" w:rsidRPr="00DD26C2" w:rsidRDefault="00DD26C2" w:rsidP="0008522D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DD26C2">
        <w:rPr>
          <w:bCs/>
          <w:sz w:val="24"/>
          <w:szCs w:val="24"/>
        </w:rPr>
        <w:t xml:space="preserve">- </w:t>
      </w:r>
      <w:r w:rsidR="006B54D8" w:rsidRPr="00DD26C2">
        <w:rPr>
          <w:bCs/>
          <w:sz w:val="24"/>
          <w:szCs w:val="24"/>
        </w:rPr>
        <w:t xml:space="preserve">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</w:t>
      </w:r>
      <w:r w:rsidR="0008522D" w:rsidRPr="00DD26C2">
        <w:rPr>
          <w:bCs/>
          <w:sz w:val="24"/>
          <w:szCs w:val="24"/>
        </w:rPr>
        <w:t>202</w:t>
      </w:r>
      <w:r w:rsidR="00EC1C9B">
        <w:rPr>
          <w:bCs/>
          <w:sz w:val="24"/>
          <w:szCs w:val="24"/>
        </w:rPr>
        <w:t>4</w:t>
      </w:r>
      <w:r w:rsidR="0008522D" w:rsidRPr="00DD26C2">
        <w:rPr>
          <w:bCs/>
          <w:sz w:val="24"/>
          <w:szCs w:val="24"/>
        </w:rPr>
        <w:t xml:space="preserve"> год и плановый </w:t>
      </w:r>
      <w:r w:rsidR="006B54D8" w:rsidRPr="00DD26C2">
        <w:rPr>
          <w:bCs/>
          <w:sz w:val="24"/>
          <w:szCs w:val="24"/>
        </w:rPr>
        <w:t xml:space="preserve">период </w:t>
      </w:r>
      <w:r w:rsidR="0008522D" w:rsidRPr="00DD26C2">
        <w:rPr>
          <w:bCs/>
          <w:sz w:val="24"/>
          <w:szCs w:val="24"/>
        </w:rPr>
        <w:t>202</w:t>
      </w:r>
      <w:r w:rsidR="00EC1C9B">
        <w:rPr>
          <w:bCs/>
          <w:sz w:val="24"/>
          <w:szCs w:val="24"/>
        </w:rPr>
        <w:t>5</w:t>
      </w:r>
      <w:r w:rsidR="0008522D" w:rsidRPr="00DD26C2">
        <w:rPr>
          <w:bCs/>
          <w:sz w:val="24"/>
          <w:szCs w:val="24"/>
        </w:rPr>
        <w:t xml:space="preserve"> и</w:t>
      </w:r>
      <w:r w:rsidR="00EC1C9B">
        <w:rPr>
          <w:bCs/>
          <w:sz w:val="24"/>
          <w:szCs w:val="24"/>
        </w:rPr>
        <w:t xml:space="preserve"> </w:t>
      </w:r>
      <w:r w:rsidR="006B54D8" w:rsidRPr="00DD26C2">
        <w:rPr>
          <w:bCs/>
          <w:sz w:val="24"/>
          <w:szCs w:val="24"/>
        </w:rPr>
        <w:t>202</w:t>
      </w:r>
      <w:r w:rsidR="00EC1C9B">
        <w:rPr>
          <w:bCs/>
          <w:sz w:val="24"/>
          <w:szCs w:val="24"/>
        </w:rPr>
        <w:t>6</w:t>
      </w:r>
      <w:r w:rsidR="006B54D8" w:rsidRPr="00DD26C2">
        <w:rPr>
          <w:bCs/>
          <w:sz w:val="24"/>
          <w:szCs w:val="24"/>
        </w:rPr>
        <w:t xml:space="preserve"> год</w:t>
      </w:r>
      <w:r w:rsidR="00EC1C9B">
        <w:rPr>
          <w:bCs/>
          <w:sz w:val="24"/>
          <w:szCs w:val="24"/>
        </w:rPr>
        <w:t>ов</w:t>
      </w:r>
      <w:r w:rsidR="006B54D8" w:rsidRPr="00DD26C2">
        <w:rPr>
          <w:bCs/>
          <w:sz w:val="24"/>
          <w:szCs w:val="24"/>
        </w:rPr>
        <w:t>,</w:t>
      </w:r>
    </w:p>
    <w:p w:rsidR="006B54D8" w:rsidRPr="00DD26C2" w:rsidRDefault="00DD26C2" w:rsidP="0008522D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4"/>
          <w:szCs w:val="24"/>
        </w:rPr>
      </w:pPr>
      <w:r w:rsidRPr="00DD26C2">
        <w:rPr>
          <w:bCs/>
          <w:sz w:val="24"/>
          <w:szCs w:val="24"/>
        </w:rPr>
        <w:t>-</w:t>
      </w:r>
      <w:r w:rsidR="006B54D8" w:rsidRPr="00DD26C2">
        <w:rPr>
          <w:bCs/>
          <w:sz w:val="24"/>
          <w:szCs w:val="24"/>
        </w:rPr>
        <w:t xml:space="preserve"> положениями постановления Правительства Российской Федерации от 29.12.2011 № 1178 «О</w:t>
      </w:r>
      <w:r w:rsidR="006B54D8" w:rsidRPr="00DD26C2">
        <w:rPr>
          <w:sz w:val="24"/>
          <w:szCs w:val="24"/>
        </w:rPr>
        <w:t xml:space="preserve"> ценообразовании в области регулируемых цен (тарифов) в электроэнергетике»,</w:t>
      </w:r>
    </w:p>
    <w:p w:rsidR="006B54D8" w:rsidRPr="00DD26C2" w:rsidRDefault="00DD26C2" w:rsidP="00DD26C2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26C2">
        <w:rPr>
          <w:sz w:val="24"/>
          <w:szCs w:val="24"/>
        </w:rPr>
        <w:t xml:space="preserve">- </w:t>
      </w:r>
      <w:r w:rsidR="006B54D8" w:rsidRPr="00DD26C2">
        <w:rPr>
          <w:sz w:val="24"/>
          <w:szCs w:val="24"/>
        </w:rPr>
        <w:t xml:space="preserve">приказом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</w:t>
      </w:r>
      <w:r w:rsidR="006B54D8" w:rsidRPr="00DD26C2">
        <w:rPr>
          <w:sz w:val="24"/>
          <w:szCs w:val="24"/>
        </w:rPr>
        <w:lastRenderedPageBreak/>
        <w:t>метода долгосрочной индексации необходимой валовой выручки» (далее – Методические указания № 98-э).</w:t>
      </w:r>
    </w:p>
    <w:p w:rsidR="006B54D8" w:rsidRPr="00DD26C2" w:rsidRDefault="006B54D8" w:rsidP="006B54D8">
      <w:pPr>
        <w:ind w:firstLine="567"/>
        <w:jc w:val="both"/>
        <w:rPr>
          <w:sz w:val="24"/>
          <w:szCs w:val="24"/>
        </w:rPr>
      </w:pPr>
      <w:r w:rsidRPr="00DD26C2">
        <w:rPr>
          <w:sz w:val="24"/>
          <w:szCs w:val="24"/>
        </w:rPr>
        <w:t xml:space="preserve">Основные показатели деятельности </w:t>
      </w:r>
      <w:r w:rsidR="0008522D" w:rsidRPr="00DD26C2">
        <w:rPr>
          <w:bCs/>
          <w:sz w:val="24"/>
          <w:szCs w:val="24"/>
        </w:rPr>
        <w:t>АО «П</w:t>
      </w:r>
      <w:r w:rsidRPr="00DD26C2">
        <w:rPr>
          <w:bCs/>
          <w:sz w:val="24"/>
          <w:szCs w:val="24"/>
        </w:rPr>
        <w:t xml:space="preserve">СК», </w:t>
      </w:r>
      <w:r w:rsidRPr="00DD26C2">
        <w:rPr>
          <w:sz w:val="24"/>
          <w:szCs w:val="24"/>
        </w:rPr>
        <w:t>принимаемые в расчет единых (котловых) и индивидуальных тарифов на услуги по передаче электрической энергии на 202</w:t>
      </w:r>
      <w:r w:rsidR="00EC1C9B">
        <w:rPr>
          <w:sz w:val="24"/>
          <w:szCs w:val="24"/>
        </w:rPr>
        <w:t>4</w:t>
      </w:r>
      <w:r w:rsidRPr="00DD26C2">
        <w:rPr>
          <w:sz w:val="24"/>
          <w:szCs w:val="24"/>
        </w:rPr>
        <w:t xml:space="preserve"> год, приведены в приложениях к протоколу.</w:t>
      </w:r>
    </w:p>
    <w:p w:rsidR="006B54D8" w:rsidRPr="00DD26C2" w:rsidRDefault="006B54D8" w:rsidP="006B54D8">
      <w:pPr>
        <w:ind w:firstLine="567"/>
        <w:jc w:val="both"/>
        <w:rPr>
          <w:bCs/>
          <w:sz w:val="24"/>
          <w:szCs w:val="24"/>
        </w:rPr>
      </w:pPr>
      <w:r w:rsidRPr="00DD26C2">
        <w:rPr>
          <w:bCs/>
          <w:sz w:val="24"/>
          <w:szCs w:val="24"/>
        </w:rPr>
        <w:t>По результатам экспертизы подготовлены расчетные материалы и соответствующее экспертное заключение.</w:t>
      </w:r>
    </w:p>
    <w:p w:rsidR="004D607B" w:rsidRDefault="0008522D" w:rsidP="00F35018">
      <w:pPr>
        <w:ind w:firstLine="567"/>
        <w:jc w:val="both"/>
        <w:rPr>
          <w:sz w:val="24"/>
          <w:szCs w:val="24"/>
        </w:rPr>
      </w:pPr>
      <w:r w:rsidRPr="004A64E7">
        <w:rPr>
          <w:sz w:val="24"/>
          <w:szCs w:val="24"/>
        </w:rPr>
        <w:t>А</w:t>
      </w:r>
      <w:r w:rsidR="006B54D8" w:rsidRPr="004A64E7">
        <w:rPr>
          <w:sz w:val="24"/>
          <w:szCs w:val="24"/>
        </w:rPr>
        <w:t>О «</w:t>
      </w:r>
      <w:r w:rsidR="00F35018" w:rsidRPr="004A64E7">
        <w:rPr>
          <w:sz w:val="24"/>
          <w:szCs w:val="24"/>
        </w:rPr>
        <w:t>П</w:t>
      </w:r>
      <w:r w:rsidR="006B54D8" w:rsidRPr="004A64E7">
        <w:rPr>
          <w:sz w:val="24"/>
          <w:szCs w:val="24"/>
        </w:rPr>
        <w:t>СК» письмом от 2</w:t>
      </w:r>
      <w:r w:rsidR="004D607B">
        <w:rPr>
          <w:sz w:val="24"/>
          <w:szCs w:val="24"/>
        </w:rPr>
        <w:t>0</w:t>
      </w:r>
      <w:r w:rsidR="006B54D8" w:rsidRPr="004A64E7">
        <w:rPr>
          <w:sz w:val="24"/>
          <w:szCs w:val="24"/>
        </w:rPr>
        <w:t>.10.202</w:t>
      </w:r>
      <w:r w:rsidR="004D607B">
        <w:rPr>
          <w:sz w:val="24"/>
          <w:szCs w:val="24"/>
        </w:rPr>
        <w:t>3</w:t>
      </w:r>
      <w:r w:rsidR="006B54D8" w:rsidRPr="004A64E7">
        <w:rPr>
          <w:sz w:val="24"/>
          <w:szCs w:val="24"/>
        </w:rPr>
        <w:t xml:space="preserve"> № </w:t>
      </w:r>
      <w:r w:rsidR="004D607B">
        <w:rPr>
          <w:sz w:val="24"/>
          <w:szCs w:val="24"/>
        </w:rPr>
        <w:t>167</w:t>
      </w:r>
      <w:r w:rsidRPr="004A64E7">
        <w:rPr>
          <w:sz w:val="24"/>
          <w:szCs w:val="24"/>
        </w:rPr>
        <w:t>-НП</w:t>
      </w:r>
      <w:r w:rsidR="006B54D8" w:rsidRPr="004A64E7">
        <w:rPr>
          <w:sz w:val="24"/>
          <w:szCs w:val="24"/>
        </w:rPr>
        <w:t xml:space="preserve"> (прилагается к настоящему протоколу) </w:t>
      </w:r>
      <w:r w:rsidRPr="004A64E7">
        <w:rPr>
          <w:sz w:val="24"/>
          <w:szCs w:val="24"/>
        </w:rPr>
        <w:t>не согласно с</w:t>
      </w:r>
      <w:r w:rsidR="006B54D8" w:rsidRPr="004A64E7">
        <w:rPr>
          <w:sz w:val="24"/>
          <w:szCs w:val="24"/>
        </w:rPr>
        <w:t xml:space="preserve"> предлагаем</w:t>
      </w:r>
      <w:r w:rsidRPr="004A64E7">
        <w:rPr>
          <w:sz w:val="24"/>
          <w:szCs w:val="24"/>
        </w:rPr>
        <w:t>ой</w:t>
      </w:r>
      <w:r w:rsidR="006B54D8" w:rsidRPr="004A64E7">
        <w:rPr>
          <w:sz w:val="24"/>
          <w:szCs w:val="24"/>
        </w:rPr>
        <w:t xml:space="preserve"> к утверждению НВВ, </w:t>
      </w:r>
      <w:proofErr w:type="gramStart"/>
      <w:r w:rsidR="006B54D8" w:rsidRPr="004A64E7">
        <w:rPr>
          <w:sz w:val="24"/>
          <w:szCs w:val="24"/>
        </w:rPr>
        <w:t>участвующую</w:t>
      </w:r>
      <w:proofErr w:type="gramEnd"/>
      <w:r w:rsidR="006B54D8" w:rsidRPr="004A64E7">
        <w:rPr>
          <w:sz w:val="24"/>
          <w:szCs w:val="24"/>
        </w:rPr>
        <w:t xml:space="preserve"> в расчете тарифов на услуги по передаче электрической энергии (мощности) на 202</w:t>
      </w:r>
      <w:r w:rsidR="004D607B">
        <w:rPr>
          <w:sz w:val="24"/>
          <w:szCs w:val="24"/>
        </w:rPr>
        <w:t>4</w:t>
      </w:r>
      <w:r w:rsidR="006B54D8" w:rsidRPr="004A64E7">
        <w:rPr>
          <w:sz w:val="24"/>
          <w:szCs w:val="24"/>
        </w:rPr>
        <w:t xml:space="preserve"> год</w:t>
      </w:r>
      <w:r w:rsidR="004D607B">
        <w:rPr>
          <w:sz w:val="24"/>
          <w:szCs w:val="24"/>
        </w:rPr>
        <w:t>, а именно:</w:t>
      </w:r>
    </w:p>
    <w:p w:rsidR="004D607B" w:rsidRDefault="004D607B" w:rsidP="004D607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4D607B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4D607B">
        <w:rPr>
          <w:sz w:val="24"/>
          <w:szCs w:val="24"/>
        </w:rPr>
        <w:t>согласно с произведенн</w:t>
      </w:r>
      <w:r>
        <w:rPr>
          <w:sz w:val="24"/>
          <w:szCs w:val="24"/>
        </w:rPr>
        <w:t>ы</w:t>
      </w:r>
      <w:r w:rsidRPr="004D607B">
        <w:rPr>
          <w:sz w:val="24"/>
          <w:szCs w:val="24"/>
        </w:rPr>
        <w:t xml:space="preserve">ми </w:t>
      </w:r>
      <w:r>
        <w:rPr>
          <w:sz w:val="24"/>
          <w:szCs w:val="24"/>
        </w:rPr>
        <w:t>Д</w:t>
      </w:r>
      <w:r w:rsidRPr="004D607B">
        <w:rPr>
          <w:sz w:val="24"/>
          <w:szCs w:val="24"/>
        </w:rPr>
        <w:t>епартаментом</w:t>
      </w:r>
      <w:r>
        <w:rPr>
          <w:sz w:val="24"/>
          <w:szCs w:val="24"/>
        </w:rPr>
        <w:t xml:space="preserve"> </w:t>
      </w:r>
      <w:r w:rsidRPr="004D607B">
        <w:rPr>
          <w:sz w:val="24"/>
          <w:szCs w:val="24"/>
        </w:rPr>
        <w:t>расчетами по арендной плате за</w:t>
      </w:r>
      <w:r>
        <w:rPr>
          <w:sz w:val="24"/>
          <w:szCs w:val="24"/>
        </w:rPr>
        <w:t xml:space="preserve"> э</w:t>
      </w:r>
      <w:r w:rsidRPr="004D607B">
        <w:rPr>
          <w:sz w:val="24"/>
          <w:szCs w:val="24"/>
        </w:rPr>
        <w:t xml:space="preserve">лектросетевой комплекс </w:t>
      </w:r>
      <w:r>
        <w:rPr>
          <w:sz w:val="24"/>
          <w:szCs w:val="24"/>
        </w:rPr>
        <w:t>пос. С</w:t>
      </w:r>
      <w:r w:rsidRPr="004D607B">
        <w:rPr>
          <w:sz w:val="24"/>
          <w:szCs w:val="24"/>
        </w:rPr>
        <w:t xml:space="preserve">тарая </w:t>
      </w:r>
      <w:r>
        <w:rPr>
          <w:sz w:val="24"/>
          <w:szCs w:val="24"/>
        </w:rPr>
        <w:t>В</w:t>
      </w:r>
      <w:r w:rsidR="004E5E46">
        <w:rPr>
          <w:sz w:val="24"/>
          <w:szCs w:val="24"/>
        </w:rPr>
        <w:t>ич</w:t>
      </w:r>
      <w:r w:rsidRPr="004D607B">
        <w:rPr>
          <w:sz w:val="24"/>
          <w:szCs w:val="24"/>
        </w:rPr>
        <w:t>уга, в</w:t>
      </w:r>
      <w:r>
        <w:rPr>
          <w:sz w:val="24"/>
          <w:szCs w:val="24"/>
        </w:rPr>
        <w:t>з</w:t>
      </w:r>
      <w:r w:rsidRPr="004D607B">
        <w:rPr>
          <w:sz w:val="24"/>
          <w:szCs w:val="24"/>
        </w:rPr>
        <w:t>ятого в аренду по договору</w:t>
      </w:r>
      <w:r>
        <w:rPr>
          <w:sz w:val="24"/>
          <w:szCs w:val="24"/>
        </w:rPr>
        <w:t xml:space="preserve"> № ТЭН0015/МК00112 </w:t>
      </w:r>
      <w:r w:rsidRPr="004D607B">
        <w:rPr>
          <w:sz w:val="24"/>
          <w:szCs w:val="24"/>
        </w:rPr>
        <w:t>от 28.</w:t>
      </w:r>
      <w:r>
        <w:rPr>
          <w:sz w:val="24"/>
          <w:szCs w:val="24"/>
        </w:rPr>
        <w:t>07</w:t>
      </w:r>
      <w:r w:rsidRPr="004D607B">
        <w:rPr>
          <w:sz w:val="24"/>
          <w:szCs w:val="24"/>
        </w:rPr>
        <w:t xml:space="preserve">.2023, т.к. в расчете </w:t>
      </w:r>
      <w:r>
        <w:rPr>
          <w:sz w:val="24"/>
          <w:szCs w:val="24"/>
        </w:rPr>
        <w:t>Д</w:t>
      </w:r>
      <w:r w:rsidRPr="004D607B">
        <w:rPr>
          <w:sz w:val="24"/>
          <w:szCs w:val="24"/>
        </w:rPr>
        <w:t>епартамента аморти</w:t>
      </w:r>
      <w:r>
        <w:rPr>
          <w:sz w:val="24"/>
          <w:szCs w:val="24"/>
        </w:rPr>
        <w:t>з</w:t>
      </w:r>
      <w:r w:rsidRPr="004D607B">
        <w:rPr>
          <w:sz w:val="24"/>
          <w:szCs w:val="24"/>
        </w:rPr>
        <w:t>ация</w:t>
      </w:r>
      <w:r>
        <w:rPr>
          <w:sz w:val="24"/>
          <w:szCs w:val="24"/>
        </w:rPr>
        <w:t xml:space="preserve"> </w:t>
      </w:r>
      <w:r w:rsidRPr="004D607B">
        <w:rPr>
          <w:sz w:val="24"/>
          <w:szCs w:val="24"/>
        </w:rPr>
        <w:t>пересчитана по максимальн</w:t>
      </w:r>
      <w:r>
        <w:rPr>
          <w:sz w:val="24"/>
          <w:szCs w:val="24"/>
        </w:rPr>
        <w:t>ы</w:t>
      </w:r>
      <w:r w:rsidRPr="004D607B">
        <w:rPr>
          <w:sz w:val="24"/>
          <w:szCs w:val="24"/>
        </w:rPr>
        <w:t>м срокам полезного исполь</w:t>
      </w:r>
      <w:r>
        <w:rPr>
          <w:sz w:val="24"/>
          <w:szCs w:val="24"/>
        </w:rPr>
        <w:t>з</w:t>
      </w:r>
      <w:r w:rsidRPr="004D607B">
        <w:rPr>
          <w:sz w:val="24"/>
          <w:szCs w:val="24"/>
        </w:rPr>
        <w:t>ования в ра</w:t>
      </w:r>
      <w:r>
        <w:rPr>
          <w:sz w:val="24"/>
          <w:szCs w:val="24"/>
        </w:rPr>
        <w:t>змере 53,1 ты</w:t>
      </w:r>
      <w:r w:rsidRPr="004D607B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r w:rsidRPr="004D607B">
        <w:rPr>
          <w:sz w:val="24"/>
          <w:szCs w:val="24"/>
        </w:rPr>
        <w:t xml:space="preserve">руб., вместо </w:t>
      </w:r>
      <w:proofErr w:type="gramStart"/>
      <w:r w:rsidRPr="004D607B">
        <w:rPr>
          <w:sz w:val="24"/>
          <w:szCs w:val="24"/>
        </w:rPr>
        <w:t>заявленн</w:t>
      </w:r>
      <w:r>
        <w:rPr>
          <w:sz w:val="24"/>
          <w:szCs w:val="24"/>
        </w:rPr>
        <w:t>ых</w:t>
      </w:r>
      <w:proofErr w:type="gramEnd"/>
      <w:r>
        <w:rPr>
          <w:sz w:val="24"/>
          <w:szCs w:val="24"/>
        </w:rPr>
        <w:t xml:space="preserve"> </w:t>
      </w:r>
      <w:r w:rsidR="004E5E46">
        <w:rPr>
          <w:sz w:val="24"/>
          <w:szCs w:val="24"/>
        </w:rPr>
        <w:t xml:space="preserve">- </w:t>
      </w:r>
      <w:r>
        <w:rPr>
          <w:sz w:val="24"/>
          <w:szCs w:val="24"/>
        </w:rPr>
        <w:t>504,2 ты</w:t>
      </w:r>
      <w:r w:rsidRPr="004D607B">
        <w:rPr>
          <w:sz w:val="24"/>
          <w:szCs w:val="24"/>
        </w:rPr>
        <w:t>с. руб.</w:t>
      </w:r>
      <w:r>
        <w:rPr>
          <w:sz w:val="24"/>
          <w:szCs w:val="24"/>
        </w:rPr>
        <w:t>;</w:t>
      </w:r>
    </w:p>
    <w:p w:rsidR="00F35018" w:rsidRPr="004A64E7" w:rsidRDefault="004D607B" w:rsidP="004D607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не</w:t>
      </w:r>
      <w:r w:rsidRPr="004D607B">
        <w:rPr>
          <w:sz w:val="24"/>
          <w:szCs w:val="24"/>
        </w:rPr>
        <w:t xml:space="preserve"> согласно</w:t>
      </w:r>
      <w:proofErr w:type="gramEnd"/>
      <w:r w:rsidRPr="004D607B">
        <w:rPr>
          <w:sz w:val="24"/>
          <w:szCs w:val="24"/>
        </w:rPr>
        <w:t xml:space="preserve"> с исключением и</w:t>
      </w:r>
      <w:r>
        <w:rPr>
          <w:sz w:val="24"/>
          <w:szCs w:val="24"/>
        </w:rPr>
        <w:t>з</w:t>
      </w:r>
      <w:r w:rsidRPr="004D607B">
        <w:rPr>
          <w:sz w:val="24"/>
          <w:szCs w:val="24"/>
        </w:rPr>
        <w:t xml:space="preserve"> расчета </w:t>
      </w:r>
      <w:r>
        <w:rPr>
          <w:sz w:val="24"/>
          <w:szCs w:val="24"/>
        </w:rPr>
        <w:t>амортиз</w:t>
      </w:r>
      <w:r w:rsidRPr="004D607B">
        <w:rPr>
          <w:sz w:val="24"/>
          <w:szCs w:val="24"/>
        </w:rPr>
        <w:t>ации основн</w:t>
      </w:r>
      <w:r>
        <w:rPr>
          <w:sz w:val="24"/>
          <w:szCs w:val="24"/>
        </w:rPr>
        <w:t>ы</w:t>
      </w:r>
      <w:r w:rsidRPr="004D607B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Pr="004D607B">
        <w:rPr>
          <w:sz w:val="24"/>
          <w:szCs w:val="24"/>
        </w:rPr>
        <w:t xml:space="preserve">средств </w:t>
      </w:r>
      <w:r w:rsidR="004E5E4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линии электропередач ЛЭП </w:t>
      </w:r>
      <w:r w:rsidRPr="004D607B">
        <w:rPr>
          <w:sz w:val="24"/>
          <w:szCs w:val="24"/>
        </w:rPr>
        <w:t>110</w:t>
      </w:r>
      <w:r>
        <w:rPr>
          <w:sz w:val="24"/>
          <w:szCs w:val="24"/>
        </w:rPr>
        <w:t xml:space="preserve"> </w:t>
      </w:r>
      <w:r w:rsidRPr="004D607B">
        <w:rPr>
          <w:sz w:val="24"/>
          <w:szCs w:val="24"/>
        </w:rPr>
        <w:t>к</w:t>
      </w:r>
      <w:r>
        <w:rPr>
          <w:sz w:val="24"/>
          <w:szCs w:val="24"/>
        </w:rPr>
        <w:t>В</w:t>
      </w:r>
      <w:r w:rsidRPr="004D607B">
        <w:rPr>
          <w:sz w:val="24"/>
          <w:szCs w:val="24"/>
        </w:rPr>
        <w:t xml:space="preserve"> в </w:t>
      </w:r>
      <w:r>
        <w:rPr>
          <w:sz w:val="24"/>
          <w:szCs w:val="24"/>
        </w:rPr>
        <w:t>размере 1</w:t>
      </w:r>
      <w:r w:rsidR="004E5E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050 тыс. руб. в связи </w:t>
      </w:r>
      <w:r w:rsidRPr="004D607B">
        <w:rPr>
          <w:sz w:val="24"/>
          <w:szCs w:val="24"/>
        </w:rPr>
        <w:t>тем, что</w:t>
      </w:r>
      <w:r>
        <w:rPr>
          <w:sz w:val="24"/>
          <w:szCs w:val="24"/>
        </w:rPr>
        <w:t xml:space="preserve"> </w:t>
      </w:r>
      <w:r w:rsidRPr="004D607B">
        <w:rPr>
          <w:sz w:val="24"/>
          <w:szCs w:val="24"/>
        </w:rPr>
        <w:t>она состоит на учете.</w:t>
      </w:r>
    </w:p>
    <w:p w:rsidR="0056390B" w:rsidRPr="0056390B" w:rsidRDefault="00401E5C" w:rsidP="0056390B">
      <w:pPr>
        <w:suppressAutoHyphens/>
        <w:ind w:firstLine="567"/>
        <w:jc w:val="both"/>
        <w:rPr>
          <w:sz w:val="24"/>
          <w:szCs w:val="24"/>
        </w:rPr>
      </w:pPr>
      <w:proofErr w:type="gramStart"/>
      <w:r w:rsidRPr="00552585">
        <w:rPr>
          <w:sz w:val="24"/>
          <w:szCs w:val="24"/>
        </w:rPr>
        <w:t xml:space="preserve">Департамент отмечает, что </w:t>
      </w:r>
      <w:r w:rsidR="0056390B">
        <w:rPr>
          <w:sz w:val="24"/>
          <w:szCs w:val="24"/>
        </w:rPr>
        <w:t>р</w:t>
      </w:r>
      <w:r w:rsidR="0056390B" w:rsidRPr="0056390B">
        <w:rPr>
          <w:sz w:val="24"/>
          <w:szCs w:val="24"/>
        </w:rPr>
        <w:t xml:space="preserve">асходы на аренду объектов электросетевого хозяйства определены </w:t>
      </w:r>
      <w:r w:rsidR="004E5E46">
        <w:rPr>
          <w:sz w:val="24"/>
          <w:szCs w:val="24"/>
        </w:rPr>
        <w:t>Департаментом</w:t>
      </w:r>
      <w:r w:rsidR="0056390B" w:rsidRPr="0056390B">
        <w:rPr>
          <w:sz w:val="24"/>
          <w:szCs w:val="24"/>
        </w:rPr>
        <w:t xml:space="preserve"> в соответствии с требованиями пп. 5) п. 28 Основ ценообразования, согласно которому расходы на аренду объектов электросетевого хозяйства определяются регулирующим органом исходя из величины амортизации, налога на имущество, налогов и других установленных законодательством Российской Федерации обязательных платежей, связанных с владением имуществом, переданным в аренду.</w:t>
      </w:r>
      <w:proofErr w:type="gramEnd"/>
    </w:p>
    <w:p w:rsidR="00401E5C" w:rsidRPr="00552585" w:rsidRDefault="0056390B" w:rsidP="0056390B">
      <w:pPr>
        <w:suppressAutoHyphens/>
        <w:ind w:firstLine="567"/>
        <w:jc w:val="both"/>
        <w:rPr>
          <w:bCs/>
          <w:sz w:val="24"/>
          <w:szCs w:val="24"/>
        </w:rPr>
      </w:pPr>
      <w:r w:rsidRPr="0056390B">
        <w:rPr>
          <w:sz w:val="24"/>
          <w:szCs w:val="24"/>
        </w:rPr>
        <w:t>Для определения величины амортизации в составе арендной платы применены положе</w:t>
      </w:r>
      <w:r>
        <w:rPr>
          <w:sz w:val="24"/>
          <w:szCs w:val="24"/>
        </w:rPr>
        <w:t xml:space="preserve">ния п. 27 Основ ценообразования, </w:t>
      </w:r>
      <w:r w:rsidRPr="0056390B">
        <w:rPr>
          <w:sz w:val="24"/>
          <w:szCs w:val="24"/>
        </w:rPr>
        <w:t xml:space="preserve">а именно, </w:t>
      </w:r>
      <w:r w:rsidR="004E5E46">
        <w:rPr>
          <w:sz w:val="24"/>
          <w:szCs w:val="24"/>
        </w:rPr>
        <w:t xml:space="preserve">амортизация рассчитана </w:t>
      </w:r>
      <w:r w:rsidRPr="0056390B">
        <w:rPr>
          <w:sz w:val="24"/>
          <w:szCs w:val="24"/>
        </w:rPr>
        <w:t>как сумма отношений стоимости амортизируемых активов к сроку полезного использования таких активов. При этом срок полезного использования активов и отнесение активов к соответствующей амортизационной группе определены в соответствии с максимальными сроками полезного использования, установленными Классификацией основных средств, включаемых в амортизационные группы, утвержденной постановлением Правительства РФ от 01.01.2002 №1.</w:t>
      </w:r>
    </w:p>
    <w:p w:rsidR="00F24F21" w:rsidRPr="00552585" w:rsidRDefault="00D950BE" w:rsidP="00F24F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6390B">
        <w:rPr>
          <w:sz w:val="24"/>
          <w:szCs w:val="24"/>
        </w:rPr>
        <w:t xml:space="preserve">о вопросу </w:t>
      </w:r>
      <w:r w:rsidR="0056390B" w:rsidRPr="0056390B">
        <w:rPr>
          <w:sz w:val="24"/>
          <w:szCs w:val="24"/>
        </w:rPr>
        <w:t>исключени</w:t>
      </w:r>
      <w:r w:rsidR="0056390B">
        <w:rPr>
          <w:sz w:val="24"/>
          <w:szCs w:val="24"/>
        </w:rPr>
        <w:t>я</w:t>
      </w:r>
      <w:r>
        <w:rPr>
          <w:sz w:val="24"/>
          <w:szCs w:val="24"/>
        </w:rPr>
        <w:t xml:space="preserve"> из расчета амортизации </w:t>
      </w:r>
      <w:r w:rsidR="0056390B" w:rsidRPr="0056390B">
        <w:rPr>
          <w:sz w:val="24"/>
          <w:szCs w:val="24"/>
        </w:rPr>
        <w:t xml:space="preserve">основных средств линии электропередач ЛЭП 110 кВ </w:t>
      </w:r>
      <w:r w:rsidR="00F24F21" w:rsidRPr="00552585">
        <w:rPr>
          <w:sz w:val="24"/>
          <w:szCs w:val="24"/>
        </w:rPr>
        <w:t xml:space="preserve">Департамент отмечает, что при расчете плановых амортизационных отчислений на 2023 год исключены амортизационные отчисления на линию электропередач ЛЭП 110 кВ в размере 1 050 119,71 руб. в связи с вступлением в законную силу решения Арбитражного суда Ивановской области от 06.11.2020 по делу № А17-9175/2018 (на основании постановления </w:t>
      </w:r>
      <w:proofErr w:type="gramStart"/>
      <w:r w:rsidR="00F24F21" w:rsidRPr="00552585">
        <w:rPr>
          <w:sz w:val="24"/>
          <w:szCs w:val="24"/>
        </w:rPr>
        <w:t>Второго Арбитражного апелляционного суда 02.06.2021 г. по делу № А17-9175/2018) о признании отсутствующим право собственности АО «ПСК» на основную часть ЛЭП 110 кВ.</w:t>
      </w:r>
      <w:proofErr w:type="gramEnd"/>
    </w:p>
    <w:p w:rsidR="00F24F21" w:rsidRPr="00552585" w:rsidRDefault="00F24F21" w:rsidP="00F24F21">
      <w:pPr>
        <w:ind w:firstLine="567"/>
        <w:jc w:val="both"/>
        <w:rPr>
          <w:sz w:val="24"/>
          <w:szCs w:val="24"/>
        </w:rPr>
      </w:pPr>
      <w:r w:rsidRPr="00552585">
        <w:rPr>
          <w:sz w:val="24"/>
          <w:szCs w:val="24"/>
        </w:rPr>
        <w:t xml:space="preserve">Согласно п. 2.5.2. </w:t>
      </w:r>
      <w:proofErr w:type="gramStart"/>
      <w:r w:rsidRPr="00552585">
        <w:rPr>
          <w:sz w:val="24"/>
          <w:szCs w:val="24"/>
        </w:rPr>
        <w:t>Правил устройства электроустановок (Издание седьмое.</w:t>
      </w:r>
      <w:proofErr w:type="gramEnd"/>
      <w:r w:rsidRPr="00552585">
        <w:rPr>
          <w:sz w:val="24"/>
          <w:szCs w:val="24"/>
        </w:rPr>
        <w:t xml:space="preserve"> Раздел 2) воздушная линия электропередачи выше 1 кВ - устройство для передачи электроэнергии по проводам, расположенным на открытом воздухе и прикрепленным при помощи изолирующих конструкций и арматуры к опорам, несущим конструкциям, кронштейнам и стойкам на инженерных сооружениях (мостах, путепроводах и т.п.).</w:t>
      </w:r>
    </w:p>
    <w:p w:rsidR="00F24F21" w:rsidRPr="00552585" w:rsidRDefault="00F24F21" w:rsidP="00F24F21">
      <w:pPr>
        <w:ind w:firstLine="567"/>
        <w:jc w:val="both"/>
        <w:rPr>
          <w:sz w:val="24"/>
          <w:szCs w:val="24"/>
        </w:rPr>
      </w:pPr>
      <w:r w:rsidRPr="00552585">
        <w:rPr>
          <w:sz w:val="24"/>
          <w:szCs w:val="24"/>
        </w:rPr>
        <w:t xml:space="preserve">Объект недвижимости «Линия электропередачи ВЛ-110 кВ» с кадастровым номером 37:05:010427:1082, ранее зарегистрированная за АО «ПСК», согласно выписке из ЕГРН от 21.07.2020 г. имела протяженность 16 340 метров. В настоящее время объект недвижимости «Линия электропередачи ВЛ-110 кВ» с тем же кадастровым номером 37:05:010427:1082, зарегистрированная за АО «ПСК», согласно выписке из ЕГРН от 27.12.2021 г. имеет протяженность 260 метров. Департамент приходит к выводу, что важнейший физический параметр данной линии – ее протяженность значительно изменился в сторону уменьшения. </w:t>
      </w:r>
      <w:proofErr w:type="gramStart"/>
      <w:r w:rsidRPr="00552585">
        <w:rPr>
          <w:sz w:val="24"/>
          <w:szCs w:val="24"/>
        </w:rPr>
        <w:t>Поскольку часть целого не может иметь ту же стоимость, что и само целое, представленную в инвентарной карточке АО «ПСК» от 18.10.2022 г. № 357011717 первоначальную стоимость данного объекта (протяженностью 0,26 км) в сумме 52 505 985,60 руб. Департамент в расчет амортизационных отчислений не принимает и считает ее экономически необоснованной, поскольку та же самая стоимость этой линии указана и в представленной инвентарной</w:t>
      </w:r>
      <w:proofErr w:type="gramEnd"/>
      <w:r w:rsidRPr="00552585">
        <w:rPr>
          <w:sz w:val="24"/>
          <w:szCs w:val="24"/>
        </w:rPr>
        <w:t xml:space="preserve"> карточке </w:t>
      </w:r>
      <w:r w:rsidRPr="00552585">
        <w:rPr>
          <w:sz w:val="24"/>
          <w:szCs w:val="24"/>
        </w:rPr>
        <w:lastRenderedPageBreak/>
        <w:t>АО «ПСК» от 17.12.2021 № 357011717, то есть соответствующей стоимости той же линии, но протяженностью 16,34 км. Иных расчетов от заявителя в материалы тарифного дела не предоставлено.</w:t>
      </w:r>
    </w:p>
    <w:p w:rsidR="006B54D8" w:rsidRPr="00552585" w:rsidRDefault="006B54D8" w:rsidP="006B54D8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552585">
        <w:rPr>
          <w:bCs/>
          <w:sz w:val="24"/>
          <w:szCs w:val="24"/>
        </w:rPr>
        <w:t>Ассоциация «НП Совет рынка» в отношен</w:t>
      </w:r>
      <w:proofErr w:type="gramStart"/>
      <w:r w:rsidRPr="00552585">
        <w:rPr>
          <w:bCs/>
          <w:sz w:val="24"/>
          <w:szCs w:val="24"/>
        </w:rPr>
        <w:t xml:space="preserve">ии </w:t>
      </w:r>
      <w:r w:rsidR="00E40365" w:rsidRPr="00552585">
        <w:rPr>
          <w:bCs/>
          <w:sz w:val="24"/>
          <w:szCs w:val="24"/>
        </w:rPr>
        <w:t>А</w:t>
      </w:r>
      <w:r w:rsidRPr="00552585">
        <w:rPr>
          <w:bCs/>
          <w:sz w:val="24"/>
          <w:szCs w:val="24"/>
        </w:rPr>
        <w:t>О</w:t>
      </w:r>
      <w:proofErr w:type="gramEnd"/>
      <w:r w:rsidRPr="00552585">
        <w:rPr>
          <w:bCs/>
          <w:sz w:val="24"/>
          <w:szCs w:val="24"/>
        </w:rPr>
        <w:t xml:space="preserve"> «</w:t>
      </w:r>
      <w:r w:rsidR="00E40365" w:rsidRPr="00552585">
        <w:rPr>
          <w:bCs/>
          <w:sz w:val="24"/>
          <w:szCs w:val="24"/>
        </w:rPr>
        <w:t>П</w:t>
      </w:r>
      <w:r w:rsidRPr="00552585">
        <w:rPr>
          <w:bCs/>
          <w:sz w:val="24"/>
          <w:szCs w:val="24"/>
        </w:rPr>
        <w:t>СК» голосует по данному вопросу «против», так как:</w:t>
      </w:r>
    </w:p>
    <w:p w:rsidR="0056390B" w:rsidRPr="0056390B" w:rsidRDefault="0056390B" w:rsidP="0056390B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 w:rsidRPr="0056390B">
        <w:rPr>
          <w:rFonts w:eastAsia="Calibri"/>
          <w:bCs/>
          <w:sz w:val="24"/>
          <w:szCs w:val="24"/>
          <w:lang w:eastAsia="en-GB"/>
        </w:rPr>
        <w:tab/>
        <w:t>в экспертном заключении не указано судебное решение, на основании которого из состава НВВ на 2024 г. исключается избыток средств по оплате услуг ПАО «Россети», полученный в предыдущем периоде регулирования;</w:t>
      </w:r>
    </w:p>
    <w:p w:rsidR="0056390B" w:rsidRPr="0056390B" w:rsidRDefault="0056390B" w:rsidP="0056390B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 w:rsidRPr="0056390B">
        <w:rPr>
          <w:rFonts w:eastAsia="Calibri"/>
          <w:bCs/>
          <w:sz w:val="24"/>
          <w:szCs w:val="24"/>
          <w:lang w:eastAsia="en-GB"/>
        </w:rPr>
        <w:tab/>
        <w:t>в представленных материалах отсутствует расчет фактического среднегодового количества условных единиц за 2021 г., расчет фактического среднегодового количества условных единиц за 2022 и на 2024 г. выполнен исходя из 13 месяцев;</w:t>
      </w:r>
    </w:p>
    <w:p w:rsidR="0056390B" w:rsidRDefault="0056390B" w:rsidP="0056390B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 w:rsidRPr="0056390B">
        <w:rPr>
          <w:rFonts w:eastAsia="Calibri"/>
          <w:bCs/>
          <w:sz w:val="24"/>
          <w:szCs w:val="24"/>
          <w:lang w:eastAsia="en-GB"/>
        </w:rPr>
        <w:tab/>
        <w:t>в экспертном заключении отсутствует информация, что собственник объектов электросетевого хозяйства, переданным АО «ПСК» по договорам аренды, не является единственным потребителем услуг по передаче электрической энергии.</w:t>
      </w:r>
    </w:p>
    <w:p w:rsidR="00552585" w:rsidRDefault="006B54D8" w:rsidP="006B54D8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 w:rsidRPr="00552585">
        <w:rPr>
          <w:rFonts w:eastAsia="Calibri"/>
          <w:bCs/>
          <w:sz w:val="24"/>
          <w:szCs w:val="24"/>
          <w:lang w:eastAsia="en-GB"/>
        </w:rPr>
        <w:t>Департамент отмечает следующее</w:t>
      </w:r>
      <w:r w:rsidR="00552585" w:rsidRPr="00552585">
        <w:rPr>
          <w:rFonts w:eastAsia="Calibri"/>
          <w:bCs/>
          <w:sz w:val="24"/>
          <w:szCs w:val="24"/>
          <w:lang w:eastAsia="en-GB"/>
        </w:rPr>
        <w:t>.</w:t>
      </w:r>
    </w:p>
    <w:p w:rsidR="0056390B" w:rsidRDefault="0056390B" w:rsidP="006B54D8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>
        <w:rPr>
          <w:rFonts w:eastAsia="Calibri"/>
          <w:bCs/>
          <w:sz w:val="24"/>
          <w:szCs w:val="24"/>
          <w:lang w:eastAsia="en-GB"/>
        </w:rPr>
        <w:t>Избыток средств по оплате услуг ПАО «Россети»</w:t>
      </w:r>
      <w:r w:rsidR="007C653E">
        <w:rPr>
          <w:rFonts w:eastAsia="Calibri"/>
          <w:bCs/>
          <w:sz w:val="24"/>
          <w:szCs w:val="24"/>
          <w:lang w:eastAsia="en-GB"/>
        </w:rPr>
        <w:t>,</w:t>
      </w:r>
      <w:r w:rsidR="00795CDE">
        <w:rPr>
          <w:rFonts w:eastAsia="Calibri"/>
          <w:bCs/>
          <w:sz w:val="24"/>
          <w:szCs w:val="24"/>
          <w:lang w:eastAsia="en-GB"/>
        </w:rPr>
        <w:t xml:space="preserve"> полученный АО «ПСК» в 2021 г. исключен из состава НВВ </w:t>
      </w:r>
      <w:r w:rsidR="007C653E">
        <w:rPr>
          <w:rFonts w:eastAsia="Calibri"/>
          <w:bCs/>
          <w:sz w:val="24"/>
          <w:szCs w:val="24"/>
          <w:lang w:eastAsia="en-GB"/>
        </w:rPr>
        <w:t xml:space="preserve">АО «ПСК» </w:t>
      </w:r>
      <w:r w:rsidR="00795CDE">
        <w:rPr>
          <w:rFonts w:eastAsia="Calibri"/>
          <w:bCs/>
          <w:sz w:val="24"/>
          <w:szCs w:val="24"/>
          <w:lang w:eastAsia="en-GB"/>
        </w:rPr>
        <w:t xml:space="preserve">на 2024 год не на основании решения суда, а при установлении НВВ на 2023 год в рамках корректировки </w:t>
      </w:r>
      <w:r w:rsidR="00795CDE" w:rsidRPr="00795CDE">
        <w:rPr>
          <w:rFonts w:eastAsia="Calibri"/>
          <w:bCs/>
          <w:sz w:val="24"/>
          <w:szCs w:val="24"/>
          <w:lang w:eastAsia="en-GB"/>
        </w:rPr>
        <w:t xml:space="preserve">неподконтрольных расходов 2021 года, исходя из фактических значений указанного параметра, </w:t>
      </w:r>
      <w:r w:rsidR="00795CDE">
        <w:rPr>
          <w:rFonts w:eastAsia="Calibri"/>
          <w:bCs/>
          <w:sz w:val="24"/>
          <w:szCs w:val="24"/>
          <w:lang w:eastAsia="en-GB"/>
        </w:rPr>
        <w:t xml:space="preserve">по </w:t>
      </w:r>
      <w:r w:rsidR="00795CDE" w:rsidRPr="00795CDE">
        <w:rPr>
          <w:rFonts w:eastAsia="Calibri"/>
          <w:bCs/>
          <w:sz w:val="24"/>
          <w:szCs w:val="24"/>
          <w:lang w:eastAsia="en-GB"/>
        </w:rPr>
        <w:t>формул</w:t>
      </w:r>
      <w:r w:rsidR="00795CDE">
        <w:rPr>
          <w:rFonts w:eastAsia="Calibri"/>
          <w:bCs/>
          <w:sz w:val="24"/>
          <w:szCs w:val="24"/>
          <w:lang w:eastAsia="en-GB"/>
        </w:rPr>
        <w:t>е</w:t>
      </w:r>
      <w:r w:rsidR="00795CDE" w:rsidRPr="00795CDE">
        <w:rPr>
          <w:rFonts w:eastAsia="Calibri"/>
          <w:bCs/>
          <w:sz w:val="24"/>
          <w:szCs w:val="24"/>
          <w:lang w:eastAsia="en-GB"/>
        </w:rPr>
        <w:t xml:space="preserve"> 7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</w:t>
      </w:r>
      <w:r w:rsidR="00795CDE">
        <w:rPr>
          <w:rFonts w:eastAsia="Calibri"/>
          <w:bCs/>
          <w:sz w:val="24"/>
          <w:szCs w:val="24"/>
          <w:lang w:eastAsia="en-GB"/>
        </w:rPr>
        <w:t xml:space="preserve">, утвержденных </w:t>
      </w:r>
      <w:r w:rsidR="00795CDE" w:rsidRPr="00795CDE">
        <w:rPr>
          <w:rFonts w:eastAsia="Calibri"/>
          <w:bCs/>
          <w:sz w:val="24"/>
          <w:szCs w:val="24"/>
          <w:lang w:eastAsia="en-GB"/>
        </w:rPr>
        <w:t>приказ</w:t>
      </w:r>
      <w:r w:rsidR="00795CDE">
        <w:rPr>
          <w:rFonts w:eastAsia="Calibri"/>
          <w:bCs/>
          <w:sz w:val="24"/>
          <w:szCs w:val="24"/>
          <w:lang w:eastAsia="en-GB"/>
        </w:rPr>
        <w:t>ом</w:t>
      </w:r>
      <w:r w:rsidR="00795CDE" w:rsidRPr="00795CDE">
        <w:rPr>
          <w:rFonts w:eastAsia="Calibri"/>
          <w:bCs/>
          <w:sz w:val="24"/>
          <w:szCs w:val="24"/>
          <w:lang w:eastAsia="en-GB"/>
        </w:rPr>
        <w:t xml:space="preserve"> Федеральной службы по тарифам от 17.02.2012г. №</w:t>
      </w:r>
      <w:r w:rsidR="00795CDE">
        <w:rPr>
          <w:rFonts w:eastAsia="Calibri"/>
          <w:bCs/>
          <w:sz w:val="24"/>
          <w:szCs w:val="24"/>
          <w:lang w:eastAsia="en-GB"/>
        </w:rPr>
        <w:t> </w:t>
      </w:r>
      <w:r w:rsidR="00795CDE" w:rsidRPr="00795CDE">
        <w:rPr>
          <w:rFonts w:eastAsia="Calibri"/>
          <w:bCs/>
          <w:sz w:val="24"/>
          <w:szCs w:val="24"/>
          <w:lang w:eastAsia="en-GB"/>
        </w:rPr>
        <w:t>98-э</w:t>
      </w:r>
      <w:r w:rsidR="007B43DE">
        <w:rPr>
          <w:rFonts w:eastAsia="Calibri"/>
          <w:bCs/>
          <w:sz w:val="24"/>
          <w:szCs w:val="24"/>
          <w:lang w:eastAsia="en-GB"/>
        </w:rPr>
        <w:t xml:space="preserve"> (далее – Методические указания № 98-э)</w:t>
      </w:r>
      <w:r w:rsidR="00795CDE">
        <w:rPr>
          <w:rFonts w:eastAsia="Calibri"/>
          <w:bCs/>
          <w:sz w:val="24"/>
          <w:szCs w:val="24"/>
          <w:lang w:eastAsia="en-GB"/>
        </w:rPr>
        <w:t xml:space="preserve">. </w:t>
      </w:r>
      <w:r w:rsidR="00795CDE" w:rsidRPr="00795CDE">
        <w:rPr>
          <w:rFonts w:eastAsia="Calibri"/>
          <w:bCs/>
          <w:sz w:val="24"/>
          <w:szCs w:val="24"/>
          <w:lang w:eastAsia="en-GB"/>
        </w:rPr>
        <w:t xml:space="preserve">Учитывая, что </w:t>
      </w:r>
      <w:r w:rsidR="00795CDE">
        <w:rPr>
          <w:rFonts w:eastAsia="Calibri"/>
          <w:bCs/>
          <w:sz w:val="24"/>
          <w:szCs w:val="24"/>
          <w:lang w:eastAsia="en-GB"/>
        </w:rPr>
        <w:t xml:space="preserve">указанная корректировка значительно превысила планируемую </w:t>
      </w:r>
      <w:r w:rsidR="00795CDE" w:rsidRPr="00795CDE">
        <w:rPr>
          <w:rFonts w:eastAsia="Calibri"/>
          <w:bCs/>
          <w:sz w:val="24"/>
          <w:szCs w:val="24"/>
          <w:lang w:eastAsia="en-GB"/>
        </w:rPr>
        <w:t xml:space="preserve">НВВ </w:t>
      </w:r>
      <w:r w:rsidR="00795CDE">
        <w:rPr>
          <w:rFonts w:eastAsia="Calibri"/>
          <w:bCs/>
          <w:sz w:val="24"/>
          <w:szCs w:val="24"/>
          <w:lang w:eastAsia="en-GB"/>
        </w:rPr>
        <w:t xml:space="preserve">на 2023 год, а НВВ </w:t>
      </w:r>
      <w:r w:rsidR="00795CDE" w:rsidRPr="00795CDE">
        <w:rPr>
          <w:rFonts w:eastAsia="Calibri"/>
          <w:bCs/>
          <w:sz w:val="24"/>
          <w:szCs w:val="24"/>
          <w:lang w:eastAsia="en-GB"/>
        </w:rPr>
        <w:t xml:space="preserve">не может принимать отрицательных значений, </w:t>
      </w:r>
      <w:r w:rsidR="007C653E">
        <w:rPr>
          <w:rFonts w:eastAsia="Calibri"/>
          <w:bCs/>
          <w:sz w:val="24"/>
          <w:szCs w:val="24"/>
          <w:lang w:eastAsia="en-GB"/>
        </w:rPr>
        <w:t>Департаментом предложено</w:t>
      </w:r>
      <w:r w:rsidR="00795CDE" w:rsidRPr="00795CDE">
        <w:rPr>
          <w:rFonts w:eastAsia="Calibri"/>
          <w:bCs/>
          <w:sz w:val="24"/>
          <w:szCs w:val="24"/>
          <w:lang w:eastAsia="en-GB"/>
        </w:rPr>
        <w:t xml:space="preserve"> учесть часть отрицательной корректировки неподконтрольных расходов 2021 года от общей суммы</w:t>
      </w:r>
      <w:r w:rsidR="00795CDE">
        <w:rPr>
          <w:rFonts w:eastAsia="Calibri"/>
          <w:bCs/>
          <w:sz w:val="24"/>
          <w:szCs w:val="24"/>
          <w:lang w:eastAsia="en-GB"/>
        </w:rPr>
        <w:t xml:space="preserve"> </w:t>
      </w:r>
      <w:r w:rsidR="007C653E">
        <w:rPr>
          <w:rFonts w:eastAsia="Calibri"/>
          <w:bCs/>
          <w:sz w:val="24"/>
          <w:szCs w:val="24"/>
          <w:lang w:eastAsia="en-GB"/>
        </w:rPr>
        <w:t xml:space="preserve">                 </w:t>
      </w:r>
      <w:r w:rsidR="00795CDE" w:rsidRPr="00795CDE">
        <w:rPr>
          <w:rFonts w:eastAsia="Calibri"/>
          <w:bCs/>
          <w:sz w:val="24"/>
          <w:szCs w:val="24"/>
          <w:lang w:eastAsia="en-GB"/>
        </w:rPr>
        <w:t>(-117 880,89) тыс. руб. в течение последующих периодов регулирования</w:t>
      </w:r>
      <w:r w:rsidR="00795CDE">
        <w:rPr>
          <w:rFonts w:eastAsia="Calibri"/>
          <w:bCs/>
          <w:sz w:val="24"/>
          <w:szCs w:val="24"/>
          <w:lang w:eastAsia="en-GB"/>
        </w:rPr>
        <w:t>, что отражено в экспертном заключении от 28.10.2022 г.</w:t>
      </w:r>
    </w:p>
    <w:p w:rsidR="007B43DE" w:rsidRDefault="007B43DE" w:rsidP="006B54D8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>
        <w:rPr>
          <w:rFonts w:eastAsia="Calibri"/>
          <w:bCs/>
          <w:sz w:val="24"/>
          <w:szCs w:val="24"/>
          <w:lang w:eastAsia="en-GB"/>
        </w:rPr>
        <w:t>Р</w:t>
      </w:r>
      <w:r w:rsidRPr="0056390B">
        <w:rPr>
          <w:rFonts w:eastAsia="Calibri"/>
          <w:bCs/>
          <w:sz w:val="24"/>
          <w:szCs w:val="24"/>
          <w:lang w:eastAsia="en-GB"/>
        </w:rPr>
        <w:t>асчет фактического среднегодового количества условных единиц за 2021 г</w:t>
      </w:r>
      <w:r>
        <w:rPr>
          <w:rFonts w:eastAsia="Calibri"/>
          <w:bCs/>
          <w:sz w:val="24"/>
          <w:szCs w:val="24"/>
          <w:lang w:eastAsia="en-GB"/>
        </w:rPr>
        <w:t xml:space="preserve"> не производился, поскольку имеется расчет </w:t>
      </w:r>
      <w:r w:rsidRPr="0056390B">
        <w:rPr>
          <w:rFonts w:eastAsia="Calibri"/>
          <w:bCs/>
          <w:sz w:val="24"/>
          <w:szCs w:val="24"/>
          <w:lang w:eastAsia="en-GB"/>
        </w:rPr>
        <w:t xml:space="preserve">фактического количества условных единиц за </w:t>
      </w:r>
      <w:r w:rsidR="007F590B">
        <w:rPr>
          <w:rFonts w:eastAsia="Calibri"/>
          <w:bCs/>
          <w:sz w:val="24"/>
          <w:szCs w:val="24"/>
          <w:lang w:eastAsia="en-GB"/>
        </w:rPr>
        <w:t xml:space="preserve">2020 и </w:t>
      </w:r>
      <w:r w:rsidRPr="0056390B">
        <w:rPr>
          <w:rFonts w:eastAsia="Calibri"/>
          <w:bCs/>
          <w:sz w:val="24"/>
          <w:szCs w:val="24"/>
          <w:lang w:eastAsia="en-GB"/>
        </w:rPr>
        <w:t>2021</w:t>
      </w:r>
      <w:r w:rsidR="007F590B">
        <w:rPr>
          <w:rFonts w:eastAsia="Calibri"/>
          <w:bCs/>
          <w:sz w:val="24"/>
          <w:szCs w:val="24"/>
          <w:lang w:eastAsia="en-GB"/>
        </w:rPr>
        <w:t xml:space="preserve"> гг.</w:t>
      </w:r>
      <w:r>
        <w:rPr>
          <w:rFonts w:eastAsia="Calibri"/>
          <w:bCs/>
          <w:sz w:val="24"/>
          <w:szCs w:val="24"/>
          <w:lang w:eastAsia="en-GB"/>
        </w:rPr>
        <w:t>, в котор</w:t>
      </w:r>
      <w:r w:rsidR="007F590B">
        <w:rPr>
          <w:rFonts w:eastAsia="Calibri"/>
          <w:bCs/>
          <w:sz w:val="24"/>
          <w:szCs w:val="24"/>
          <w:lang w:eastAsia="en-GB"/>
        </w:rPr>
        <w:t>ых</w:t>
      </w:r>
      <w:r>
        <w:rPr>
          <w:rFonts w:eastAsia="Calibri"/>
          <w:bCs/>
          <w:sz w:val="24"/>
          <w:szCs w:val="24"/>
          <w:lang w:eastAsia="en-GB"/>
        </w:rPr>
        <w:t xml:space="preserve"> указано, что вводов </w:t>
      </w:r>
      <w:r w:rsidR="007C653E">
        <w:rPr>
          <w:rFonts w:eastAsia="Calibri"/>
          <w:bCs/>
          <w:sz w:val="24"/>
          <w:szCs w:val="24"/>
          <w:lang w:eastAsia="en-GB"/>
        </w:rPr>
        <w:t>и выводов</w:t>
      </w:r>
      <w:r>
        <w:rPr>
          <w:rFonts w:eastAsia="Calibri"/>
          <w:bCs/>
          <w:sz w:val="24"/>
          <w:szCs w:val="24"/>
          <w:lang w:eastAsia="en-GB"/>
        </w:rPr>
        <w:t xml:space="preserve"> активов в </w:t>
      </w:r>
      <w:r w:rsidR="007F590B">
        <w:rPr>
          <w:rFonts w:eastAsia="Calibri"/>
          <w:bCs/>
          <w:sz w:val="24"/>
          <w:szCs w:val="24"/>
          <w:lang w:eastAsia="en-GB"/>
        </w:rPr>
        <w:t>конце</w:t>
      </w:r>
      <w:r>
        <w:rPr>
          <w:rFonts w:eastAsia="Calibri"/>
          <w:bCs/>
          <w:sz w:val="24"/>
          <w:szCs w:val="24"/>
          <w:lang w:eastAsia="en-GB"/>
        </w:rPr>
        <w:t xml:space="preserve"> </w:t>
      </w:r>
      <w:r w:rsidR="007C653E">
        <w:rPr>
          <w:rFonts w:eastAsia="Calibri"/>
          <w:bCs/>
          <w:sz w:val="24"/>
          <w:szCs w:val="24"/>
          <w:lang w:eastAsia="en-GB"/>
        </w:rPr>
        <w:t xml:space="preserve">2020 года </w:t>
      </w:r>
      <w:r w:rsidR="009733A5">
        <w:rPr>
          <w:rFonts w:eastAsia="Calibri"/>
          <w:bCs/>
          <w:sz w:val="24"/>
          <w:szCs w:val="24"/>
          <w:lang w:eastAsia="en-GB"/>
        </w:rPr>
        <w:t xml:space="preserve">и в течение января-ноября </w:t>
      </w:r>
      <w:r>
        <w:rPr>
          <w:rFonts w:eastAsia="Calibri"/>
          <w:bCs/>
          <w:sz w:val="24"/>
          <w:szCs w:val="24"/>
          <w:lang w:eastAsia="en-GB"/>
        </w:rPr>
        <w:t>2021 года АО «ПСК» не производило.</w:t>
      </w:r>
      <w:r w:rsidR="009733A5" w:rsidRPr="009733A5">
        <w:t xml:space="preserve"> </w:t>
      </w:r>
      <w:r w:rsidR="009733A5">
        <w:t>У</w:t>
      </w:r>
      <w:r w:rsidR="009733A5" w:rsidRPr="009733A5">
        <w:rPr>
          <w:rFonts w:eastAsia="Calibri"/>
          <w:bCs/>
          <w:sz w:val="24"/>
          <w:szCs w:val="24"/>
          <w:lang w:eastAsia="en-GB"/>
        </w:rPr>
        <w:t>трата права</w:t>
      </w:r>
      <w:r w:rsidR="009733A5">
        <w:rPr>
          <w:rFonts w:eastAsia="Calibri"/>
          <w:bCs/>
          <w:sz w:val="24"/>
          <w:szCs w:val="24"/>
          <w:lang w:eastAsia="en-GB"/>
        </w:rPr>
        <w:t xml:space="preserve"> собственности на часть ВЛ-110 с 09.12.2021 </w:t>
      </w:r>
      <w:r w:rsidR="009733A5" w:rsidRPr="009733A5">
        <w:rPr>
          <w:rFonts w:eastAsia="Calibri"/>
          <w:bCs/>
          <w:sz w:val="24"/>
          <w:szCs w:val="24"/>
          <w:lang w:eastAsia="en-GB"/>
        </w:rPr>
        <w:t>уч</w:t>
      </w:r>
      <w:r w:rsidR="009733A5">
        <w:rPr>
          <w:rFonts w:eastAsia="Calibri"/>
          <w:bCs/>
          <w:sz w:val="24"/>
          <w:szCs w:val="24"/>
          <w:lang w:eastAsia="en-GB"/>
        </w:rPr>
        <w:t>тена в расчете среднегодового количества условных единиц</w:t>
      </w:r>
      <w:r w:rsidR="009733A5" w:rsidRPr="009733A5">
        <w:rPr>
          <w:rFonts w:eastAsia="Calibri"/>
          <w:bCs/>
          <w:sz w:val="24"/>
          <w:szCs w:val="24"/>
          <w:lang w:eastAsia="en-GB"/>
        </w:rPr>
        <w:t xml:space="preserve"> </w:t>
      </w:r>
      <w:r w:rsidR="009733A5">
        <w:rPr>
          <w:rFonts w:eastAsia="Calibri"/>
          <w:bCs/>
          <w:sz w:val="24"/>
          <w:szCs w:val="24"/>
          <w:lang w:eastAsia="en-GB"/>
        </w:rPr>
        <w:t>за 2022 год с 01.01.2022.</w:t>
      </w:r>
    </w:p>
    <w:p w:rsidR="007B43DE" w:rsidRPr="007B43DE" w:rsidRDefault="007B43DE" w:rsidP="007B43DE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>
        <w:rPr>
          <w:rFonts w:eastAsia="Calibri"/>
          <w:bCs/>
          <w:sz w:val="24"/>
          <w:szCs w:val="24"/>
          <w:lang w:eastAsia="en-GB"/>
        </w:rPr>
        <w:t>Р</w:t>
      </w:r>
      <w:r w:rsidRPr="007B43DE">
        <w:rPr>
          <w:rFonts w:eastAsia="Calibri"/>
          <w:bCs/>
          <w:sz w:val="24"/>
          <w:szCs w:val="24"/>
          <w:lang w:eastAsia="en-GB"/>
        </w:rPr>
        <w:t xml:space="preserve">асчет фактического среднегодового количества условных единиц за 2022 и на 2024 г. выполнен Департаментом </w:t>
      </w:r>
      <w:r>
        <w:rPr>
          <w:rFonts w:eastAsia="Calibri"/>
          <w:bCs/>
          <w:sz w:val="24"/>
          <w:szCs w:val="24"/>
          <w:lang w:eastAsia="en-GB"/>
        </w:rPr>
        <w:t>в соответствии с положениями п. 11(1) Методически</w:t>
      </w:r>
      <w:r w:rsidR="007F590B">
        <w:rPr>
          <w:rFonts w:eastAsia="Calibri"/>
          <w:bCs/>
          <w:sz w:val="24"/>
          <w:szCs w:val="24"/>
          <w:lang w:eastAsia="en-GB"/>
        </w:rPr>
        <w:t>х</w:t>
      </w:r>
      <w:r>
        <w:rPr>
          <w:rFonts w:eastAsia="Calibri"/>
          <w:bCs/>
          <w:sz w:val="24"/>
          <w:szCs w:val="24"/>
          <w:lang w:eastAsia="en-GB"/>
        </w:rPr>
        <w:t xml:space="preserve"> указани</w:t>
      </w:r>
      <w:r w:rsidR="007F590B">
        <w:rPr>
          <w:rFonts w:eastAsia="Calibri"/>
          <w:bCs/>
          <w:sz w:val="24"/>
          <w:szCs w:val="24"/>
          <w:lang w:eastAsia="en-GB"/>
        </w:rPr>
        <w:t>й</w:t>
      </w:r>
      <w:r>
        <w:rPr>
          <w:rFonts w:eastAsia="Calibri"/>
          <w:bCs/>
          <w:sz w:val="24"/>
          <w:szCs w:val="24"/>
          <w:lang w:eastAsia="en-GB"/>
        </w:rPr>
        <w:t xml:space="preserve"> № 98-э: </w:t>
      </w:r>
      <w:r w:rsidRPr="007B43DE">
        <w:rPr>
          <w:rFonts w:eastAsia="Calibri"/>
          <w:bCs/>
          <w:i/>
          <w:sz w:val="24"/>
          <w:szCs w:val="24"/>
          <w:lang w:eastAsia="en-GB"/>
        </w:rPr>
        <w:t xml:space="preserve">«Среднегодовое (среднее за 12 месяцев) количество условных единиц определяется как частное от деления суммы, полученной в результате сложения количества условных </w:t>
      </w:r>
      <w:proofErr w:type="gramStart"/>
      <w:r w:rsidRPr="007B43DE">
        <w:rPr>
          <w:rFonts w:eastAsia="Calibri"/>
          <w:bCs/>
          <w:i/>
          <w:sz w:val="24"/>
          <w:szCs w:val="24"/>
          <w:lang w:eastAsia="en-GB"/>
        </w:rPr>
        <w:t>единиц</w:t>
      </w:r>
      <w:proofErr w:type="gramEnd"/>
      <w:r w:rsidRPr="007B43DE">
        <w:rPr>
          <w:rFonts w:eastAsia="Calibri"/>
          <w:bCs/>
          <w:i/>
          <w:sz w:val="24"/>
          <w:szCs w:val="24"/>
          <w:lang w:eastAsia="en-GB"/>
        </w:rPr>
        <w:t xml:space="preserve"> на первое число каждого месяца регулируемого периода (финансового года) и последнее число регулируемого периода, на количество месяцев в году, увеличенное на единицу.»</w:t>
      </w:r>
    </w:p>
    <w:p w:rsidR="007B43DE" w:rsidRPr="00552585" w:rsidRDefault="007B43DE" w:rsidP="007B43DE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 w:rsidRPr="007B43DE">
        <w:rPr>
          <w:rFonts w:eastAsia="Calibri"/>
          <w:bCs/>
          <w:sz w:val="24"/>
          <w:szCs w:val="24"/>
          <w:lang w:eastAsia="en-GB"/>
        </w:rPr>
        <w:t>Таким образом</w:t>
      </w:r>
      <w:r w:rsidR="00DD6F6B">
        <w:rPr>
          <w:rFonts w:eastAsia="Calibri"/>
          <w:bCs/>
          <w:sz w:val="24"/>
          <w:szCs w:val="24"/>
          <w:lang w:eastAsia="en-GB"/>
        </w:rPr>
        <w:t>,</w:t>
      </w:r>
      <w:r w:rsidR="00DD6F6B" w:rsidRPr="00DD6F6B">
        <w:rPr>
          <w:rFonts w:eastAsia="Calibri"/>
          <w:bCs/>
          <w:sz w:val="24"/>
          <w:szCs w:val="24"/>
          <w:lang w:eastAsia="en-GB"/>
        </w:rPr>
        <w:t xml:space="preserve"> </w:t>
      </w:r>
      <w:r w:rsidR="00DD6F6B">
        <w:rPr>
          <w:rFonts w:eastAsia="Calibri"/>
          <w:bCs/>
          <w:sz w:val="24"/>
          <w:szCs w:val="24"/>
          <w:lang w:eastAsia="en-GB"/>
        </w:rPr>
        <w:t xml:space="preserve">расчет произведен не </w:t>
      </w:r>
      <w:r w:rsidR="00DD6F6B" w:rsidRPr="007B43DE">
        <w:rPr>
          <w:rFonts w:eastAsia="Calibri"/>
          <w:bCs/>
          <w:sz w:val="24"/>
          <w:szCs w:val="24"/>
          <w:lang w:eastAsia="en-GB"/>
        </w:rPr>
        <w:t>исходя из 13 месяцев</w:t>
      </w:r>
      <w:r w:rsidRPr="007B43DE">
        <w:rPr>
          <w:rFonts w:eastAsia="Calibri"/>
          <w:bCs/>
          <w:sz w:val="24"/>
          <w:szCs w:val="24"/>
          <w:lang w:eastAsia="en-GB"/>
        </w:rPr>
        <w:t xml:space="preserve">, </w:t>
      </w:r>
      <w:r w:rsidR="00DD6F6B">
        <w:rPr>
          <w:rFonts w:eastAsia="Calibri"/>
          <w:bCs/>
          <w:sz w:val="24"/>
          <w:szCs w:val="24"/>
          <w:lang w:eastAsia="en-GB"/>
        </w:rPr>
        <w:t>а исходя из</w:t>
      </w:r>
      <w:r w:rsidRPr="007B43DE">
        <w:rPr>
          <w:rFonts w:eastAsia="Calibri"/>
          <w:bCs/>
          <w:sz w:val="24"/>
          <w:szCs w:val="24"/>
          <w:lang w:eastAsia="en-GB"/>
        </w:rPr>
        <w:t xml:space="preserve"> 13 периодов (на: 01.01, 01.02, 01.03, 01.04, 01.05, 01.06, 01.07, 01.08, 01.</w:t>
      </w:r>
      <w:r w:rsidR="007F590B">
        <w:rPr>
          <w:rFonts w:eastAsia="Calibri"/>
          <w:bCs/>
          <w:sz w:val="24"/>
          <w:szCs w:val="24"/>
          <w:lang w:eastAsia="en-GB"/>
        </w:rPr>
        <w:t>09, 01.10, 01.11, 01.12, 31.12),</w:t>
      </w:r>
      <w:r w:rsidRPr="007B43DE">
        <w:rPr>
          <w:rFonts w:eastAsia="Calibri"/>
          <w:bCs/>
          <w:sz w:val="24"/>
          <w:szCs w:val="24"/>
          <w:lang w:eastAsia="en-GB"/>
        </w:rPr>
        <w:t xml:space="preserve"> </w:t>
      </w:r>
      <w:r w:rsidR="00DD6F6B" w:rsidRPr="007B43DE">
        <w:rPr>
          <w:rFonts w:eastAsia="Calibri"/>
          <w:bCs/>
          <w:sz w:val="24"/>
          <w:szCs w:val="24"/>
          <w:lang w:eastAsia="en-GB"/>
        </w:rPr>
        <w:t xml:space="preserve">которые </w:t>
      </w:r>
      <w:r w:rsidR="00DD6F6B">
        <w:rPr>
          <w:rFonts w:eastAsia="Calibri"/>
          <w:bCs/>
          <w:sz w:val="24"/>
          <w:szCs w:val="24"/>
          <w:lang w:eastAsia="en-GB"/>
        </w:rPr>
        <w:t>в полном соответствии с Методическими указаниями № 98-э входят</w:t>
      </w:r>
      <w:r w:rsidR="00DD6F6B" w:rsidRPr="007B43DE">
        <w:rPr>
          <w:rFonts w:eastAsia="Calibri"/>
          <w:bCs/>
          <w:sz w:val="24"/>
          <w:szCs w:val="24"/>
          <w:lang w:eastAsia="en-GB"/>
        </w:rPr>
        <w:t xml:space="preserve"> в расчет среднегодово</w:t>
      </w:r>
      <w:r w:rsidR="00DD6F6B">
        <w:rPr>
          <w:rFonts w:eastAsia="Calibri"/>
          <w:bCs/>
          <w:sz w:val="24"/>
          <w:szCs w:val="24"/>
          <w:lang w:eastAsia="en-GB"/>
        </w:rPr>
        <w:t>го</w:t>
      </w:r>
      <w:r w:rsidR="00DD6F6B" w:rsidRPr="007B43DE">
        <w:rPr>
          <w:rFonts w:eastAsia="Calibri"/>
          <w:bCs/>
          <w:sz w:val="24"/>
          <w:szCs w:val="24"/>
          <w:lang w:eastAsia="en-GB"/>
        </w:rPr>
        <w:t xml:space="preserve"> </w:t>
      </w:r>
      <w:r w:rsidR="00DD6F6B">
        <w:rPr>
          <w:rFonts w:eastAsia="Calibri"/>
          <w:bCs/>
          <w:sz w:val="24"/>
          <w:szCs w:val="24"/>
          <w:lang w:eastAsia="en-GB"/>
        </w:rPr>
        <w:t>количества условных единиц</w:t>
      </w:r>
      <w:r w:rsidRPr="007B43DE">
        <w:rPr>
          <w:rFonts w:eastAsia="Calibri"/>
          <w:bCs/>
          <w:sz w:val="24"/>
          <w:szCs w:val="24"/>
          <w:lang w:eastAsia="en-GB"/>
        </w:rPr>
        <w:t>.</w:t>
      </w:r>
    </w:p>
    <w:p w:rsidR="00DD6F6B" w:rsidRPr="00DD6F6B" w:rsidRDefault="00DD6F6B" w:rsidP="00DD6F6B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 w:rsidRPr="00DD6F6B">
        <w:rPr>
          <w:rFonts w:eastAsia="Calibri"/>
          <w:bCs/>
          <w:sz w:val="24"/>
          <w:szCs w:val="24"/>
          <w:lang w:eastAsia="en-GB"/>
        </w:rPr>
        <w:t>У АО «ПСК» отсутствуют объекты электросетевого хозяйства, собственник которых является единственным потребителем услуг по передаче электрической энергии, оказываемых с использованием указанных объектов электросетевого хозяйства.</w:t>
      </w:r>
      <w:r>
        <w:rPr>
          <w:rFonts w:eastAsia="Calibri"/>
          <w:bCs/>
          <w:sz w:val="24"/>
          <w:szCs w:val="24"/>
          <w:lang w:eastAsia="en-GB"/>
        </w:rPr>
        <w:t xml:space="preserve"> Указанная информация добавлена в экспертное заключение.</w:t>
      </w:r>
    </w:p>
    <w:p w:rsidR="006B54D8" w:rsidRPr="00552585" w:rsidRDefault="006B54D8" w:rsidP="006B54D8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4D8" w:rsidRPr="00552585" w:rsidRDefault="006B54D8" w:rsidP="006B54D8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585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E1616E" w:rsidRPr="005A2508" w:rsidRDefault="00E1616E" w:rsidP="00E1616E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E319A">
        <w:rPr>
          <w:sz w:val="24"/>
          <w:szCs w:val="24"/>
        </w:rPr>
        <w:t>В соответствии с Федеральным законом от 26.03.2003 №</w:t>
      </w:r>
      <w:r>
        <w:rPr>
          <w:sz w:val="24"/>
          <w:szCs w:val="24"/>
        </w:rPr>
        <w:t xml:space="preserve"> 35-ФЗ «Об электроэнергетике», п</w:t>
      </w:r>
      <w:r w:rsidRPr="00DE319A">
        <w:rPr>
          <w:sz w:val="24"/>
          <w:szCs w:val="24"/>
        </w:rPr>
        <w:t>остановлением Правительства Российской Федерации от 29.12.2011</w:t>
      </w:r>
      <w:r w:rsidR="00987FDC">
        <w:rPr>
          <w:sz w:val="24"/>
          <w:szCs w:val="24"/>
        </w:rPr>
        <w:t xml:space="preserve"> </w:t>
      </w:r>
      <w:r w:rsidRPr="00DE319A">
        <w:rPr>
          <w:sz w:val="24"/>
          <w:szCs w:val="24"/>
        </w:rPr>
        <w:t>№ 1178 «О ценообразовании в области регулируемых цен (</w:t>
      </w:r>
      <w:r>
        <w:rPr>
          <w:sz w:val="24"/>
          <w:szCs w:val="24"/>
        </w:rPr>
        <w:t>тарифов) в электроэнергетике», п</w:t>
      </w:r>
      <w:r w:rsidRPr="00DE319A">
        <w:rPr>
          <w:sz w:val="24"/>
          <w:szCs w:val="24"/>
        </w:rPr>
        <w:t xml:space="preserve">остановлением 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организациям», </w:t>
      </w:r>
      <w:r w:rsidRPr="00000AA6">
        <w:rPr>
          <w:sz w:val="24"/>
          <w:szCs w:val="24"/>
        </w:rPr>
        <w:t xml:space="preserve">Правилами </w:t>
      </w:r>
      <w:r w:rsidRPr="00000AA6">
        <w:rPr>
          <w:sz w:val="24"/>
          <w:szCs w:val="24"/>
        </w:rPr>
        <w:lastRenderedPageBreak/>
        <w:t>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</w:t>
      </w:r>
      <w:proofErr w:type="gramEnd"/>
      <w:r w:rsidRPr="00000AA6">
        <w:rPr>
          <w:sz w:val="24"/>
          <w:szCs w:val="24"/>
        </w:rPr>
        <w:t xml:space="preserve"> </w:t>
      </w:r>
      <w:proofErr w:type="gramStart"/>
      <w:r w:rsidRPr="00000AA6">
        <w:rPr>
          <w:sz w:val="24"/>
          <w:szCs w:val="24"/>
        </w:rPr>
        <w:t>Федерации от 27.12.2004 № 861,</w:t>
      </w:r>
      <w:r>
        <w:rPr>
          <w:sz w:val="24"/>
          <w:szCs w:val="24"/>
        </w:rPr>
        <w:t xml:space="preserve"> </w:t>
      </w:r>
      <w:r w:rsidRPr="00DE319A">
        <w:rPr>
          <w:sz w:val="24"/>
          <w:szCs w:val="24"/>
        </w:rPr>
        <w:t xml:space="preserve">Методическими указаниями по расчету тарифов на услуги по передаче электрической энергии, устанавливаемых с применением метода долгосрочной индексации необходимой </w:t>
      </w:r>
      <w:r>
        <w:rPr>
          <w:sz w:val="24"/>
          <w:szCs w:val="24"/>
        </w:rPr>
        <w:t>валовой выручки, утвержденными п</w:t>
      </w:r>
      <w:r w:rsidRPr="00DE319A">
        <w:rPr>
          <w:sz w:val="24"/>
          <w:szCs w:val="24"/>
        </w:rPr>
        <w:t xml:space="preserve">риказом ФСТ России от 17.02.2012 № 98-э, Методическими указаниями </w:t>
      </w:r>
      <w:r w:rsidRPr="00DE319A">
        <w:rPr>
          <w:spacing w:val="2"/>
          <w:sz w:val="24"/>
          <w:szCs w:val="24"/>
          <w:shd w:val="clear" w:color="auto" w:fill="FFFFFF"/>
        </w:rPr>
        <w:t>по расчету уровня надежности и качества поставляемых товаров и оказываемых услуг для организации по управлению единой национальной (общероссийской) электрической сетью и территориальных сетевых организаций</w:t>
      </w:r>
      <w:r w:rsidRPr="00DE319A">
        <w:rPr>
          <w:sz w:val="24"/>
          <w:szCs w:val="24"/>
        </w:rPr>
        <w:t>, утвержден</w:t>
      </w:r>
      <w:r>
        <w:rPr>
          <w:sz w:val="24"/>
          <w:szCs w:val="24"/>
        </w:rPr>
        <w:t>ными п</w:t>
      </w:r>
      <w:r w:rsidRPr="00DE319A">
        <w:rPr>
          <w:sz w:val="24"/>
          <w:szCs w:val="24"/>
        </w:rPr>
        <w:t>риказом Минэнерг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России от 29.11.2016 № 1256, п</w:t>
      </w:r>
      <w:r w:rsidRPr="00DE319A">
        <w:rPr>
          <w:sz w:val="24"/>
          <w:szCs w:val="24"/>
        </w:rPr>
        <w:t>риказом Минэнерго России от 26.09.2017 № 887 «Об утверждении нормативов потерь электрической энергии при ее передаче по электрическим сетям территориальных сетевых организаций»:</w:t>
      </w:r>
    </w:p>
    <w:p w:rsidR="00E1616E" w:rsidRDefault="00E1616E" w:rsidP="00E1616E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E319A"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В</w:t>
      </w:r>
      <w:r w:rsidRPr="00FD00FF">
        <w:rPr>
          <w:sz w:val="24"/>
          <w:szCs w:val="24"/>
        </w:rPr>
        <w:t>нес</w:t>
      </w:r>
      <w:r>
        <w:rPr>
          <w:sz w:val="24"/>
          <w:szCs w:val="24"/>
        </w:rPr>
        <w:t>т</w:t>
      </w:r>
      <w:r w:rsidRPr="00FD00FF">
        <w:rPr>
          <w:sz w:val="24"/>
          <w:szCs w:val="24"/>
        </w:rPr>
        <w:t>и изменени</w:t>
      </w:r>
      <w:r>
        <w:rPr>
          <w:sz w:val="24"/>
          <w:szCs w:val="24"/>
        </w:rPr>
        <w:t>я</w:t>
      </w:r>
      <w:r w:rsidRPr="00FD00FF">
        <w:rPr>
          <w:sz w:val="24"/>
          <w:szCs w:val="24"/>
        </w:rPr>
        <w:t xml:space="preserve"> в постановление Департамента энергетики и тарифов Ивановской области от 28.10.2022 № 43-э/3 «Об установлении необходимой валовой выручки и долгосрочных параметров регулирования для АО «ПСК» на 2023-2027 гг.,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>
        <w:rPr>
          <w:sz w:val="24"/>
          <w:szCs w:val="24"/>
        </w:rPr>
        <w:t xml:space="preserve">, </w:t>
      </w:r>
      <w:r w:rsidRPr="00FD00FF">
        <w:rPr>
          <w:sz w:val="24"/>
          <w:szCs w:val="24"/>
        </w:rPr>
        <w:t>изложив приложение 2 к постановлению Департамента энергетики и тарифов Ивановской области от 2</w:t>
      </w:r>
      <w:r>
        <w:rPr>
          <w:sz w:val="24"/>
          <w:szCs w:val="24"/>
        </w:rPr>
        <w:t>8</w:t>
      </w:r>
      <w:r w:rsidRPr="00FD00FF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Pr="00FD00FF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FD00FF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FD00FF">
        <w:rPr>
          <w:sz w:val="24"/>
          <w:szCs w:val="24"/>
        </w:rPr>
        <w:t xml:space="preserve"> </w:t>
      </w:r>
      <w:r>
        <w:rPr>
          <w:sz w:val="24"/>
          <w:szCs w:val="24"/>
        </w:rPr>
        <w:t>43</w:t>
      </w:r>
      <w:r w:rsidRPr="00FD00FF">
        <w:rPr>
          <w:sz w:val="24"/>
          <w:szCs w:val="24"/>
        </w:rPr>
        <w:t>-э/</w:t>
      </w:r>
      <w:r>
        <w:rPr>
          <w:sz w:val="24"/>
          <w:szCs w:val="24"/>
        </w:rPr>
        <w:t>3</w:t>
      </w:r>
      <w:proofErr w:type="gramEnd"/>
      <w:r w:rsidRPr="00FD00FF">
        <w:rPr>
          <w:sz w:val="24"/>
          <w:szCs w:val="24"/>
        </w:rPr>
        <w:t xml:space="preserve"> в новой редакции согласно </w:t>
      </w:r>
      <w:r>
        <w:rPr>
          <w:sz w:val="24"/>
          <w:szCs w:val="24"/>
        </w:rPr>
        <w:t>таблице ниже:</w:t>
      </w:r>
    </w:p>
    <w:p w:rsidR="00E1616E" w:rsidRDefault="00987FDC" w:rsidP="00987FDC">
      <w:pPr>
        <w:tabs>
          <w:tab w:val="left" w:pos="1276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</w:t>
      </w:r>
    </w:p>
    <w:tbl>
      <w:tblPr>
        <w:tblpPr w:leftFromText="180" w:rightFromText="180" w:vertAnchor="text" w:horzAnchor="margin" w:tblpXSpec="center" w:tblpY="30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025"/>
        <w:gridCol w:w="1077"/>
        <w:gridCol w:w="3401"/>
      </w:tblGrid>
      <w:tr w:rsidR="00E1616E" w:rsidRPr="006F70A3" w:rsidTr="00E1616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E" w:rsidRPr="006F70A3" w:rsidRDefault="00E1616E" w:rsidP="00E161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 xml:space="preserve">№ </w:t>
            </w:r>
            <w:proofErr w:type="gramStart"/>
            <w:r w:rsidRPr="006F70A3">
              <w:rPr>
                <w:sz w:val="24"/>
                <w:szCs w:val="24"/>
              </w:rPr>
              <w:t>п</w:t>
            </w:r>
            <w:proofErr w:type="gramEnd"/>
            <w:r w:rsidRPr="006F70A3">
              <w:rPr>
                <w:sz w:val="24"/>
                <w:szCs w:val="24"/>
              </w:rPr>
              <w:t>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E" w:rsidRPr="006F70A3" w:rsidRDefault="00E1616E" w:rsidP="00E161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E" w:rsidRPr="006F70A3" w:rsidRDefault="00E1616E" w:rsidP="00E161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Год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E" w:rsidRPr="006F70A3" w:rsidRDefault="00E1616E" w:rsidP="00E161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НВВ сетевых организаций без учета оплаты потерь</w:t>
            </w:r>
          </w:p>
        </w:tc>
      </w:tr>
      <w:tr w:rsidR="00E1616E" w:rsidRPr="006F70A3" w:rsidTr="00E1616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E" w:rsidRPr="006F70A3" w:rsidRDefault="00E1616E" w:rsidP="00E161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E" w:rsidRPr="006F70A3" w:rsidRDefault="00E1616E" w:rsidP="00E161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E" w:rsidRPr="006F70A3" w:rsidRDefault="00E1616E" w:rsidP="00E161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E" w:rsidRPr="006F70A3" w:rsidRDefault="00E1616E" w:rsidP="00E161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тыс. руб.</w:t>
            </w:r>
          </w:p>
        </w:tc>
      </w:tr>
      <w:tr w:rsidR="00E1616E" w:rsidRPr="006F70A3" w:rsidTr="00E1616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E" w:rsidRPr="006F70A3" w:rsidRDefault="00E1616E" w:rsidP="00E161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1.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E" w:rsidRPr="006F70A3" w:rsidRDefault="00E1616E" w:rsidP="00E161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АО «ПСК»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E" w:rsidRPr="006F70A3" w:rsidRDefault="00E1616E" w:rsidP="00E161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2023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E" w:rsidRPr="006F70A3" w:rsidRDefault="00E1616E" w:rsidP="00E1616E">
            <w:pPr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0,01</w:t>
            </w:r>
          </w:p>
        </w:tc>
      </w:tr>
      <w:tr w:rsidR="00E1616E" w:rsidRPr="006F70A3" w:rsidTr="00E1616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E" w:rsidRPr="006F70A3" w:rsidRDefault="00E1616E" w:rsidP="00E161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E" w:rsidRPr="006F70A3" w:rsidRDefault="00E1616E" w:rsidP="00E161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E" w:rsidRPr="006F70A3" w:rsidRDefault="00E1616E" w:rsidP="00E161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2024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E" w:rsidRPr="006F70A3" w:rsidRDefault="00E1616E" w:rsidP="00E1616E">
            <w:pPr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0,01</w:t>
            </w:r>
          </w:p>
        </w:tc>
      </w:tr>
      <w:tr w:rsidR="00E1616E" w:rsidRPr="006F70A3" w:rsidTr="00E1616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E" w:rsidRPr="006F70A3" w:rsidRDefault="00E1616E" w:rsidP="00E161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E" w:rsidRPr="006F70A3" w:rsidRDefault="00E1616E" w:rsidP="00E161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E" w:rsidRPr="006F70A3" w:rsidRDefault="00E1616E" w:rsidP="00E161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2025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E" w:rsidRPr="006F70A3" w:rsidRDefault="00E1616E" w:rsidP="00E1616E">
            <w:pPr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0,01</w:t>
            </w:r>
          </w:p>
        </w:tc>
      </w:tr>
      <w:tr w:rsidR="00E1616E" w:rsidRPr="006F70A3" w:rsidTr="00E1616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E" w:rsidRPr="006F70A3" w:rsidRDefault="00E1616E" w:rsidP="00E161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E" w:rsidRPr="006F70A3" w:rsidRDefault="00E1616E" w:rsidP="00E161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E" w:rsidRPr="006F70A3" w:rsidRDefault="00E1616E" w:rsidP="00E161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2026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E" w:rsidRPr="006F70A3" w:rsidRDefault="00E1616E" w:rsidP="00E1616E">
            <w:pPr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0,01</w:t>
            </w:r>
          </w:p>
        </w:tc>
      </w:tr>
      <w:tr w:rsidR="00E1616E" w:rsidRPr="006F70A3" w:rsidTr="00E1616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E" w:rsidRPr="006F70A3" w:rsidRDefault="00E1616E" w:rsidP="00E161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E" w:rsidRPr="006F70A3" w:rsidRDefault="00E1616E" w:rsidP="00E161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E" w:rsidRPr="006F70A3" w:rsidRDefault="00E1616E" w:rsidP="00E161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2027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E" w:rsidRPr="006F70A3" w:rsidRDefault="00E1616E" w:rsidP="00E1616E">
            <w:pPr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0,01</w:t>
            </w:r>
          </w:p>
        </w:tc>
      </w:tr>
    </w:tbl>
    <w:p w:rsidR="00E1616E" w:rsidRDefault="008D4CBD" w:rsidP="00E1616E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П</w:t>
      </w:r>
      <w:r w:rsidRPr="008D4CBD">
        <w:rPr>
          <w:sz w:val="24"/>
          <w:szCs w:val="24"/>
        </w:rPr>
        <w:t>остановление вступает в силу после дня его официального опубликования</w:t>
      </w:r>
      <w:r>
        <w:rPr>
          <w:sz w:val="24"/>
          <w:szCs w:val="24"/>
        </w:rPr>
        <w:t>.</w:t>
      </w:r>
    </w:p>
    <w:p w:rsidR="006B54D8" w:rsidRPr="006F70A3" w:rsidRDefault="006B54D8" w:rsidP="006B54D8">
      <w:pPr>
        <w:pStyle w:val="a6"/>
        <w:spacing w:before="0" w:beforeAutospacing="0" w:after="0" w:afterAutospacing="0"/>
        <w:ind w:firstLine="567"/>
        <w:jc w:val="both"/>
      </w:pPr>
    </w:p>
    <w:p w:rsidR="006B54D8" w:rsidRPr="006F70A3" w:rsidRDefault="006B54D8" w:rsidP="006B54D8">
      <w:pPr>
        <w:tabs>
          <w:tab w:val="left" w:pos="4020"/>
        </w:tabs>
        <w:ind w:firstLine="540"/>
        <w:rPr>
          <w:sz w:val="24"/>
          <w:szCs w:val="24"/>
        </w:rPr>
      </w:pPr>
      <w:r w:rsidRPr="006F70A3">
        <w:rPr>
          <w:sz w:val="24"/>
          <w:szCs w:val="24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9B4C3C" w:rsidRPr="006F70A3" w:rsidTr="000852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 xml:space="preserve">№ </w:t>
            </w:r>
            <w:proofErr w:type="gramStart"/>
            <w:r w:rsidRPr="006F70A3">
              <w:rPr>
                <w:sz w:val="24"/>
                <w:szCs w:val="24"/>
              </w:rPr>
              <w:t>п</w:t>
            </w:r>
            <w:proofErr w:type="gramEnd"/>
            <w:r w:rsidRPr="006F70A3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Результаты голосования</w:t>
            </w:r>
          </w:p>
        </w:tc>
      </w:tr>
      <w:tr w:rsidR="009B4C3C" w:rsidRPr="006F70A3" w:rsidTr="000852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за</w:t>
            </w:r>
          </w:p>
        </w:tc>
      </w:tr>
      <w:tr w:rsidR="009B4C3C" w:rsidRPr="006F70A3" w:rsidTr="000852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за</w:t>
            </w:r>
          </w:p>
        </w:tc>
      </w:tr>
      <w:tr w:rsidR="009B4C3C" w:rsidRPr="006F70A3" w:rsidTr="000852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за</w:t>
            </w:r>
          </w:p>
        </w:tc>
      </w:tr>
      <w:tr w:rsidR="009B4C3C" w:rsidRPr="006F70A3" w:rsidTr="000852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за</w:t>
            </w:r>
          </w:p>
        </w:tc>
      </w:tr>
      <w:tr w:rsidR="009B4C3C" w:rsidRPr="006F70A3" w:rsidTr="000852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Полозов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за</w:t>
            </w:r>
          </w:p>
        </w:tc>
      </w:tr>
      <w:tr w:rsidR="009B4C3C" w:rsidRPr="006F70A3" w:rsidTr="000852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за</w:t>
            </w:r>
          </w:p>
        </w:tc>
      </w:tr>
      <w:tr w:rsidR="009B4C3C" w:rsidRPr="006F70A3" w:rsidTr="000852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за</w:t>
            </w:r>
          </w:p>
        </w:tc>
      </w:tr>
      <w:tr w:rsidR="006B54D8" w:rsidRPr="006F70A3" w:rsidTr="000852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против</w:t>
            </w:r>
          </w:p>
        </w:tc>
      </w:tr>
    </w:tbl>
    <w:p w:rsidR="006B54D8" w:rsidRPr="006D357B" w:rsidRDefault="006B54D8" w:rsidP="006B54D8">
      <w:pPr>
        <w:tabs>
          <w:tab w:val="left" w:pos="4020"/>
        </w:tabs>
        <w:ind w:left="284" w:firstLine="283"/>
        <w:rPr>
          <w:sz w:val="24"/>
          <w:szCs w:val="24"/>
        </w:rPr>
      </w:pPr>
      <w:r w:rsidRPr="006D357B">
        <w:rPr>
          <w:sz w:val="24"/>
          <w:szCs w:val="24"/>
        </w:rPr>
        <w:t>Итого: за – 7, против – 1, воздержался – 0, отсутствуют – 0.</w:t>
      </w:r>
    </w:p>
    <w:p w:rsidR="006A3BBE" w:rsidRPr="006D357B" w:rsidRDefault="006A3BBE" w:rsidP="006E7BB8">
      <w:pPr>
        <w:tabs>
          <w:tab w:val="left" w:pos="4020"/>
        </w:tabs>
        <w:ind w:left="284" w:firstLine="283"/>
        <w:rPr>
          <w:sz w:val="24"/>
          <w:szCs w:val="24"/>
        </w:rPr>
      </w:pPr>
    </w:p>
    <w:p w:rsidR="006A3BBE" w:rsidRPr="009B4C3C" w:rsidRDefault="006A3BBE" w:rsidP="006A3BBE">
      <w:pPr>
        <w:tabs>
          <w:tab w:val="left" w:pos="4020"/>
        </w:tabs>
        <w:ind w:left="284" w:firstLine="283"/>
        <w:jc w:val="both"/>
        <w:rPr>
          <w:b/>
          <w:sz w:val="24"/>
          <w:szCs w:val="24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9B4C3C" w:rsidRPr="009B4C3C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9B4C3C" w:rsidRDefault="00CB2DB7" w:rsidP="00FB144C">
            <w:pPr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О</w:t>
            </w:r>
            <w:r w:rsidR="005B384C" w:rsidRPr="009B4C3C">
              <w:rPr>
                <w:sz w:val="24"/>
                <w:szCs w:val="24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9B4C3C" w:rsidRDefault="005B384C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9B4C3C" w:rsidRDefault="00DE195F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 xml:space="preserve">М.В. Аскярова </w:t>
            </w:r>
          </w:p>
        </w:tc>
      </w:tr>
      <w:tr w:rsidR="00466942" w:rsidRPr="009B4C3C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384C" w:rsidRPr="009B4C3C" w:rsidRDefault="005B384C" w:rsidP="00FB144C">
            <w:pPr>
              <w:jc w:val="both"/>
              <w:rPr>
                <w:b/>
                <w:sz w:val="24"/>
                <w:szCs w:val="24"/>
              </w:rPr>
            </w:pPr>
            <w:r w:rsidRPr="009B4C3C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9B4C3C" w:rsidRDefault="005B384C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384C" w:rsidRPr="009B4C3C" w:rsidRDefault="005B384C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466942" w:rsidRPr="009B4C3C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E1616E">
            <w:pPr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 xml:space="preserve">Первый заместитель </w:t>
            </w:r>
            <w:r w:rsidR="00E1616E">
              <w:rPr>
                <w:sz w:val="24"/>
                <w:szCs w:val="24"/>
              </w:rPr>
              <w:t>директора</w:t>
            </w:r>
            <w:r w:rsidRPr="009B4C3C">
              <w:rPr>
                <w:sz w:val="24"/>
                <w:szCs w:val="24"/>
              </w:rPr>
              <w:t xml:space="preserve">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 xml:space="preserve">С.Е. Бугаева </w:t>
            </w:r>
          </w:p>
        </w:tc>
      </w:tr>
      <w:tr w:rsidR="00466942" w:rsidRPr="009B4C3C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E1616E">
            <w:pPr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 xml:space="preserve">Заместитель </w:t>
            </w:r>
            <w:r w:rsidR="00E1616E">
              <w:rPr>
                <w:sz w:val="24"/>
                <w:szCs w:val="24"/>
              </w:rPr>
              <w:t>директора</w:t>
            </w:r>
            <w:r w:rsidRPr="009B4C3C">
              <w:rPr>
                <w:sz w:val="24"/>
                <w:szCs w:val="24"/>
              </w:rPr>
              <w:t xml:space="preserve">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9B4C3C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 xml:space="preserve">Н.Б. Гущина </w:t>
            </w:r>
          </w:p>
        </w:tc>
      </w:tr>
      <w:tr w:rsidR="00466942" w:rsidRPr="009B4C3C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100123">
            <w:pPr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lastRenderedPageBreak/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9B4C3C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9B4C3C" w:rsidRDefault="00A73314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Е.В. Турбачкина</w:t>
            </w:r>
          </w:p>
        </w:tc>
      </w:tr>
      <w:tr w:rsidR="00466942" w:rsidRPr="009B4C3C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100123">
            <w:pPr>
              <w:jc w:val="both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9B4C3C" w:rsidRDefault="00102CEC" w:rsidP="00102CE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Е.А. Коннова</w:t>
            </w:r>
          </w:p>
        </w:tc>
      </w:tr>
      <w:tr w:rsidR="00466942" w:rsidRPr="009B4C3C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6A3BBE" w:rsidP="00100123">
            <w:pPr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6A3BBE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И.Г. Полозов</w:t>
            </w:r>
          </w:p>
        </w:tc>
      </w:tr>
      <w:tr w:rsidR="00750E43" w:rsidRPr="009B4C3C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9B4C3C" w:rsidRDefault="00750E43" w:rsidP="00FB144C">
            <w:pPr>
              <w:jc w:val="both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9B4C3C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750E43" w:rsidRPr="009B4C3C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9B4C3C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750E43" w:rsidRPr="009B4C3C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О.П. Агапова</w:t>
            </w:r>
          </w:p>
        </w:tc>
      </w:tr>
      <w:tr w:rsidR="00466942" w:rsidRPr="009B4C3C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750E43" w:rsidP="001A2386">
            <w:pPr>
              <w:jc w:val="both"/>
              <w:rPr>
                <w:sz w:val="24"/>
                <w:szCs w:val="24"/>
                <w:highlight w:val="yellow"/>
              </w:rPr>
            </w:pPr>
            <w:r w:rsidRPr="009B4C3C">
              <w:rPr>
                <w:sz w:val="24"/>
                <w:szCs w:val="24"/>
              </w:rPr>
              <w:t xml:space="preserve">Главный специалист-эксперт аналитического отдела </w:t>
            </w:r>
            <w:bookmarkStart w:id="0" w:name="_GoBack"/>
            <w:bookmarkEnd w:id="0"/>
            <w:r w:rsidRPr="009B4C3C">
              <w:rPr>
                <w:sz w:val="24"/>
                <w:szCs w:val="24"/>
              </w:rPr>
              <w:t>Управления Федеральной антимонопольной службы России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  <w:p w:rsidR="00100123" w:rsidRPr="009B4C3C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</w:p>
          <w:p w:rsidR="00100123" w:rsidRPr="009B4C3C" w:rsidRDefault="006A3BBE" w:rsidP="006A3BBE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  <w:r w:rsidRPr="009B4C3C">
              <w:rPr>
                <w:sz w:val="24"/>
                <w:szCs w:val="24"/>
              </w:rPr>
              <w:t xml:space="preserve">З.Б. Виднова </w:t>
            </w:r>
          </w:p>
        </w:tc>
      </w:tr>
      <w:tr w:rsidR="00466942" w:rsidRPr="009B4C3C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FB144C">
            <w:pPr>
              <w:jc w:val="both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9B4C3C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9B4C3C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А.И. Кулешов</w:t>
            </w:r>
          </w:p>
        </w:tc>
      </w:tr>
    </w:tbl>
    <w:p w:rsidR="006A3BBE" w:rsidRPr="009B4C3C" w:rsidRDefault="00C8155C" w:rsidP="00C8155C">
      <w:pPr>
        <w:jc w:val="right"/>
        <w:rPr>
          <w:sz w:val="24"/>
          <w:szCs w:val="24"/>
        </w:rPr>
      </w:pPr>
      <w:r w:rsidRPr="009B4C3C">
        <w:rPr>
          <w:sz w:val="24"/>
          <w:szCs w:val="24"/>
        </w:rPr>
        <w:t xml:space="preserve">                                    </w:t>
      </w:r>
    </w:p>
    <w:p w:rsidR="006A3BBE" w:rsidRPr="009B4C3C" w:rsidRDefault="006A3BBE" w:rsidP="00C8155C">
      <w:pPr>
        <w:jc w:val="right"/>
        <w:rPr>
          <w:sz w:val="24"/>
          <w:szCs w:val="24"/>
        </w:rPr>
      </w:pPr>
    </w:p>
    <w:sectPr w:rsidR="006A3BBE" w:rsidRPr="009B4C3C" w:rsidSect="0056390B">
      <w:headerReference w:type="even" r:id="rId9"/>
      <w:headerReference w:type="default" r:id="rId10"/>
      <w:pgSz w:w="11906" w:h="16838"/>
      <w:pgMar w:top="1418" w:right="707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DC" w:rsidRDefault="00987FDC">
      <w:r>
        <w:separator/>
      </w:r>
    </w:p>
  </w:endnote>
  <w:endnote w:type="continuationSeparator" w:id="0">
    <w:p w:rsidR="00987FDC" w:rsidRDefault="0098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DC" w:rsidRDefault="00987FDC">
      <w:r>
        <w:separator/>
      </w:r>
    </w:p>
  </w:footnote>
  <w:footnote w:type="continuationSeparator" w:id="0">
    <w:p w:rsidR="00987FDC" w:rsidRDefault="00987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FDC" w:rsidRDefault="00987FDC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7FDC" w:rsidRDefault="00987F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FDC" w:rsidRDefault="00987FDC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2386">
      <w:rPr>
        <w:rStyle w:val="a5"/>
        <w:noProof/>
      </w:rPr>
      <w:t>2</w:t>
    </w:r>
    <w:r>
      <w:rPr>
        <w:rStyle w:val="a5"/>
      </w:rPr>
      <w:fldChar w:fldCharType="end"/>
    </w:r>
  </w:p>
  <w:p w:rsidR="00987FDC" w:rsidRDefault="00987F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" w:hAnsi="PT Astra Serif" w:cs="PT Astra Serif" w:hint="default"/>
        <w:bCs/>
        <w:i/>
        <w:color w:val="auto"/>
      </w:rPr>
    </w:lvl>
  </w:abstractNum>
  <w:abstractNum w:abstractNumId="1">
    <w:nsid w:val="00753700"/>
    <w:multiLevelType w:val="hybridMultilevel"/>
    <w:tmpl w:val="AC780E1E"/>
    <w:lvl w:ilvl="0" w:tplc="6C04685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C1665E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ED5976"/>
    <w:multiLevelType w:val="hybridMultilevel"/>
    <w:tmpl w:val="2CFC0432"/>
    <w:lvl w:ilvl="0" w:tplc="A60EFA98">
      <w:start w:val="1"/>
      <w:numFmt w:val="upperRoman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0CF243EC"/>
    <w:multiLevelType w:val="hybridMultilevel"/>
    <w:tmpl w:val="30382CCE"/>
    <w:lvl w:ilvl="0" w:tplc="F830D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4C2D01"/>
    <w:multiLevelType w:val="hybridMultilevel"/>
    <w:tmpl w:val="634CDE56"/>
    <w:lvl w:ilvl="0" w:tplc="1C7C12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F1B33AE"/>
    <w:multiLevelType w:val="hybridMultilevel"/>
    <w:tmpl w:val="55589B96"/>
    <w:lvl w:ilvl="0" w:tplc="6B901558">
      <w:start w:val="1"/>
      <w:numFmt w:val="decimal"/>
      <w:lvlText w:val="%1."/>
      <w:lvlJc w:val="left"/>
      <w:pPr>
        <w:ind w:left="56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81680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29054E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1352097"/>
    <w:multiLevelType w:val="hybridMultilevel"/>
    <w:tmpl w:val="11F8DE14"/>
    <w:lvl w:ilvl="0" w:tplc="DF42A344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1">
    <w:nsid w:val="236E6709"/>
    <w:multiLevelType w:val="multilevel"/>
    <w:tmpl w:val="2F82E0D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253519B4"/>
    <w:multiLevelType w:val="hybridMultilevel"/>
    <w:tmpl w:val="BAF2892C"/>
    <w:lvl w:ilvl="0" w:tplc="349E14F8">
      <w:start w:val="1"/>
      <w:numFmt w:val="decimal"/>
      <w:lvlText w:val="%1."/>
      <w:lvlJc w:val="left"/>
      <w:pPr>
        <w:ind w:left="344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5887F53"/>
    <w:multiLevelType w:val="hybridMultilevel"/>
    <w:tmpl w:val="0400DD34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C97EFF"/>
    <w:multiLevelType w:val="hybridMultilevel"/>
    <w:tmpl w:val="410CD122"/>
    <w:lvl w:ilvl="0" w:tplc="93A25CD8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E43ABC"/>
    <w:multiLevelType w:val="hybridMultilevel"/>
    <w:tmpl w:val="FD345440"/>
    <w:lvl w:ilvl="0" w:tplc="36CE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9430F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D2246D"/>
    <w:multiLevelType w:val="hybridMultilevel"/>
    <w:tmpl w:val="1EB0A99A"/>
    <w:lvl w:ilvl="0" w:tplc="DA523372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E118CB"/>
    <w:multiLevelType w:val="hybridMultilevel"/>
    <w:tmpl w:val="7BFE422E"/>
    <w:lvl w:ilvl="0" w:tplc="F51254E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95F0E75"/>
    <w:multiLevelType w:val="multilevel"/>
    <w:tmpl w:val="627CBCB4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4B0823B7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1F44D38"/>
    <w:multiLevelType w:val="hybridMultilevel"/>
    <w:tmpl w:val="3FD6537A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3B92FFE"/>
    <w:multiLevelType w:val="hybridMultilevel"/>
    <w:tmpl w:val="C756CF38"/>
    <w:lvl w:ilvl="0" w:tplc="DFEA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251086F"/>
    <w:multiLevelType w:val="hybridMultilevel"/>
    <w:tmpl w:val="E728A060"/>
    <w:lvl w:ilvl="0" w:tplc="20164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37418B3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572159B"/>
    <w:multiLevelType w:val="hybridMultilevel"/>
    <w:tmpl w:val="7D6C38F8"/>
    <w:lvl w:ilvl="0" w:tplc="560EAB7E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26">
    <w:nsid w:val="6FDA465D"/>
    <w:multiLevelType w:val="hybridMultilevel"/>
    <w:tmpl w:val="519E87C4"/>
    <w:lvl w:ilvl="0" w:tplc="D0002C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0732B1D"/>
    <w:multiLevelType w:val="hybridMultilevel"/>
    <w:tmpl w:val="8B6660BC"/>
    <w:lvl w:ilvl="0" w:tplc="93E65B4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A52460"/>
    <w:multiLevelType w:val="hybridMultilevel"/>
    <w:tmpl w:val="4B6CC66A"/>
    <w:lvl w:ilvl="0" w:tplc="93A25CD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9B2736A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3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7"/>
  </w:num>
  <w:num w:numId="7">
    <w:abstractNumId w:val="24"/>
  </w:num>
  <w:num w:numId="8">
    <w:abstractNumId w:val="29"/>
  </w:num>
  <w:num w:numId="9">
    <w:abstractNumId w:val="2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6"/>
  </w:num>
  <w:num w:numId="13">
    <w:abstractNumId w:val="8"/>
  </w:num>
  <w:num w:numId="14">
    <w:abstractNumId w:val="18"/>
  </w:num>
  <w:num w:numId="15">
    <w:abstractNumId w:val="27"/>
  </w:num>
  <w:num w:numId="16">
    <w:abstractNumId w:val="23"/>
  </w:num>
  <w:num w:numId="17">
    <w:abstractNumId w:val="17"/>
  </w:num>
  <w:num w:numId="18">
    <w:abstractNumId w:val="11"/>
  </w:num>
  <w:num w:numId="19">
    <w:abstractNumId w:val="15"/>
  </w:num>
  <w:num w:numId="20">
    <w:abstractNumId w:val="22"/>
  </w:num>
  <w:num w:numId="21">
    <w:abstractNumId w:val="13"/>
  </w:num>
  <w:num w:numId="22">
    <w:abstractNumId w:val="21"/>
  </w:num>
  <w:num w:numId="23">
    <w:abstractNumId w:val="14"/>
  </w:num>
  <w:num w:numId="24">
    <w:abstractNumId w:val="1"/>
  </w:num>
  <w:num w:numId="25">
    <w:abstractNumId w:val="4"/>
  </w:num>
  <w:num w:numId="26">
    <w:abstractNumId w:val="0"/>
  </w:num>
  <w:num w:numId="27">
    <w:abstractNumId w:val="12"/>
  </w:num>
  <w:num w:numId="28">
    <w:abstractNumId w:val="19"/>
  </w:num>
  <w:num w:numId="29">
    <w:abstractNumId w:val="28"/>
  </w:num>
  <w:num w:numId="30">
    <w:abstractNumId w:val="6"/>
  </w:num>
  <w:num w:numId="31">
    <w:abstractNumId w:val="1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B84"/>
    <w:rsid w:val="000064CF"/>
    <w:rsid w:val="0000686F"/>
    <w:rsid w:val="000123DF"/>
    <w:rsid w:val="000137F0"/>
    <w:rsid w:val="000277EB"/>
    <w:rsid w:val="000301BD"/>
    <w:rsid w:val="00030E80"/>
    <w:rsid w:val="00034065"/>
    <w:rsid w:val="00035973"/>
    <w:rsid w:val="00035D7B"/>
    <w:rsid w:val="00042C3E"/>
    <w:rsid w:val="00045769"/>
    <w:rsid w:val="00047724"/>
    <w:rsid w:val="00050055"/>
    <w:rsid w:val="000514A4"/>
    <w:rsid w:val="00052294"/>
    <w:rsid w:val="000556C3"/>
    <w:rsid w:val="00056A15"/>
    <w:rsid w:val="00063673"/>
    <w:rsid w:val="00074265"/>
    <w:rsid w:val="0008522D"/>
    <w:rsid w:val="00085EAD"/>
    <w:rsid w:val="00086DEB"/>
    <w:rsid w:val="00091843"/>
    <w:rsid w:val="000949BD"/>
    <w:rsid w:val="0009775D"/>
    <w:rsid w:val="000A4B37"/>
    <w:rsid w:val="000B2498"/>
    <w:rsid w:val="000C03C8"/>
    <w:rsid w:val="000C2866"/>
    <w:rsid w:val="000C7F31"/>
    <w:rsid w:val="000D61F7"/>
    <w:rsid w:val="000E6693"/>
    <w:rsid w:val="000E6C4A"/>
    <w:rsid w:val="000F316B"/>
    <w:rsid w:val="00100123"/>
    <w:rsid w:val="00102665"/>
    <w:rsid w:val="00102CEC"/>
    <w:rsid w:val="00102ED2"/>
    <w:rsid w:val="0010702C"/>
    <w:rsid w:val="00110AC3"/>
    <w:rsid w:val="00113A9D"/>
    <w:rsid w:val="00147B89"/>
    <w:rsid w:val="00150B76"/>
    <w:rsid w:val="001512A5"/>
    <w:rsid w:val="00151E68"/>
    <w:rsid w:val="00174CA1"/>
    <w:rsid w:val="00174DB7"/>
    <w:rsid w:val="00175CED"/>
    <w:rsid w:val="0017733A"/>
    <w:rsid w:val="00181BF3"/>
    <w:rsid w:val="00181D4D"/>
    <w:rsid w:val="00181F32"/>
    <w:rsid w:val="00190A38"/>
    <w:rsid w:val="0019314A"/>
    <w:rsid w:val="001938D2"/>
    <w:rsid w:val="001A1815"/>
    <w:rsid w:val="001A211D"/>
    <w:rsid w:val="001A2386"/>
    <w:rsid w:val="001A68A8"/>
    <w:rsid w:val="001C3FF6"/>
    <w:rsid w:val="001C5116"/>
    <w:rsid w:val="001D267C"/>
    <w:rsid w:val="001E449B"/>
    <w:rsid w:val="001F100B"/>
    <w:rsid w:val="001F29F1"/>
    <w:rsid w:val="001F414F"/>
    <w:rsid w:val="0020423A"/>
    <w:rsid w:val="00211B49"/>
    <w:rsid w:val="0021547D"/>
    <w:rsid w:val="00217DC7"/>
    <w:rsid w:val="00222418"/>
    <w:rsid w:val="00230516"/>
    <w:rsid w:val="00230A1D"/>
    <w:rsid w:val="002476A2"/>
    <w:rsid w:val="00262B8E"/>
    <w:rsid w:val="00262C82"/>
    <w:rsid w:val="00267E21"/>
    <w:rsid w:val="0027284C"/>
    <w:rsid w:val="00273544"/>
    <w:rsid w:val="00273BD2"/>
    <w:rsid w:val="00283F36"/>
    <w:rsid w:val="0028579F"/>
    <w:rsid w:val="00293AF9"/>
    <w:rsid w:val="002D04FB"/>
    <w:rsid w:val="002D0AF6"/>
    <w:rsid w:val="002E3293"/>
    <w:rsid w:val="002E4504"/>
    <w:rsid w:val="002E7787"/>
    <w:rsid w:val="002F0C90"/>
    <w:rsid w:val="002F7851"/>
    <w:rsid w:val="003042C4"/>
    <w:rsid w:val="00315EEF"/>
    <w:rsid w:val="00334250"/>
    <w:rsid w:val="00335AB5"/>
    <w:rsid w:val="00353E00"/>
    <w:rsid w:val="00362392"/>
    <w:rsid w:val="00370909"/>
    <w:rsid w:val="003768AC"/>
    <w:rsid w:val="00390B94"/>
    <w:rsid w:val="00392DA8"/>
    <w:rsid w:val="00394351"/>
    <w:rsid w:val="003953E3"/>
    <w:rsid w:val="0039712C"/>
    <w:rsid w:val="003A2FBF"/>
    <w:rsid w:val="003A4496"/>
    <w:rsid w:val="003A6C9D"/>
    <w:rsid w:val="003A78E2"/>
    <w:rsid w:val="003A7B41"/>
    <w:rsid w:val="003B0663"/>
    <w:rsid w:val="003B0C99"/>
    <w:rsid w:val="003C01FA"/>
    <w:rsid w:val="003C7569"/>
    <w:rsid w:val="003D2E03"/>
    <w:rsid w:val="003E00BF"/>
    <w:rsid w:val="003E55E7"/>
    <w:rsid w:val="003E5A74"/>
    <w:rsid w:val="003E7C83"/>
    <w:rsid w:val="003F081D"/>
    <w:rsid w:val="003F3FC6"/>
    <w:rsid w:val="00401E5C"/>
    <w:rsid w:val="00410FAC"/>
    <w:rsid w:val="004118FC"/>
    <w:rsid w:val="0041444D"/>
    <w:rsid w:val="00427593"/>
    <w:rsid w:val="0043607E"/>
    <w:rsid w:val="00456648"/>
    <w:rsid w:val="004649EB"/>
    <w:rsid w:val="00465DE5"/>
    <w:rsid w:val="00466942"/>
    <w:rsid w:val="0047135E"/>
    <w:rsid w:val="00473802"/>
    <w:rsid w:val="0047755F"/>
    <w:rsid w:val="0048693C"/>
    <w:rsid w:val="004A3C0A"/>
    <w:rsid w:val="004A3F1A"/>
    <w:rsid w:val="004A64E7"/>
    <w:rsid w:val="004B0782"/>
    <w:rsid w:val="004B191C"/>
    <w:rsid w:val="004B347B"/>
    <w:rsid w:val="004C116C"/>
    <w:rsid w:val="004C3D94"/>
    <w:rsid w:val="004C3F09"/>
    <w:rsid w:val="004C4178"/>
    <w:rsid w:val="004C6E09"/>
    <w:rsid w:val="004D0A10"/>
    <w:rsid w:val="004D607B"/>
    <w:rsid w:val="004E2154"/>
    <w:rsid w:val="004E2C77"/>
    <w:rsid w:val="004E35E5"/>
    <w:rsid w:val="004E5E46"/>
    <w:rsid w:val="004F3A3D"/>
    <w:rsid w:val="005010B2"/>
    <w:rsid w:val="0050264C"/>
    <w:rsid w:val="00515FCE"/>
    <w:rsid w:val="00520414"/>
    <w:rsid w:val="0052099A"/>
    <w:rsid w:val="00522274"/>
    <w:rsid w:val="0053263D"/>
    <w:rsid w:val="00534B05"/>
    <w:rsid w:val="005353FE"/>
    <w:rsid w:val="00541706"/>
    <w:rsid w:val="00546435"/>
    <w:rsid w:val="00551589"/>
    <w:rsid w:val="00552585"/>
    <w:rsid w:val="0055285B"/>
    <w:rsid w:val="00554200"/>
    <w:rsid w:val="005614F7"/>
    <w:rsid w:val="0056390B"/>
    <w:rsid w:val="005639E3"/>
    <w:rsid w:val="00576EDF"/>
    <w:rsid w:val="00593C83"/>
    <w:rsid w:val="005B132A"/>
    <w:rsid w:val="005B2A72"/>
    <w:rsid w:val="005B384C"/>
    <w:rsid w:val="005B57C8"/>
    <w:rsid w:val="005B6B08"/>
    <w:rsid w:val="005C0C82"/>
    <w:rsid w:val="005C5306"/>
    <w:rsid w:val="005D13EC"/>
    <w:rsid w:val="005D4BBE"/>
    <w:rsid w:val="005F268F"/>
    <w:rsid w:val="00606AFA"/>
    <w:rsid w:val="00610136"/>
    <w:rsid w:val="006208AA"/>
    <w:rsid w:val="006218E7"/>
    <w:rsid w:val="00626A32"/>
    <w:rsid w:val="00630F85"/>
    <w:rsid w:val="006340C7"/>
    <w:rsid w:val="006376B4"/>
    <w:rsid w:val="00637B5E"/>
    <w:rsid w:val="006479A0"/>
    <w:rsid w:val="00657A22"/>
    <w:rsid w:val="00662303"/>
    <w:rsid w:val="00670278"/>
    <w:rsid w:val="00671CC5"/>
    <w:rsid w:val="00672225"/>
    <w:rsid w:val="006732ED"/>
    <w:rsid w:val="0067528C"/>
    <w:rsid w:val="00675A8B"/>
    <w:rsid w:val="00690DA4"/>
    <w:rsid w:val="00691745"/>
    <w:rsid w:val="00693F4E"/>
    <w:rsid w:val="00694117"/>
    <w:rsid w:val="0069698E"/>
    <w:rsid w:val="006A206C"/>
    <w:rsid w:val="006A3BBE"/>
    <w:rsid w:val="006B54D8"/>
    <w:rsid w:val="006B6625"/>
    <w:rsid w:val="006C6386"/>
    <w:rsid w:val="006C7FD6"/>
    <w:rsid w:val="006D00A4"/>
    <w:rsid w:val="006D357B"/>
    <w:rsid w:val="006E2C97"/>
    <w:rsid w:val="006E56E3"/>
    <w:rsid w:val="006E7BB8"/>
    <w:rsid w:val="006F1364"/>
    <w:rsid w:val="006F54B2"/>
    <w:rsid w:val="006F70A3"/>
    <w:rsid w:val="0070141D"/>
    <w:rsid w:val="007068DC"/>
    <w:rsid w:val="00725F00"/>
    <w:rsid w:val="00737365"/>
    <w:rsid w:val="00742F8D"/>
    <w:rsid w:val="00745585"/>
    <w:rsid w:val="00750E43"/>
    <w:rsid w:val="00757CCA"/>
    <w:rsid w:val="0076398B"/>
    <w:rsid w:val="00764D5A"/>
    <w:rsid w:val="007660C9"/>
    <w:rsid w:val="00771B42"/>
    <w:rsid w:val="00772D93"/>
    <w:rsid w:val="00784053"/>
    <w:rsid w:val="00784702"/>
    <w:rsid w:val="00790FF1"/>
    <w:rsid w:val="007921B5"/>
    <w:rsid w:val="00795CDE"/>
    <w:rsid w:val="007A0214"/>
    <w:rsid w:val="007B43DE"/>
    <w:rsid w:val="007B5DD0"/>
    <w:rsid w:val="007C2BFE"/>
    <w:rsid w:val="007C2CB2"/>
    <w:rsid w:val="007C653E"/>
    <w:rsid w:val="007D340D"/>
    <w:rsid w:val="007D42E6"/>
    <w:rsid w:val="007D776C"/>
    <w:rsid w:val="007E5A1F"/>
    <w:rsid w:val="007F590B"/>
    <w:rsid w:val="008018D0"/>
    <w:rsid w:val="00802AFD"/>
    <w:rsid w:val="00803D70"/>
    <w:rsid w:val="00804CFB"/>
    <w:rsid w:val="008064A2"/>
    <w:rsid w:val="008069CD"/>
    <w:rsid w:val="00806B96"/>
    <w:rsid w:val="008171B1"/>
    <w:rsid w:val="00817FB8"/>
    <w:rsid w:val="00822448"/>
    <w:rsid w:val="00832278"/>
    <w:rsid w:val="00834454"/>
    <w:rsid w:val="00843EBE"/>
    <w:rsid w:val="00847CC3"/>
    <w:rsid w:val="00876516"/>
    <w:rsid w:val="00884BA4"/>
    <w:rsid w:val="00884C58"/>
    <w:rsid w:val="00885A4A"/>
    <w:rsid w:val="008A5F9F"/>
    <w:rsid w:val="008A6F93"/>
    <w:rsid w:val="008B4AF5"/>
    <w:rsid w:val="008B720C"/>
    <w:rsid w:val="008B75D9"/>
    <w:rsid w:val="008C042F"/>
    <w:rsid w:val="008D0D47"/>
    <w:rsid w:val="008D1B66"/>
    <w:rsid w:val="008D4CBD"/>
    <w:rsid w:val="008E1C37"/>
    <w:rsid w:val="008E24DC"/>
    <w:rsid w:val="008E343B"/>
    <w:rsid w:val="008E7EDA"/>
    <w:rsid w:val="008F0C67"/>
    <w:rsid w:val="00902327"/>
    <w:rsid w:val="009162DA"/>
    <w:rsid w:val="00925ECE"/>
    <w:rsid w:val="0092634E"/>
    <w:rsid w:val="00945A23"/>
    <w:rsid w:val="00947799"/>
    <w:rsid w:val="00950173"/>
    <w:rsid w:val="00950A6E"/>
    <w:rsid w:val="009541AA"/>
    <w:rsid w:val="00957A06"/>
    <w:rsid w:val="00960CB6"/>
    <w:rsid w:val="009643B0"/>
    <w:rsid w:val="00966575"/>
    <w:rsid w:val="009733A5"/>
    <w:rsid w:val="00987FDC"/>
    <w:rsid w:val="00990A07"/>
    <w:rsid w:val="009A06DC"/>
    <w:rsid w:val="009A0A72"/>
    <w:rsid w:val="009A1FB2"/>
    <w:rsid w:val="009B4C3C"/>
    <w:rsid w:val="009B651F"/>
    <w:rsid w:val="009C6019"/>
    <w:rsid w:val="009C6282"/>
    <w:rsid w:val="009D0E6F"/>
    <w:rsid w:val="009D1404"/>
    <w:rsid w:val="009D3914"/>
    <w:rsid w:val="009D5AB3"/>
    <w:rsid w:val="009D60BE"/>
    <w:rsid w:val="009E3FD1"/>
    <w:rsid w:val="009E75E7"/>
    <w:rsid w:val="009F131D"/>
    <w:rsid w:val="009F2C7F"/>
    <w:rsid w:val="009F77AE"/>
    <w:rsid w:val="00A00FE4"/>
    <w:rsid w:val="00A01D42"/>
    <w:rsid w:val="00A02F26"/>
    <w:rsid w:val="00A0421C"/>
    <w:rsid w:val="00A06490"/>
    <w:rsid w:val="00A14BD5"/>
    <w:rsid w:val="00A17C95"/>
    <w:rsid w:val="00A26D02"/>
    <w:rsid w:val="00A32482"/>
    <w:rsid w:val="00A33801"/>
    <w:rsid w:val="00A342A8"/>
    <w:rsid w:val="00A423D8"/>
    <w:rsid w:val="00A4262F"/>
    <w:rsid w:val="00A525DD"/>
    <w:rsid w:val="00A53A61"/>
    <w:rsid w:val="00A64548"/>
    <w:rsid w:val="00A658B7"/>
    <w:rsid w:val="00A73314"/>
    <w:rsid w:val="00A8315D"/>
    <w:rsid w:val="00A833E0"/>
    <w:rsid w:val="00A8662B"/>
    <w:rsid w:val="00A94DEB"/>
    <w:rsid w:val="00A973F4"/>
    <w:rsid w:val="00AA1281"/>
    <w:rsid w:val="00AA1CE4"/>
    <w:rsid w:val="00AA3F49"/>
    <w:rsid w:val="00AA4D30"/>
    <w:rsid w:val="00AA5C1A"/>
    <w:rsid w:val="00AA676D"/>
    <w:rsid w:val="00AB2502"/>
    <w:rsid w:val="00AC336E"/>
    <w:rsid w:val="00AC6A44"/>
    <w:rsid w:val="00AC773B"/>
    <w:rsid w:val="00AD318E"/>
    <w:rsid w:val="00AD339B"/>
    <w:rsid w:val="00AD6195"/>
    <w:rsid w:val="00AE001D"/>
    <w:rsid w:val="00AE1D47"/>
    <w:rsid w:val="00AE5EEB"/>
    <w:rsid w:val="00AF0BE9"/>
    <w:rsid w:val="00AF5AEB"/>
    <w:rsid w:val="00B00CF1"/>
    <w:rsid w:val="00B1374E"/>
    <w:rsid w:val="00B150D4"/>
    <w:rsid w:val="00B16361"/>
    <w:rsid w:val="00B173E4"/>
    <w:rsid w:val="00B21B80"/>
    <w:rsid w:val="00B30208"/>
    <w:rsid w:val="00B308D6"/>
    <w:rsid w:val="00B31BA4"/>
    <w:rsid w:val="00B31F9F"/>
    <w:rsid w:val="00B62729"/>
    <w:rsid w:val="00B73526"/>
    <w:rsid w:val="00B8486A"/>
    <w:rsid w:val="00B854A8"/>
    <w:rsid w:val="00B86551"/>
    <w:rsid w:val="00B86D23"/>
    <w:rsid w:val="00B872E8"/>
    <w:rsid w:val="00B911BA"/>
    <w:rsid w:val="00B942FC"/>
    <w:rsid w:val="00B96B60"/>
    <w:rsid w:val="00BA20E7"/>
    <w:rsid w:val="00BA4212"/>
    <w:rsid w:val="00BA5A30"/>
    <w:rsid w:val="00BC172E"/>
    <w:rsid w:val="00BC1905"/>
    <w:rsid w:val="00BD0351"/>
    <w:rsid w:val="00BD4C16"/>
    <w:rsid w:val="00BD50D3"/>
    <w:rsid w:val="00BD7930"/>
    <w:rsid w:val="00BE2600"/>
    <w:rsid w:val="00BF6CDF"/>
    <w:rsid w:val="00C007C7"/>
    <w:rsid w:val="00C06793"/>
    <w:rsid w:val="00C10AF5"/>
    <w:rsid w:val="00C2349C"/>
    <w:rsid w:val="00C2375A"/>
    <w:rsid w:val="00C306BE"/>
    <w:rsid w:val="00C34509"/>
    <w:rsid w:val="00C433FF"/>
    <w:rsid w:val="00C45974"/>
    <w:rsid w:val="00C530BA"/>
    <w:rsid w:val="00C57BF7"/>
    <w:rsid w:val="00C6399E"/>
    <w:rsid w:val="00C64358"/>
    <w:rsid w:val="00C645A4"/>
    <w:rsid w:val="00C728EF"/>
    <w:rsid w:val="00C81296"/>
    <w:rsid w:val="00C8155C"/>
    <w:rsid w:val="00C828F9"/>
    <w:rsid w:val="00C82BB3"/>
    <w:rsid w:val="00C875E3"/>
    <w:rsid w:val="00C92030"/>
    <w:rsid w:val="00CB07AC"/>
    <w:rsid w:val="00CB2DB7"/>
    <w:rsid w:val="00CB5495"/>
    <w:rsid w:val="00CC64E9"/>
    <w:rsid w:val="00CC6A50"/>
    <w:rsid w:val="00CD1ACA"/>
    <w:rsid w:val="00CD3A4E"/>
    <w:rsid w:val="00CE0328"/>
    <w:rsid w:val="00CE5B58"/>
    <w:rsid w:val="00CE7A74"/>
    <w:rsid w:val="00CF12C1"/>
    <w:rsid w:val="00D116AE"/>
    <w:rsid w:val="00D13CE4"/>
    <w:rsid w:val="00D2174F"/>
    <w:rsid w:val="00D270C4"/>
    <w:rsid w:val="00D303A6"/>
    <w:rsid w:val="00D32096"/>
    <w:rsid w:val="00D323A6"/>
    <w:rsid w:val="00D37CFC"/>
    <w:rsid w:val="00D43B0B"/>
    <w:rsid w:val="00D6543B"/>
    <w:rsid w:val="00D65A0C"/>
    <w:rsid w:val="00D81313"/>
    <w:rsid w:val="00D86FA6"/>
    <w:rsid w:val="00D871F9"/>
    <w:rsid w:val="00D913B7"/>
    <w:rsid w:val="00D950BE"/>
    <w:rsid w:val="00DA2667"/>
    <w:rsid w:val="00DB156E"/>
    <w:rsid w:val="00DB2BAD"/>
    <w:rsid w:val="00DC690C"/>
    <w:rsid w:val="00DC70E0"/>
    <w:rsid w:val="00DC7CDD"/>
    <w:rsid w:val="00DD26C2"/>
    <w:rsid w:val="00DD3D8E"/>
    <w:rsid w:val="00DD6F6B"/>
    <w:rsid w:val="00DE195F"/>
    <w:rsid w:val="00DE310B"/>
    <w:rsid w:val="00DE63F9"/>
    <w:rsid w:val="00DF2186"/>
    <w:rsid w:val="00DF497E"/>
    <w:rsid w:val="00DF5961"/>
    <w:rsid w:val="00E1616E"/>
    <w:rsid w:val="00E2741D"/>
    <w:rsid w:val="00E330EB"/>
    <w:rsid w:val="00E34193"/>
    <w:rsid w:val="00E40365"/>
    <w:rsid w:val="00E424F9"/>
    <w:rsid w:val="00E454AF"/>
    <w:rsid w:val="00E51103"/>
    <w:rsid w:val="00E55D61"/>
    <w:rsid w:val="00E566D5"/>
    <w:rsid w:val="00E65D99"/>
    <w:rsid w:val="00E86E4E"/>
    <w:rsid w:val="00E95F9F"/>
    <w:rsid w:val="00EA2A52"/>
    <w:rsid w:val="00EA6678"/>
    <w:rsid w:val="00EB77D5"/>
    <w:rsid w:val="00EB7A7F"/>
    <w:rsid w:val="00EC1C9B"/>
    <w:rsid w:val="00EC77B9"/>
    <w:rsid w:val="00ED3715"/>
    <w:rsid w:val="00EE40BF"/>
    <w:rsid w:val="00EE48B6"/>
    <w:rsid w:val="00EF2F65"/>
    <w:rsid w:val="00F07056"/>
    <w:rsid w:val="00F07C93"/>
    <w:rsid w:val="00F164B6"/>
    <w:rsid w:val="00F23C80"/>
    <w:rsid w:val="00F24F21"/>
    <w:rsid w:val="00F31207"/>
    <w:rsid w:val="00F35018"/>
    <w:rsid w:val="00F36FBC"/>
    <w:rsid w:val="00F37527"/>
    <w:rsid w:val="00F43C50"/>
    <w:rsid w:val="00F57773"/>
    <w:rsid w:val="00F620F1"/>
    <w:rsid w:val="00F64F61"/>
    <w:rsid w:val="00F66464"/>
    <w:rsid w:val="00F66CD0"/>
    <w:rsid w:val="00F72658"/>
    <w:rsid w:val="00F81200"/>
    <w:rsid w:val="00F8260E"/>
    <w:rsid w:val="00F836FE"/>
    <w:rsid w:val="00F84FCF"/>
    <w:rsid w:val="00F925F7"/>
    <w:rsid w:val="00F92613"/>
    <w:rsid w:val="00F93FAF"/>
    <w:rsid w:val="00FA3885"/>
    <w:rsid w:val="00FB144C"/>
    <w:rsid w:val="00FB2BA8"/>
    <w:rsid w:val="00FC0647"/>
    <w:rsid w:val="00FC453A"/>
    <w:rsid w:val="00FD73D3"/>
    <w:rsid w:val="00FE0A3A"/>
    <w:rsid w:val="00FE4724"/>
    <w:rsid w:val="00FE5D55"/>
    <w:rsid w:val="00FE5E09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B8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B8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E24CC-D820-4BA5-BE0C-8A5EADBF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Коннова Е.А.</cp:lastModifiedBy>
  <cp:revision>10</cp:revision>
  <cp:lastPrinted>2020-11-05T06:24:00Z</cp:lastPrinted>
  <dcterms:created xsi:type="dcterms:W3CDTF">2023-10-20T12:45:00Z</dcterms:created>
  <dcterms:modified xsi:type="dcterms:W3CDTF">2023-10-23T08:48:00Z</dcterms:modified>
</cp:coreProperties>
</file>