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</w:p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______________________Е.Н. Морева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6E1C80">
      <w:pPr>
        <w:tabs>
          <w:tab w:val="left" w:pos="8789"/>
        </w:tabs>
        <w:spacing w:line="264" w:lineRule="auto"/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AB2502" w:rsidRPr="009B4C3C">
        <w:rPr>
          <w:b/>
          <w:sz w:val="24"/>
          <w:szCs w:val="24"/>
          <w:u w:val="single"/>
        </w:rPr>
        <w:t>4</w:t>
      </w:r>
      <w:r w:rsidR="00573E0E">
        <w:rPr>
          <w:b/>
          <w:sz w:val="24"/>
          <w:szCs w:val="24"/>
          <w:u w:val="single"/>
        </w:rPr>
        <w:t>4</w:t>
      </w:r>
      <w:r w:rsidR="00C64358" w:rsidRPr="009B4C3C">
        <w:rPr>
          <w:b/>
          <w:sz w:val="24"/>
          <w:szCs w:val="24"/>
          <w:u w:val="single"/>
        </w:rPr>
        <w:t>/</w:t>
      </w:r>
      <w:r w:rsidR="00573E0E">
        <w:rPr>
          <w:b/>
          <w:sz w:val="24"/>
          <w:szCs w:val="24"/>
          <w:u w:val="single"/>
        </w:rPr>
        <w:t>5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6E1C80">
      <w:pPr>
        <w:spacing w:line="264" w:lineRule="auto"/>
        <w:jc w:val="center"/>
        <w:rPr>
          <w:sz w:val="24"/>
          <w:szCs w:val="24"/>
        </w:rPr>
      </w:pPr>
    </w:p>
    <w:p w:rsidR="005B384C" w:rsidRPr="009B4C3C" w:rsidRDefault="00573E0E" w:rsidP="006E1C80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C45974" w:rsidRPr="009B4C3C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211681">
        <w:rPr>
          <w:sz w:val="24"/>
          <w:szCs w:val="24"/>
        </w:rPr>
        <w:t>3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center"/>
        <w:rPr>
          <w:sz w:val="24"/>
          <w:szCs w:val="24"/>
        </w:rPr>
      </w:pPr>
    </w:p>
    <w:p w:rsidR="005B384C" w:rsidRPr="009B4C3C" w:rsidRDefault="005B384C" w:rsidP="006E1C80">
      <w:pPr>
        <w:pStyle w:val="21"/>
        <w:widowControl/>
        <w:spacing w:line="264" w:lineRule="auto"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:rsidR="005B384C" w:rsidRPr="009B4C3C" w:rsidRDefault="005B384C" w:rsidP="006E1C80">
      <w:pPr>
        <w:pStyle w:val="21"/>
        <w:widowControl/>
        <w:spacing w:line="264" w:lineRule="auto"/>
        <w:ind w:firstLine="0"/>
        <w:rPr>
          <w:szCs w:val="24"/>
        </w:rPr>
      </w:pPr>
      <w:r w:rsidRPr="009B4C3C">
        <w:rPr>
          <w:szCs w:val="24"/>
        </w:rPr>
        <w:t>Председатель Правления: Морева Е.Н.</w:t>
      </w:r>
    </w:p>
    <w:p w:rsidR="00593C83" w:rsidRPr="009B4C3C" w:rsidRDefault="00593C83" w:rsidP="006E1C80">
      <w:pPr>
        <w:spacing w:line="264" w:lineRule="auto"/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Члены Правления: Бугаева С.Е., </w:t>
      </w:r>
      <w:r w:rsidR="00790FF1" w:rsidRPr="009B4C3C">
        <w:rPr>
          <w:sz w:val="24"/>
          <w:szCs w:val="24"/>
        </w:rPr>
        <w:t xml:space="preserve">Гущина Н.Б., </w:t>
      </w:r>
      <w:r w:rsidR="005010B2" w:rsidRPr="009B4C3C">
        <w:rPr>
          <w:sz w:val="24"/>
          <w:szCs w:val="24"/>
        </w:rPr>
        <w:t>Турбачкина Е.В.</w:t>
      </w:r>
      <w:r w:rsidRPr="009B4C3C">
        <w:rPr>
          <w:sz w:val="24"/>
          <w:szCs w:val="24"/>
        </w:rPr>
        <w:t xml:space="preserve">,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335AB5" w:rsidRPr="009B4C3C">
        <w:rPr>
          <w:sz w:val="24"/>
          <w:szCs w:val="24"/>
        </w:rPr>
        <w:t>Коннова Е.А</w:t>
      </w:r>
      <w:r w:rsidR="009D60BE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, 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:rsidR="005B384C" w:rsidRPr="009B4C3C" w:rsidRDefault="005B384C" w:rsidP="006E1C80">
      <w:pPr>
        <w:spacing w:line="264" w:lineRule="auto"/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 Департамента энергетики и тарифов Ивановской области:</w:t>
      </w:r>
      <w:r w:rsidR="00211B49" w:rsidRPr="009B4C3C">
        <w:rPr>
          <w:sz w:val="24"/>
          <w:szCs w:val="24"/>
        </w:rPr>
        <w:t xml:space="preserve"> </w:t>
      </w:r>
      <w:r w:rsidR="00573E0E">
        <w:rPr>
          <w:sz w:val="24"/>
          <w:szCs w:val="24"/>
        </w:rPr>
        <w:t>Куфтырева Т.В., Петрова Е.В.</w:t>
      </w:r>
    </w:p>
    <w:p w:rsidR="006E7BB8" w:rsidRPr="008E188C" w:rsidRDefault="006E7BB8" w:rsidP="006E1C80">
      <w:pPr>
        <w:pStyle w:val="21"/>
        <w:widowControl/>
        <w:spacing w:line="264" w:lineRule="auto"/>
        <w:ind w:firstLine="0"/>
        <w:rPr>
          <w:szCs w:val="24"/>
        </w:rPr>
      </w:pPr>
      <w:r w:rsidRPr="009B4C3C">
        <w:rPr>
          <w:szCs w:val="24"/>
        </w:rPr>
        <w:t xml:space="preserve">От УФАС России по Ивановской области: Виднова З.Б. (на праве совещательного голоса, участие в </w:t>
      </w:r>
      <w:r w:rsidRPr="008E188C">
        <w:rPr>
          <w:szCs w:val="24"/>
        </w:rPr>
        <w:t>голосовании не принимает).</w:t>
      </w:r>
    </w:p>
    <w:p w:rsidR="005B384C" w:rsidRPr="008E188C" w:rsidRDefault="005B384C" w:rsidP="006E1C80">
      <w:pPr>
        <w:pStyle w:val="21"/>
        <w:widowControl/>
        <w:spacing w:line="264" w:lineRule="auto"/>
        <w:ind w:firstLine="0"/>
        <w:rPr>
          <w:szCs w:val="24"/>
        </w:rPr>
      </w:pPr>
      <w:r w:rsidRPr="008E188C">
        <w:rPr>
          <w:szCs w:val="24"/>
        </w:rPr>
        <w:t>От Ассоциации «НП Совет рынка»: Кулешов А.И.</w:t>
      </w:r>
    </w:p>
    <w:p w:rsidR="005B384C" w:rsidRPr="009B4C3C" w:rsidRDefault="005B384C" w:rsidP="006E1C80">
      <w:pPr>
        <w:spacing w:line="264" w:lineRule="auto"/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C82BB3" w:rsidRPr="009B4C3C">
        <w:rPr>
          <w:sz w:val="24"/>
          <w:szCs w:val="24"/>
        </w:rPr>
        <w:t>Аскярова М.В</w:t>
      </w:r>
      <w:r w:rsidR="00211B49" w:rsidRPr="009B4C3C">
        <w:rPr>
          <w:sz w:val="24"/>
          <w:szCs w:val="24"/>
        </w:rPr>
        <w:t>.</w:t>
      </w:r>
    </w:p>
    <w:p w:rsidR="005B384C" w:rsidRPr="009B4C3C" w:rsidRDefault="005B384C" w:rsidP="006E1C80">
      <w:pPr>
        <w:spacing w:line="264" w:lineRule="auto"/>
        <w:jc w:val="both"/>
        <w:rPr>
          <w:b/>
          <w:sz w:val="24"/>
          <w:szCs w:val="24"/>
        </w:rPr>
      </w:pPr>
    </w:p>
    <w:p w:rsidR="005B384C" w:rsidRPr="009B4C3C" w:rsidRDefault="005B384C" w:rsidP="006E1C80">
      <w:pPr>
        <w:tabs>
          <w:tab w:val="left" w:pos="851"/>
        </w:tabs>
        <w:spacing w:line="264" w:lineRule="auto"/>
        <w:ind w:firstLine="567"/>
        <w:jc w:val="center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 О В Е С Т К А:</w:t>
      </w:r>
    </w:p>
    <w:p w:rsidR="005B384C" w:rsidRPr="009B4C3C" w:rsidRDefault="005B384C" w:rsidP="006E1C80">
      <w:pPr>
        <w:tabs>
          <w:tab w:val="left" w:pos="851"/>
        </w:tabs>
        <w:spacing w:line="264" w:lineRule="auto"/>
        <w:ind w:firstLine="567"/>
        <w:jc w:val="center"/>
        <w:rPr>
          <w:b/>
          <w:sz w:val="24"/>
          <w:szCs w:val="24"/>
        </w:rPr>
      </w:pPr>
    </w:p>
    <w:p w:rsidR="00335AB5" w:rsidRDefault="00573E0E" w:rsidP="006E1C80">
      <w:pPr>
        <w:pStyle w:val="aa"/>
        <w:tabs>
          <w:tab w:val="left" w:pos="0"/>
          <w:tab w:val="left" w:pos="709"/>
          <w:tab w:val="left" w:pos="851"/>
        </w:tabs>
        <w:spacing w:line="264" w:lineRule="auto"/>
        <w:ind w:lef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 w:rsidR="00F75BE5" w:rsidRPr="00F75BE5">
        <w:rPr>
          <w:b/>
          <w:bCs/>
          <w:sz w:val="24"/>
          <w:szCs w:val="24"/>
        </w:rPr>
        <w:t xml:space="preserve">О внесении изменений в постановление Департамента энергетики и тарифов Ивановской области </w:t>
      </w:r>
      <w:r w:rsidR="006E1C80">
        <w:rPr>
          <w:b/>
          <w:bCs/>
          <w:sz w:val="24"/>
          <w:szCs w:val="24"/>
        </w:rPr>
        <w:t xml:space="preserve">от </w:t>
      </w:r>
      <w:r w:rsidRPr="00573E0E">
        <w:rPr>
          <w:b/>
          <w:bCs/>
          <w:sz w:val="24"/>
          <w:szCs w:val="24"/>
        </w:rPr>
        <w:t>17.12.2020 № 72-э/1 «Об установлении необходимой валовой выручки и долгосрочных параметров регулирования для ООО «ИВЭЛС»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6E77F1">
        <w:rPr>
          <w:b/>
          <w:bCs/>
          <w:sz w:val="24"/>
          <w:szCs w:val="24"/>
        </w:rPr>
        <w:t>.</w:t>
      </w:r>
    </w:p>
    <w:p w:rsidR="00573E0E" w:rsidRPr="00573E0E" w:rsidRDefault="00573E0E" w:rsidP="006E1C80">
      <w:pPr>
        <w:pStyle w:val="aa"/>
        <w:tabs>
          <w:tab w:val="left" w:pos="0"/>
          <w:tab w:val="left" w:pos="709"/>
          <w:tab w:val="left" w:pos="851"/>
        </w:tabs>
        <w:spacing w:line="264" w:lineRule="auto"/>
        <w:ind w:lef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 w:rsidRPr="00573E0E">
        <w:rPr>
          <w:b/>
          <w:bCs/>
          <w:sz w:val="24"/>
          <w:szCs w:val="24"/>
        </w:rPr>
        <w:t xml:space="preserve">. О внесении изменений в постановление Департамента энергетики и тарифов Ивановской </w:t>
      </w:r>
      <w:r w:rsidR="000A224C">
        <w:rPr>
          <w:b/>
          <w:bCs/>
          <w:sz w:val="24"/>
          <w:szCs w:val="24"/>
        </w:rPr>
        <w:t xml:space="preserve">области от 29.12.2020 № 77-э/3 </w:t>
      </w:r>
      <w:r w:rsidRPr="00573E0E">
        <w:rPr>
          <w:b/>
          <w:bCs/>
          <w:sz w:val="24"/>
          <w:szCs w:val="24"/>
        </w:rPr>
        <w:t>«Об установлении необходимой валовой выручки и долгосрочных параметров регулирования для ОАО «Юрьевецкие электрические сети»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8033F0">
        <w:rPr>
          <w:b/>
          <w:bCs/>
          <w:sz w:val="24"/>
          <w:szCs w:val="24"/>
        </w:rPr>
        <w:t>.</w:t>
      </w:r>
    </w:p>
    <w:p w:rsidR="00F138A2" w:rsidRPr="00211681" w:rsidRDefault="00F138A2" w:rsidP="006E1C80">
      <w:pPr>
        <w:tabs>
          <w:tab w:val="left" w:pos="0"/>
          <w:tab w:val="left" w:pos="709"/>
          <w:tab w:val="left" w:pos="851"/>
        </w:tabs>
        <w:spacing w:line="264" w:lineRule="auto"/>
        <w:jc w:val="both"/>
        <w:rPr>
          <w:b/>
          <w:bCs/>
          <w:sz w:val="24"/>
          <w:szCs w:val="24"/>
        </w:rPr>
      </w:pPr>
    </w:p>
    <w:p w:rsidR="0069698E" w:rsidRPr="00EF369D" w:rsidRDefault="00740A3F" w:rsidP="006E1C80">
      <w:pPr>
        <w:pStyle w:val="aa"/>
        <w:tabs>
          <w:tab w:val="left" w:pos="0"/>
          <w:tab w:val="left" w:pos="709"/>
          <w:tab w:val="left" w:pos="851"/>
        </w:tabs>
        <w:spacing w:line="264" w:lineRule="auto"/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 w:rsidRPr="00740A3F">
        <w:rPr>
          <w:b/>
          <w:bCs/>
          <w:sz w:val="24"/>
          <w:szCs w:val="24"/>
        </w:rPr>
        <w:t xml:space="preserve">. </w:t>
      </w:r>
      <w:r w:rsidR="004C3F09" w:rsidRPr="00EF369D">
        <w:rPr>
          <w:b/>
          <w:bCs/>
          <w:sz w:val="24"/>
          <w:szCs w:val="24"/>
        </w:rPr>
        <w:t xml:space="preserve">СЛУШАЛИ: </w:t>
      </w:r>
      <w:r w:rsidR="00A23C58" w:rsidRPr="00EF369D">
        <w:rPr>
          <w:b/>
          <w:bCs/>
          <w:sz w:val="24"/>
          <w:szCs w:val="24"/>
        </w:rPr>
        <w:tab/>
      </w:r>
      <w:r w:rsidR="00573E0E" w:rsidRPr="00573E0E">
        <w:rPr>
          <w:b/>
          <w:bCs/>
          <w:sz w:val="24"/>
          <w:szCs w:val="24"/>
        </w:rPr>
        <w:t xml:space="preserve">О внесении изменений в постановление Департамента энергетики и тарифов Ивановской области </w:t>
      </w:r>
      <w:r w:rsidR="006E1C80">
        <w:rPr>
          <w:b/>
          <w:bCs/>
          <w:sz w:val="24"/>
          <w:szCs w:val="24"/>
        </w:rPr>
        <w:t xml:space="preserve">от </w:t>
      </w:r>
      <w:r w:rsidR="00573E0E" w:rsidRPr="00573E0E">
        <w:rPr>
          <w:b/>
          <w:bCs/>
          <w:sz w:val="24"/>
          <w:szCs w:val="24"/>
        </w:rPr>
        <w:t>17.12.2020 № 72-э/1 «Об установлении необходимой валовой выручки и долгосрочных параметров регулирования для ООО «ИВЭЛС»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69698E" w:rsidRPr="00EF369D">
        <w:rPr>
          <w:b/>
          <w:bCs/>
          <w:sz w:val="24"/>
          <w:szCs w:val="24"/>
        </w:rPr>
        <w:t xml:space="preserve"> (Морева, Коннова,</w:t>
      </w:r>
      <w:r w:rsidR="00F836FE" w:rsidRPr="00EF369D">
        <w:rPr>
          <w:b/>
          <w:bCs/>
          <w:sz w:val="24"/>
          <w:szCs w:val="24"/>
        </w:rPr>
        <w:t xml:space="preserve"> </w:t>
      </w:r>
      <w:r w:rsidR="00573E0E">
        <w:rPr>
          <w:b/>
          <w:bCs/>
          <w:sz w:val="24"/>
          <w:szCs w:val="24"/>
        </w:rPr>
        <w:t>Куфтырева</w:t>
      </w:r>
      <w:r w:rsidR="0069698E" w:rsidRPr="00EF369D">
        <w:rPr>
          <w:b/>
          <w:bCs/>
          <w:sz w:val="24"/>
          <w:szCs w:val="24"/>
        </w:rPr>
        <w:t>).</w:t>
      </w:r>
    </w:p>
    <w:p w:rsidR="00706480" w:rsidRPr="0043169A" w:rsidRDefault="00706480" w:rsidP="006E1C80">
      <w:pPr>
        <w:tabs>
          <w:tab w:val="left" w:pos="993"/>
          <w:tab w:val="left" w:pos="1418"/>
          <w:tab w:val="left" w:pos="4020"/>
        </w:tabs>
        <w:spacing w:line="264" w:lineRule="auto"/>
        <w:ind w:firstLine="567"/>
        <w:jc w:val="both"/>
        <w:rPr>
          <w:bCs/>
          <w:sz w:val="24"/>
          <w:szCs w:val="24"/>
        </w:rPr>
      </w:pPr>
      <w:r w:rsidRPr="0043169A">
        <w:rPr>
          <w:bCs/>
          <w:sz w:val="24"/>
          <w:szCs w:val="24"/>
        </w:rPr>
        <w:t xml:space="preserve">Рассмотрено дело в части корректировки </w:t>
      </w:r>
      <w:r w:rsidRPr="0043169A">
        <w:rPr>
          <w:sz w:val="24"/>
          <w:szCs w:val="24"/>
        </w:rPr>
        <w:t>НВВ на содержание электрических сетей на 202</w:t>
      </w:r>
      <w:r w:rsidR="00211681" w:rsidRPr="0043169A">
        <w:rPr>
          <w:sz w:val="24"/>
          <w:szCs w:val="24"/>
        </w:rPr>
        <w:t>4</w:t>
      </w:r>
      <w:r w:rsidRPr="0043169A">
        <w:rPr>
          <w:sz w:val="24"/>
          <w:szCs w:val="24"/>
        </w:rPr>
        <w:t xml:space="preserve"> год, </w:t>
      </w:r>
      <w:r w:rsidRPr="0043169A">
        <w:rPr>
          <w:bCs/>
          <w:sz w:val="24"/>
          <w:szCs w:val="24"/>
        </w:rPr>
        <w:t xml:space="preserve">принимаемой в расчет единых (котловых) и индивидуальных тарифов на услуги по передаче электрической энергии (без учета оплаты потерь), </w:t>
      </w:r>
      <w:r w:rsidR="005D4C80" w:rsidRPr="0043169A">
        <w:rPr>
          <w:bCs/>
          <w:sz w:val="24"/>
          <w:szCs w:val="24"/>
        </w:rPr>
        <w:t>для ООО «ИВЭЛС»</w:t>
      </w:r>
      <w:r w:rsidRPr="0043169A">
        <w:rPr>
          <w:bCs/>
          <w:sz w:val="24"/>
          <w:szCs w:val="24"/>
        </w:rPr>
        <w:t xml:space="preserve"> (долгосрочный период регулирования 2021-2025 гг.).</w:t>
      </w:r>
    </w:p>
    <w:p w:rsidR="00706480" w:rsidRPr="00F14793" w:rsidRDefault="00706480" w:rsidP="006E1C80">
      <w:pPr>
        <w:tabs>
          <w:tab w:val="left" w:pos="993"/>
          <w:tab w:val="left" w:pos="1418"/>
          <w:tab w:val="left" w:pos="4020"/>
        </w:tabs>
        <w:spacing w:line="264" w:lineRule="auto"/>
        <w:ind w:firstLine="567"/>
        <w:jc w:val="both"/>
        <w:rPr>
          <w:sz w:val="24"/>
          <w:szCs w:val="24"/>
        </w:rPr>
      </w:pPr>
      <w:r w:rsidRPr="00F14793">
        <w:rPr>
          <w:sz w:val="24"/>
          <w:szCs w:val="24"/>
        </w:rPr>
        <w:t>В соответствии с проведенной экспертизой установлено,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706480" w:rsidRPr="00F14793" w:rsidRDefault="00706480" w:rsidP="006E1C80">
      <w:pPr>
        <w:spacing w:line="264" w:lineRule="auto"/>
        <w:ind w:firstLine="567"/>
        <w:jc w:val="both"/>
        <w:rPr>
          <w:sz w:val="24"/>
          <w:szCs w:val="24"/>
        </w:rPr>
      </w:pPr>
      <w:r w:rsidRPr="00F14793">
        <w:rPr>
          <w:bCs/>
          <w:sz w:val="24"/>
          <w:szCs w:val="24"/>
        </w:rPr>
        <w:t>Департамент отмечает, что расчет произведен специалистами Департамента в</w:t>
      </w:r>
      <w:r w:rsidRPr="00F14793">
        <w:rPr>
          <w:sz w:val="24"/>
          <w:szCs w:val="24"/>
        </w:rPr>
        <w:t xml:space="preserve"> соответствии с:</w:t>
      </w:r>
    </w:p>
    <w:p w:rsidR="00F14793" w:rsidRPr="00DD26C2" w:rsidRDefault="00F14793" w:rsidP="00F14793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DD26C2">
        <w:rPr>
          <w:bCs/>
          <w:sz w:val="24"/>
          <w:szCs w:val="24"/>
        </w:rPr>
        <w:lastRenderedPageBreak/>
        <w:t>- 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202</w:t>
      </w:r>
      <w:r>
        <w:rPr>
          <w:bCs/>
          <w:sz w:val="24"/>
          <w:szCs w:val="24"/>
        </w:rPr>
        <w:t>4</w:t>
      </w:r>
      <w:r w:rsidRPr="00DD26C2">
        <w:rPr>
          <w:bCs/>
          <w:sz w:val="24"/>
          <w:szCs w:val="24"/>
        </w:rPr>
        <w:t xml:space="preserve"> год и плановый период 202</w:t>
      </w:r>
      <w:r>
        <w:rPr>
          <w:bCs/>
          <w:sz w:val="24"/>
          <w:szCs w:val="24"/>
        </w:rPr>
        <w:t>5</w:t>
      </w:r>
      <w:r w:rsidRPr="00DD26C2">
        <w:rPr>
          <w:bCs/>
          <w:sz w:val="24"/>
          <w:szCs w:val="24"/>
        </w:rPr>
        <w:t xml:space="preserve"> и</w:t>
      </w:r>
      <w:r>
        <w:rPr>
          <w:bCs/>
          <w:sz w:val="24"/>
          <w:szCs w:val="24"/>
        </w:rPr>
        <w:t xml:space="preserve"> </w:t>
      </w:r>
      <w:r w:rsidRPr="00DD26C2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6</w:t>
      </w:r>
      <w:r w:rsidRPr="00DD26C2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>ов</w:t>
      </w:r>
      <w:r w:rsidRPr="00DD26C2">
        <w:rPr>
          <w:bCs/>
          <w:sz w:val="24"/>
          <w:szCs w:val="24"/>
        </w:rPr>
        <w:t>,</w:t>
      </w:r>
    </w:p>
    <w:p w:rsidR="00F14793" w:rsidRPr="00DD26C2" w:rsidRDefault="00F14793" w:rsidP="00F14793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DD26C2">
        <w:rPr>
          <w:bCs/>
          <w:sz w:val="24"/>
          <w:szCs w:val="24"/>
        </w:rPr>
        <w:t>- положениями постановления Правительства Российской Федерации от 29.12.2011 № 1178 «О</w:t>
      </w:r>
      <w:r w:rsidRPr="00DD26C2">
        <w:rPr>
          <w:sz w:val="24"/>
          <w:szCs w:val="24"/>
        </w:rPr>
        <w:t xml:space="preserve"> ценообразовании в области регулируемых цен (тарифов) в электроэнергетике»</w:t>
      </w:r>
      <w:r>
        <w:rPr>
          <w:sz w:val="24"/>
          <w:szCs w:val="24"/>
        </w:rPr>
        <w:t xml:space="preserve"> (далее – Основы ценообразования)</w:t>
      </w:r>
      <w:r w:rsidRPr="00DD26C2">
        <w:rPr>
          <w:sz w:val="24"/>
          <w:szCs w:val="24"/>
        </w:rPr>
        <w:t>,</w:t>
      </w:r>
    </w:p>
    <w:p w:rsidR="00F14793" w:rsidRPr="00DD26C2" w:rsidRDefault="00F14793" w:rsidP="00F14793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26C2">
        <w:rPr>
          <w:sz w:val="24"/>
          <w:szCs w:val="24"/>
        </w:rPr>
        <w:t>- 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 (далее – Методические указания № 98-э).</w:t>
      </w:r>
    </w:p>
    <w:p w:rsidR="005D4C80" w:rsidRPr="00F14793" w:rsidRDefault="005D4C80" w:rsidP="006E1C80">
      <w:pPr>
        <w:spacing w:line="264" w:lineRule="auto"/>
        <w:ind w:firstLine="567"/>
        <w:jc w:val="both"/>
        <w:rPr>
          <w:sz w:val="24"/>
          <w:szCs w:val="24"/>
        </w:rPr>
      </w:pPr>
      <w:r w:rsidRPr="00F14793">
        <w:rPr>
          <w:sz w:val="24"/>
          <w:szCs w:val="24"/>
        </w:rPr>
        <w:t>Основные показатели деятельност</w:t>
      </w:r>
      <w:proofErr w:type="gramStart"/>
      <w:r w:rsidRPr="00F14793">
        <w:rPr>
          <w:sz w:val="24"/>
          <w:szCs w:val="24"/>
        </w:rPr>
        <w:t>и ООО</w:t>
      </w:r>
      <w:proofErr w:type="gramEnd"/>
      <w:r w:rsidRPr="00F14793">
        <w:rPr>
          <w:sz w:val="24"/>
          <w:szCs w:val="24"/>
        </w:rPr>
        <w:t xml:space="preserve"> «ИВЭЛС», принимаемые в расчет единых (котловых) и индивидуальных тарифов на услуги по передаче электрической энергии на 202</w:t>
      </w:r>
      <w:r w:rsidR="00740A3F" w:rsidRPr="00F14793">
        <w:rPr>
          <w:sz w:val="24"/>
          <w:szCs w:val="24"/>
        </w:rPr>
        <w:t>4</w:t>
      </w:r>
      <w:r w:rsidRPr="00F14793">
        <w:rPr>
          <w:sz w:val="24"/>
          <w:szCs w:val="24"/>
        </w:rPr>
        <w:t xml:space="preserve"> год, а также принимаемые при установлении НВВ, приведены в приложениях к протоколу.</w:t>
      </w:r>
    </w:p>
    <w:p w:rsidR="005D4C80" w:rsidRPr="00F14793" w:rsidRDefault="005D4C80" w:rsidP="006E1C80">
      <w:pPr>
        <w:spacing w:line="264" w:lineRule="auto"/>
        <w:ind w:firstLine="567"/>
        <w:jc w:val="both"/>
        <w:rPr>
          <w:sz w:val="24"/>
          <w:szCs w:val="24"/>
        </w:rPr>
      </w:pPr>
      <w:r w:rsidRPr="00F14793">
        <w:rPr>
          <w:sz w:val="24"/>
          <w:szCs w:val="24"/>
        </w:rPr>
        <w:t>По результатам экспертизы подготовлены расчетные материалы и соответствующее экспертное заключение.</w:t>
      </w:r>
    </w:p>
    <w:p w:rsidR="005D4C80" w:rsidRPr="00F14793" w:rsidRDefault="005D4C80" w:rsidP="006E1C80">
      <w:pPr>
        <w:spacing w:line="264" w:lineRule="auto"/>
        <w:ind w:firstLine="567"/>
        <w:jc w:val="both"/>
        <w:rPr>
          <w:bCs/>
          <w:sz w:val="24"/>
          <w:szCs w:val="24"/>
        </w:rPr>
      </w:pPr>
      <w:r w:rsidRPr="00F14793">
        <w:rPr>
          <w:bCs/>
          <w:sz w:val="24"/>
          <w:szCs w:val="24"/>
        </w:rPr>
        <w:t>Необходимо внести соответствующие изменения в постановление Департамента энергетики и тарифов Ивановской области от 17.12.2020 № 72-э/1 «Об установлении необходимой валовой выручки и долгосрочных параметров регулирования для ООО «ИВЭЛС»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регулирования».</w:t>
      </w:r>
    </w:p>
    <w:p w:rsidR="005D28A6" w:rsidRPr="00F14793" w:rsidRDefault="005D4C80" w:rsidP="006E1C80">
      <w:pPr>
        <w:spacing w:line="264" w:lineRule="auto"/>
        <w:ind w:firstLine="567"/>
        <w:jc w:val="both"/>
        <w:rPr>
          <w:bCs/>
          <w:sz w:val="24"/>
          <w:szCs w:val="24"/>
        </w:rPr>
      </w:pPr>
      <w:r w:rsidRPr="00F14793">
        <w:rPr>
          <w:bCs/>
          <w:sz w:val="24"/>
          <w:szCs w:val="24"/>
        </w:rPr>
        <w:t xml:space="preserve">ООО «ИВЭЛС» </w:t>
      </w:r>
      <w:r w:rsidR="005D28A6" w:rsidRPr="00F14793">
        <w:rPr>
          <w:bCs/>
          <w:sz w:val="24"/>
          <w:szCs w:val="24"/>
        </w:rPr>
        <w:t xml:space="preserve">письмом от </w:t>
      </w:r>
      <w:r w:rsidRPr="00F14793">
        <w:rPr>
          <w:bCs/>
          <w:sz w:val="24"/>
          <w:szCs w:val="24"/>
        </w:rPr>
        <w:t>09</w:t>
      </w:r>
      <w:r w:rsidR="003C7B75" w:rsidRPr="00F14793">
        <w:rPr>
          <w:bCs/>
          <w:sz w:val="24"/>
          <w:szCs w:val="24"/>
        </w:rPr>
        <w:t>.1</w:t>
      </w:r>
      <w:r w:rsidRPr="00F14793">
        <w:rPr>
          <w:bCs/>
          <w:sz w:val="24"/>
          <w:szCs w:val="24"/>
        </w:rPr>
        <w:t>1</w:t>
      </w:r>
      <w:r w:rsidR="003C7B75" w:rsidRPr="00F14793">
        <w:rPr>
          <w:bCs/>
          <w:sz w:val="24"/>
          <w:szCs w:val="24"/>
        </w:rPr>
        <w:t>.202</w:t>
      </w:r>
      <w:r w:rsidR="00211681" w:rsidRPr="00F14793">
        <w:rPr>
          <w:bCs/>
          <w:sz w:val="24"/>
          <w:szCs w:val="24"/>
        </w:rPr>
        <w:t>3</w:t>
      </w:r>
      <w:r w:rsidR="003C7B75" w:rsidRPr="00F14793">
        <w:rPr>
          <w:bCs/>
          <w:sz w:val="24"/>
          <w:szCs w:val="24"/>
        </w:rPr>
        <w:t xml:space="preserve"> № </w:t>
      </w:r>
      <w:r w:rsidRPr="00F14793">
        <w:rPr>
          <w:bCs/>
          <w:sz w:val="24"/>
          <w:szCs w:val="24"/>
        </w:rPr>
        <w:t>268</w:t>
      </w:r>
      <w:r w:rsidR="003C7B75" w:rsidRPr="00F14793">
        <w:rPr>
          <w:bCs/>
          <w:sz w:val="24"/>
          <w:szCs w:val="24"/>
        </w:rPr>
        <w:t xml:space="preserve"> </w:t>
      </w:r>
      <w:r w:rsidR="00B26CDB" w:rsidRPr="00F14793">
        <w:rPr>
          <w:bCs/>
          <w:sz w:val="24"/>
          <w:szCs w:val="24"/>
        </w:rPr>
        <w:t>просит рассмотреть вышеуказанный вопрос на заседании Правления Департамента в отсутствие своих представителей и согласовывает предлагаемый к устано</w:t>
      </w:r>
      <w:r w:rsidRPr="00F14793">
        <w:rPr>
          <w:bCs/>
          <w:sz w:val="24"/>
          <w:szCs w:val="24"/>
        </w:rPr>
        <w:t>влению уровень НВВ на 2024 год.</w:t>
      </w:r>
    </w:p>
    <w:p w:rsidR="006E1C80" w:rsidRPr="00F14793" w:rsidRDefault="00706480" w:rsidP="006E1C80">
      <w:pPr>
        <w:tabs>
          <w:tab w:val="left" w:pos="4020"/>
        </w:tabs>
        <w:spacing w:line="264" w:lineRule="auto"/>
        <w:ind w:firstLine="567"/>
        <w:jc w:val="both"/>
        <w:rPr>
          <w:bCs/>
          <w:sz w:val="24"/>
          <w:szCs w:val="24"/>
        </w:rPr>
      </w:pPr>
      <w:r w:rsidRPr="00F14793">
        <w:rPr>
          <w:bCs/>
          <w:sz w:val="24"/>
          <w:szCs w:val="24"/>
        </w:rPr>
        <w:t>Ассоциация «НП Совет рынка» в отношен</w:t>
      </w:r>
      <w:proofErr w:type="gramStart"/>
      <w:r w:rsidRPr="00F14793">
        <w:rPr>
          <w:bCs/>
          <w:sz w:val="24"/>
          <w:szCs w:val="24"/>
        </w:rPr>
        <w:t xml:space="preserve">ии </w:t>
      </w:r>
      <w:r w:rsidR="006E1C80" w:rsidRPr="00F14793">
        <w:rPr>
          <w:bCs/>
          <w:sz w:val="24"/>
          <w:szCs w:val="24"/>
        </w:rPr>
        <w:t>ООО</w:t>
      </w:r>
      <w:proofErr w:type="gramEnd"/>
      <w:r w:rsidR="006E1C80" w:rsidRPr="00F14793">
        <w:rPr>
          <w:bCs/>
          <w:sz w:val="24"/>
          <w:szCs w:val="24"/>
        </w:rPr>
        <w:t xml:space="preserve"> «ИВЭЛС»</w:t>
      </w:r>
      <w:r w:rsidRPr="00F14793">
        <w:rPr>
          <w:bCs/>
          <w:sz w:val="24"/>
          <w:szCs w:val="24"/>
        </w:rPr>
        <w:t xml:space="preserve"> голосует по данному вопросу «против»</w:t>
      </w:r>
      <w:r w:rsidR="003F7F39" w:rsidRPr="00F14793">
        <w:rPr>
          <w:bCs/>
          <w:sz w:val="24"/>
          <w:szCs w:val="24"/>
        </w:rPr>
        <w:t>, так как</w:t>
      </w:r>
      <w:r w:rsidR="006E1C80" w:rsidRPr="00F14793">
        <w:rPr>
          <w:bCs/>
          <w:sz w:val="24"/>
          <w:szCs w:val="24"/>
        </w:rPr>
        <w:t>:</w:t>
      </w:r>
    </w:p>
    <w:p w:rsidR="006E1C80" w:rsidRPr="00F14793" w:rsidRDefault="006E1C80" w:rsidP="00F14793">
      <w:pPr>
        <w:spacing w:line="264" w:lineRule="auto"/>
        <w:ind w:firstLine="567"/>
        <w:jc w:val="both"/>
        <w:rPr>
          <w:bCs/>
          <w:sz w:val="24"/>
          <w:szCs w:val="24"/>
        </w:rPr>
      </w:pPr>
      <w:r w:rsidRPr="00F14793">
        <w:rPr>
          <w:bCs/>
          <w:sz w:val="24"/>
          <w:szCs w:val="24"/>
        </w:rPr>
        <w:t>- в экспертном заключении отсутствуют: пояснения об отклонениях между данными по принятому среднегодовому количеству условных единиц на 2023-2024 гг.; анализ исполнения сметы в части подконтрольных расходов, утвержденной на 2022 год; анализ источников приобретения основных средств; информация о дополнительных соглашениях к договору на передачу, подтверждающих включение точек приема в сеть ТСО и поставки потребителям, информация о государственной регистрации права на оборудование, поступившее на баланс 01.10.2023;</w:t>
      </w:r>
    </w:p>
    <w:p w:rsidR="006E1C80" w:rsidRPr="00F14793" w:rsidRDefault="006E1C80" w:rsidP="00F14793">
      <w:pPr>
        <w:spacing w:line="264" w:lineRule="auto"/>
        <w:ind w:firstLine="567"/>
        <w:jc w:val="both"/>
        <w:rPr>
          <w:bCs/>
          <w:sz w:val="24"/>
          <w:szCs w:val="24"/>
        </w:rPr>
      </w:pPr>
      <w:r w:rsidRPr="00F14793">
        <w:rPr>
          <w:bCs/>
          <w:sz w:val="24"/>
          <w:szCs w:val="24"/>
        </w:rPr>
        <w:t>- величина принятых амортизационных отчислений в экспертном заключении отличается от величины в расчетных материалах;</w:t>
      </w:r>
    </w:p>
    <w:p w:rsidR="006E1C80" w:rsidRPr="00F14793" w:rsidRDefault="006E1C80" w:rsidP="00F14793">
      <w:pPr>
        <w:spacing w:line="264" w:lineRule="auto"/>
        <w:ind w:firstLine="567"/>
        <w:jc w:val="both"/>
        <w:rPr>
          <w:bCs/>
          <w:sz w:val="24"/>
          <w:szCs w:val="24"/>
        </w:rPr>
      </w:pPr>
      <w:r w:rsidRPr="00F14793">
        <w:rPr>
          <w:bCs/>
          <w:sz w:val="24"/>
          <w:szCs w:val="24"/>
        </w:rPr>
        <w:t>- в представленных материалах отсутствуют пояснения по признанным Департаментом экономически обоснованным расходам при выполнении корректировок НВВ за 2022 г.</w:t>
      </w:r>
    </w:p>
    <w:p w:rsidR="006C2391" w:rsidRPr="00F14793" w:rsidRDefault="006C2391" w:rsidP="00F14793">
      <w:pPr>
        <w:spacing w:line="264" w:lineRule="auto"/>
        <w:ind w:firstLine="567"/>
        <w:jc w:val="both"/>
        <w:rPr>
          <w:bCs/>
          <w:sz w:val="24"/>
          <w:szCs w:val="24"/>
        </w:rPr>
      </w:pPr>
      <w:r w:rsidRPr="00F14793">
        <w:rPr>
          <w:bCs/>
          <w:sz w:val="24"/>
          <w:szCs w:val="24"/>
        </w:rPr>
        <w:t>Департамент отмечает, что в экспертном заключен</w:t>
      </w:r>
      <w:proofErr w:type="gramStart"/>
      <w:r w:rsidRPr="00F14793">
        <w:rPr>
          <w:bCs/>
          <w:sz w:val="24"/>
          <w:szCs w:val="24"/>
        </w:rPr>
        <w:t xml:space="preserve">ии </w:t>
      </w:r>
      <w:r w:rsidR="006E1C80" w:rsidRPr="00F14793">
        <w:rPr>
          <w:bCs/>
          <w:sz w:val="24"/>
          <w:szCs w:val="24"/>
        </w:rPr>
        <w:t>ООО</w:t>
      </w:r>
      <w:proofErr w:type="gramEnd"/>
      <w:r w:rsidR="006E1C80" w:rsidRPr="00F14793">
        <w:rPr>
          <w:bCs/>
          <w:sz w:val="24"/>
          <w:szCs w:val="24"/>
        </w:rPr>
        <w:t xml:space="preserve"> «ИВЭЛС»</w:t>
      </w:r>
      <w:r w:rsidRPr="00F14793">
        <w:rPr>
          <w:bCs/>
          <w:sz w:val="24"/>
          <w:szCs w:val="24"/>
        </w:rPr>
        <w:t xml:space="preserve"> соответствующая информация дополнена</w:t>
      </w:r>
      <w:r w:rsidR="006E1C80" w:rsidRPr="00F14793">
        <w:rPr>
          <w:bCs/>
          <w:sz w:val="24"/>
          <w:szCs w:val="24"/>
        </w:rPr>
        <w:t>, техническая ошибка по величине амортизационных отчислений исправлена</w:t>
      </w:r>
      <w:r w:rsidR="00691BA6">
        <w:rPr>
          <w:bCs/>
          <w:sz w:val="24"/>
          <w:szCs w:val="24"/>
        </w:rPr>
        <w:t>, балансовые показатели и точки поставки с «котлодержателем» урегулированы</w:t>
      </w:r>
      <w:r w:rsidR="006E1C80" w:rsidRPr="00F14793">
        <w:rPr>
          <w:bCs/>
          <w:sz w:val="24"/>
          <w:szCs w:val="24"/>
        </w:rPr>
        <w:t xml:space="preserve">. </w:t>
      </w:r>
      <w:r w:rsidR="000D661E">
        <w:rPr>
          <w:bCs/>
          <w:sz w:val="24"/>
          <w:szCs w:val="24"/>
        </w:rPr>
        <w:t xml:space="preserve">Т.к., ООО «ИВЭЛС» регулируется с применением метода долгосрочной индексации НВВ (долгосрочный период регулирования 2021-2025гг.) итоговый </w:t>
      </w:r>
      <w:r w:rsidR="000D661E" w:rsidRPr="000D661E">
        <w:rPr>
          <w:bCs/>
          <w:sz w:val="24"/>
          <w:szCs w:val="24"/>
        </w:rPr>
        <w:t>анализ исполнения сметы в части подконтрольных расходов, утвержденной на 2022 год</w:t>
      </w:r>
      <w:r w:rsidR="000D661E">
        <w:rPr>
          <w:bCs/>
          <w:sz w:val="24"/>
          <w:szCs w:val="24"/>
        </w:rPr>
        <w:t>,</w:t>
      </w:r>
      <w:r w:rsidR="000D661E" w:rsidRPr="000D661E">
        <w:rPr>
          <w:bCs/>
          <w:sz w:val="24"/>
          <w:szCs w:val="24"/>
        </w:rPr>
        <w:t xml:space="preserve"> </w:t>
      </w:r>
      <w:r w:rsidR="000D661E">
        <w:rPr>
          <w:bCs/>
          <w:sz w:val="24"/>
          <w:szCs w:val="24"/>
        </w:rPr>
        <w:t xml:space="preserve">будет произведен при установлении НВВ организации на следующий долгосрочный период регулирования. </w:t>
      </w:r>
      <w:r w:rsidR="001933D0" w:rsidRPr="001933D0">
        <w:rPr>
          <w:bCs/>
          <w:sz w:val="24"/>
          <w:szCs w:val="24"/>
        </w:rPr>
        <w:t>Департамент также отмечает, что финансирование расходов на покупку объектов электросетевого хозяйства не было осуществлено за счет бюджетных средств, при установлении тарифов данные средства также не учитывались.</w:t>
      </w:r>
    </w:p>
    <w:p w:rsidR="00E95F9F" w:rsidRPr="00F14793" w:rsidRDefault="0047755F" w:rsidP="006E1C80">
      <w:pPr>
        <w:pStyle w:val="aa"/>
        <w:tabs>
          <w:tab w:val="left" w:pos="0"/>
          <w:tab w:val="left" w:pos="1134"/>
          <w:tab w:val="left" w:pos="1276"/>
        </w:tabs>
        <w:spacing w:line="264" w:lineRule="auto"/>
        <w:ind w:left="0" w:firstLine="567"/>
        <w:jc w:val="both"/>
        <w:rPr>
          <w:sz w:val="24"/>
          <w:szCs w:val="24"/>
        </w:rPr>
      </w:pPr>
      <w:r w:rsidRPr="00F14793">
        <w:rPr>
          <w:b/>
          <w:sz w:val="24"/>
          <w:szCs w:val="24"/>
        </w:rPr>
        <w:t>РЕШИЛИ:</w:t>
      </w:r>
    </w:p>
    <w:p w:rsidR="00706480" w:rsidRPr="000D661E" w:rsidRDefault="00F7399D" w:rsidP="006E1C80">
      <w:pPr>
        <w:tabs>
          <w:tab w:val="left" w:pos="4020"/>
        </w:tabs>
        <w:spacing w:line="264" w:lineRule="auto"/>
        <w:ind w:firstLine="540"/>
        <w:jc w:val="both"/>
        <w:rPr>
          <w:sz w:val="24"/>
          <w:szCs w:val="24"/>
        </w:rPr>
      </w:pPr>
      <w:r w:rsidRPr="000D661E">
        <w:rPr>
          <w:sz w:val="24"/>
          <w:szCs w:val="24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</w:t>
      </w:r>
      <w:r w:rsidRPr="000D661E">
        <w:rPr>
          <w:sz w:val="24"/>
          <w:szCs w:val="24"/>
        </w:rPr>
        <w:lastRenderedPageBreak/>
        <w:t>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27.12.2004 № 861</w:t>
      </w:r>
      <w:r w:rsidR="00706480" w:rsidRPr="000D661E">
        <w:rPr>
          <w:sz w:val="24"/>
          <w:szCs w:val="24"/>
        </w:rPr>
        <w:t>:</w:t>
      </w:r>
    </w:p>
    <w:p w:rsidR="00706480" w:rsidRPr="000D661E" w:rsidRDefault="00706480" w:rsidP="006E1C80">
      <w:pPr>
        <w:pStyle w:val="aa"/>
        <w:tabs>
          <w:tab w:val="left" w:pos="4020"/>
        </w:tabs>
        <w:spacing w:line="264" w:lineRule="auto"/>
        <w:ind w:left="0" w:firstLine="567"/>
        <w:jc w:val="both"/>
        <w:rPr>
          <w:sz w:val="24"/>
          <w:szCs w:val="24"/>
        </w:rPr>
      </w:pPr>
      <w:r w:rsidRPr="000D661E">
        <w:rPr>
          <w:sz w:val="24"/>
          <w:szCs w:val="24"/>
        </w:rPr>
        <w:t xml:space="preserve">1. </w:t>
      </w:r>
      <w:proofErr w:type="gramStart"/>
      <w:r w:rsidRPr="000D661E">
        <w:rPr>
          <w:sz w:val="24"/>
          <w:szCs w:val="24"/>
        </w:rPr>
        <w:t xml:space="preserve">Внести изменения </w:t>
      </w:r>
      <w:r w:rsidR="006E1C80" w:rsidRPr="000D661E">
        <w:rPr>
          <w:sz w:val="24"/>
          <w:szCs w:val="24"/>
        </w:rPr>
        <w:t>в постановление Департамента энергетики и тарифов Ивановской области от 17.12.2020 № 72-э/1 «Об установлении необходимой валовой выручки и долгосрочных параметров регулирования для ООО «ИВЭЛС»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Pr="000D661E">
        <w:rPr>
          <w:sz w:val="24"/>
          <w:szCs w:val="24"/>
        </w:rPr>
        <w:t xml:space="preserve">, изложив приложение 2 к постановлению Департамента энергетики и тарифов Ивановской области </w:t>
      </w:r>
      <w:r w:rsidR="006E1C80" w:rsidRPr="000D661E">
        <w:rPr>
          <w:sz w:val="24"/>
          <w:szCs w:val="24"/>
        </w:rPr>
        <w:t>от 17.12.2020 № 72-э</w:t>
      </w:r>
      <w:proofErr w:type="gramEnd"/>
      <w:r w:rsidR="006E1C80" w:rsidRPr="000D661E">
        <w:rPr>
          <w:sz w:val="24"/>
          <w:szCs w:val="24"/>
        </w:rPr>
        <w:t>/1</w:t>
      </w:r>
      <w:r w:rsidRPr="000D661E">
        <w:rPr>
          <w:sz w:val="24"/>
          <w:szCs w:val="24"/>
        </w:rPr>
        <w:t xml:space="preserve"> в новой редакции согласно Таблице:</w:t>
      </w:r>
    </w:p>
    <w:p w:rsidR="00706480" w:rsidRPr="000D661E" w:rsidRDefault="00706480" w:rsidP="006E1C80">
      <w:pPr>
        <w:tabs>
          <w:tab w:val="left" w:pos="4020"/>
        </w:tabs>
        <w:spacing w:line="264" w:lineRule="auto"/>
        <w:ind w:firstLine="540"/>
        <w:jc w:val="right"/>
        <w:rPr>
          <w:sz w:val="24"/>
          <w:szCs w:val="24"/>
        </w:rPr>
      </w:pPr>
      <w:r w:rsidRPr="000D661E">
        <w:rPr>
          <w:sz w:val="24"/>
          <w:szCs w:val="24"/>
        </w:rPr>
        <w:t>Таблица</w:t>
      </w:r>
    </w:p>
    <w:p w:rsidR="000D661E" w:rsidRPr="000D661E" w:rsidRDefault="000D661E" w:rsidP="000D661E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0D661E">
        <w:rPr>
          <w:sz w:val="24"/>
          <w:szCs w:val="24"/>
        </w:rPr>
        <w:t>Необходимая валовая выручка</w:t>
      </w:r>
    </w:p>
    <w:p w:rsidR="000D661E" w:rsidRPr="000D661E" w:rsidRDefault="000D661E" w:rsidP="000D661E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0D661E">
        <w:rPr>
          <w:sz w:val="24"/>
          <w:szCs w:val="24"/>
        </w:rPr>
        <w:t>ООО «ИВЭЛС» на долгосрочный период регулирования</w:t>
      </w:r>
    </w:p>
    <w:p w:rsidR="000D661E" w:rsidRPr="000D661E" w:rsidRDefault="000D661E" w:rsidP="000D661E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0D661E">
        <w:rPr>
          <w:sz w:val="24"/>
          <w:szCs w:val="24"/>
        </w:rPr>
        <w:t>(без учета оплаты потерь)</w:t>
      </w:r>
    </w:p>
    <w:p w:rsidR="000D661E" w:rsidRPr="000D661E" w:rsidRDefault="000D661E" w:rsidP="000D661E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20"/>
        <w:gridCol w:w="4700"/>
        <w:gridCol w:w="1100"/>
        <w:gridCol w:w="3618"/>
      </w:tblGrid>
      <w:tr w:rsidR="000D661E" w:rsidRPr="000D661E" w:rsidTr="00740A3F">
        <w:trPr>
          <w:trHeight w:val="61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C80" w:rsidRPr="000D661E" w:rsidRDefault="006E1C80" w:rsidP="00740A3F">
            <w:pPr>
              <w:jc w:val="center"/>
            </w:pPr>
            <w:r w:rsidRPr="000D661E">
              <w:t xml:space="preserve">№ </w:t>
            </w:r>
            <w:proofErr w:type="gramStart"/>
            <w:r w:rsidRPr="000D661E">
              <w:t>п</w:t>
            </w:r>
            <w:proofErr w:type="gramEnd"/>
            <w:r w:rsidRPr="000D661E">
              <w:t>/п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C80" w:rsidRPr="000D661E" w:rsidRDefault="006E1C80" w:rsidP="00740A3F">
            <w:pPr>
              <w:jc w:val="center"/>
            </w:pPr>
            <w:r w:rsidRPr="000D661E">
              <w:t>Наименование сетевой организации в субъекте Российской Федерации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C80" w:rsidRPr="000D661E" w:rsidRDefault="006E1C80" w:rsidP="00740A3F">
            <w:pPr>
              <w:jc w:val="center"/>
            </w:pPr>
            <w:r w:rsidRPr="000D661E">
              <w:t>Год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C80" w:rsidRPr="000D661E" w:rsidRDefault="006E1C80" w:rsidP="00740A3F">
            <w:pPr>
              <w:jc w:val="center"/>
            </w:pPr>
            <w:r w:rsidRPr="000D661E">
              <w:t>НВВ сетевых организаций без учета оплаты потерь</w:t>
            </w:r>
          </w:p>
        </w:tc>
      </w:tr>
      <w:tr w:rsidR="000D661E" w:rsidRPr="000D661E" w:rsidTr="00740A3F">
        <w:trPr>
          <w:trHeight w:val="31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C80" w:rsidRPr="000D661E" w:rsidRDefault="006E1C80" w:rsidP="00740A3F"/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C80" w:rsidRPr="000D661E" w:rsidRDefault="006E1C80" w:rsidP="00740A3F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C80" w:rsidRPr="000D661E" w:rsidRDefault="006E1C80" w:rsidP="00740A3F"/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C80" w:rsidRPr="000D661E" w:rsidRDefault="006E1C80" w:rsidP="00740A3F">
            <w:pPr>
              <w:jc w:val="center"/>
            </w:pPr>
            <w:r w:rsidRPr="000D661E">
              <w:t>тыс. руб.</w:t>
            </w:r>
          </w:p>
        </w:tc>
      </w:tr>
      <w:tr w:rsidR="000D661E" w:rsidRPr="000D661E" w:rsidTr="00740A3F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1C80" w:rsidRPr="000D661E" w:rsidRDefault="006E1C80" w:rsidP="00740A3F">
            <w:pPr>
              <w:jc w:val="center"/>
            </w:pPr>
            <w:r w:rsidRPr="000D661E">
              <w:t>1.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1C80" w:rsidRPr="000D661E" w:rsidRDefault="006E1C80" w:rsidP="00740A3F">
            <w:pPr>
              <w:jc w:val="center"/>
            </w:pPr>
            <w:r w:rsidRPr="000D661E">
              <w:t>ООО «ИВЭЛС»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1C80" w:rsidRPr="000D661E" w:rsidRDefault="006E1C80" w:rsidP="00740A3F">
            <w:pPr>
              <w:jc w:val="center"/>
            </w:pPr>
            <w:r w:rsidRPr="000D661E">
              <w:t>2021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1C80" w:rsidRPr="000D661E" w:rsidRDefault="006E1C80" w:rsidP="00740A3F">
            <w:pPr>
              <w:jc w:val="center"/>
            </w:pPr>
            <w:r w:rsidRPr="000D661E">
              <w:t>55 953,29</w:t>
            </w:r>
          </w:p>
        </w:tc>
      </w:tr>
      <w:tr w:rsidR="000D661E" w:rsidRPr="000D661E" w:rsidTr="00740A3F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80" w:rsidRPr="000D661E" w:rsidRDefault="006E1C80" w:rsidP="00740A3F"/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80" w:rsidRPr="000D661E" w:rsidRDefault="006E1C80" w:rsidP="00740A3F"/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1C80" w:rsidRPr="000D661E" w:rsidRDefault="006E1C80" w:rsidP="00740A3F">
            <w:pPr>
              <w:jc w:val="center"/>
            </w:pPr>
            <w:r w:rsidRPr="000D661E">
              <w:t>2022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6E1C80" w:rsidRPr="000D661E" w:rsidRDefault="006E1C80" w:rsidP="00740A3F">
            <w:pPr>
              <w:jc w:val="center"/>
            </w:pPr>
            <w:r w:rsidRPr="000D661E">
              <w:t>56 591,16</w:t>
            </w:r>
          </w:p>
        </w:tc>
      </w:tr>
      <w:tr w:rsidR="000D661E" w:rsidRPr="000D661E" w:rsidTr="00740A3F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80" w:rsidRPr="000D661E" w:rsidRDefault="006E1C80" w:rsidP="00740A3F"/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80" w:rsidRPr="000D661E" w:rsidRDefault="006E1C80" w:rsidP="00740A3F"/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1C80" w:rsidRPr="000D661E" w:rsidRDefault="006E1C80" w:rsidP="00740A3F">
            <w:pPr>
              <w:jc w:val="center"/>
            </w:pPr>
            <w:r w:rsidRPr="000D661E">
              <w:t>2023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</w:tcPr>
          <w:p w:rsidR="006E1C80" w:rsidRPr="000D661E" w:rsidRDefault="006E1C80" w:rsidP="00740A3F">
            <w:pPr>
              <w:jc w:val="center"/>
            </w:pPr>
            <w:r w:rsidRPr="000D661E">
              <w:t>91 207,66</w:t>
            </w:r>
          </w:p>
        </w:tc>
      </w:tr>
      <w:tr w:rsidR="000D661E" w:rsidRPr="000D661E" w:rsidTr="00740A3F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80" w:rsidRPr="000D661E" w:rsidRDefault="006E1C80" w:rsidP="00740A3F"/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80" w:rsidRPr="000D661E" w:rsidRDefault="006E1C80" w:rsidP="00740A3F"/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1C80" w:rsidRPr="000D661E" w:rsidRDefault="006E1C80" w:rsidP="00740A3F">
            <w:pPr>
              <w:jc w:val="center"/>
            </w:pPr>
            <w:r w:rsidRPr="000D661E">
              <w:t>2024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0" w:rsidRPr="000D661E" w:rsidRDefault="006E1C80" w:rsidP="00740A3F">
            <w:pPr>
              <w:jc w:val="center"/>
            </w:pPr>
            <w:r w:rsidRPr="000D661E">
              <w:t>113 460,24</w:t>
            </w:r>
          </w:p>
        </w:tc>
      </w:tr>
      <w:tr w:rsidR="000D661E" w:rsidRPr="000D661E" w:rsidTr="00740A3F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80" w:rsidRPr="000D661E" w:rsidRDefault="006E1C80" w:rsidP="00740A3F"/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80" w:rsidRPr="000D661E" w:rsidRDefault="006E1C80" w:rsidP="00740A3F"/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1C80" w:rsidRPr="000D661E" w:rsidRDefault="006E1C80" w:rsidP="00740A3F">
            <w:pPr>
              <w:jc w:val="center"/>
            </w:pPr>
            <w:r w:rsidRPr="000D661E">
              <w:t>2025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0" w:rsidRPr="000D661E" w:rsidRDefault="006E1C80" w:rsidP="00740A3F">
            <w:pPr>
              <w:jc w:val="center"/>
            </w:pPr>
            <w:r w:rsidRPr="000D661E">
              <w:t>108 728,46</w:t>
            </w:r>
          </w:p>
        </w:tc>
      </w:tr>
    </w:tbl>
    <w:p w:rsidR="00EA47A0" w:rsidRPr="000D661E" w:rsidRDefault="00EA47A0" w:rsidP="006E1C80">
      <w:pPr>
        <w:tabs>
          <w:tab w:val="left" w:pos="1276"/>
        </w:tabs>
        <w:autoSpaceDE w:val="0"/>
        <w:autoSpaceDN w:val="0"/>
        <w:adjustRightInd w:val="0"/>
        <w:spacing w:line="264" w:lineRule="auto"/>
        <w:ind w:right="-3"/>
        <w:jc w:val="both"/>
        <w:rPr>
          <w:sz w:val="24"/>
          <w:szCs w:val="24"/>
        </w:rPr>
      </w:pPr>
    </w:p>
    <w:p w:rsidR="0077531F" w:rsidRPr="000D661E" w:rsidRDefault="00F508D3" w:rsidP="006E1C80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  <w:r w:rsidRPr="000D661E">
        <w:rPr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:rsidR="00F508D3" w:rsidRPr="000D661E" w:rsidRDefault="00F508D3" w:rsidP="006E1C80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</w:p>
    <w:p w:rsidR="00790FF1" w:rsidRPr="000D661E" w:rsidRDefault="00790FF1" w:rsidP="006E1C80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  <w:r w:rsidRPr="000D661E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F40AC" w:rsidRPr="000D661E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790FF1" w:rsidP="006E1C80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790FF1" w:rsidP="006E1C80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790FF1" w:rsidP="006E1C80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Результаты голосования</w:t>
            </w:r>
          </w:p>
        </w:tc>
      </w:tr>
      <w:tr w:rsidR="001F40AC" w:rsidRPr="000D661E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790FF1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за</w:t>
            </w:r>
          </w:p>
        </w:tc>
      </w:tr>
      <w:tr w:rsidR="001F40AC" w:rsidRPr="000D661E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790FF1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за</w:t>
            </w:r>
          </w:p>
        </w:tc>
      </w:tr>
      <w:tr w:rsidR="001F40AC" w:rsidRPr="000D661E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790FF1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за</w:t>
            </w:r>
          </w:p>
        </w:tc>
      </w:tr>
      <w:tr w:rsidR="001F40AC" w:rsidRPr="000D661E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790FF1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за</w:t>
            </w:r>
          </w:p>
        </w:tc>
      </w:tr>
      <w:tr w:rsidR="001F40AC" w:rsidRPr="000D661E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790FF1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FD73D3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Полозов И.Г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за</w:t>
            </w:r>
          </w:p>
        </w:tc>
      </w:tr>
      <w:tr w:rsidR="001F40AC" w:rsidRPr="000D661E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2E7787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6</w:t>
            </w:r>
            <w:r w:rsidR="00790FF1" w:rsidRPr="000D661E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за</w:t>
            </w:r>
          </w:p>
        </w:tc>
      </w:tr>
      <w:tr w:rsidR="001F40AC" w:rsidRPr="000D661E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0D661E" w:rsidRDefault="00F93FAF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0D661E" w:rsidRDefault="00F93FAF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0D661E" w:rsidRDefault="00F93FAF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за</w:t>
            </w:r>
          </w:p>
        </w:tc>
      </w:tr>
      <w:tr w:rsidR="001F40AC" w:rsidRPr="000D661E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F93FAF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8</w:t>
            </w:r>
            <w:r w:rsidR="00790FF1" w:rsidRPr="000D661E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0D661E" w:rsidRDefault="00FD73D3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0D661E">
              <w:rPr>
                <w:sz w:val="24"/>
                <w:szCs w:val="24"/>
              </w:rPr>
              <w:t>против</w:t>
            </w:r>
          </w:p>
        </w:tc>
      </w:tr>
    </w:tbl>
    <w:p w:rsidR="00790FF1" w:rsidRPr="000D661E" w:rsidRDefault="00790FF1" w:rsidP="006E1C80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  <w:r w:rsidRPr="000D661E">
        <w:rPr>
          <w:sz w:val="24"/>
          <w:szCs w:val="24"/>
        </w:rPr>
        <w:t xml:space="preserve">Итого: за – </w:t>
      </w:r>
      <w:r w:rsidR="00FD73D3" w:rsidRPr="000D661E">
        <w:rPr>
          <w:sz w:val="24"/>
          <w:szCs w:val="24"/>
        </w:rPr>
        <w:t>7, против – 1</w:t>
      </w:r>
      <w:r w:rsidRPr="000D661E">
        <w:rPr>
          <w:sz w:val="24"/>
          <w:szCs w:val="24"/>
        </w:rPr>
        <w:t>, воздержался – 0, отсутствуют – 0.</w:t>
      </w:r>
    </w:p>
    <w:p w:rsidR="00A85775" w:rsidRPr="000D661E" w:rsidRDefault="00A85775" w:rsidP="006E1C80">
      <w:pPr>
        <w:tabs>
          <w:tab w:val="left" w:pos="4020"/>
        </w:tabs>
        <w:spacing w:line="264" w:lineRule="auto"/>
        <w:ind w:left="284" w:firstLine="283"/>
        <w:jc w:val="both"/>
        <w:rPr>
          <w:sz w:val="24"/>
          <w:szCs w:val="24"/>
        </w:rPr>
      </w:pPr>
    </w:p>
    <w:p w:rsidR="006A3BBE" w:rsidRPr="000D661E" w:rsidRDefault="00740A3F" w:rsidP="000D661E">
      <w:pPr>
        <w:spacing w:line="264" w:lineRule="auto"/>
        <w:ind w:firstLine="567"/>
        <w:jc w:val="both"/>
        <w:rPr>
          <w:b/>
          <w:bCs/>
          <w:sz w:val="24"/>
          <w:szCs w:val="24"/>
        </w:rPr>
      </w:pPr>
      <w:r w:rsidRPr="000D661E">
        <w:rPr>
          <w:b/>
          <w:bCs/>
          <w:sz w:val="24"/>
          <w:szCs w:val="24"/>
          <w:lang w:val="en-US"/>
        </w:rPr>
        <w:t>II</w:t>
      </w:r>
      <w:r w:rsidRPr="000D661E">
        <w:rPr>
          <w:b/>
          <w:bCs/>
          <w:sz w:val="24"/>
          <w:szCs w:val="24"/>
        </w:rPr>
        <w:t>. СЛУШАЛИ: О внесении изменений в постановление Департамента энергетики и тарифов Ивановской области от 29.12.2020 № 77-э/3 «Об установлении необходимой валовой выручки и долгосрочных параметров регулирования для ОАО «Юрьевецкие электрические сети» на 2021 - 2025 годы, в отношении которого тарифы на услуги по передаче электрической энергии устанавливаются на основе долгоср</w:t>
      </w:r>
      <w:r w:rsidR="000D661E" w:rsidRPr="000D661E">
        <w:rPr>
          <w:b/>
          <w:bCs/>
          <w:sz w:val="24"/>
          <w:szCs w:val="24"/>
        </w:rPr>
        <w:t>очных параметров регулирования»</w:t>
      </w:r>
      <w:r w:rsidRPr="000D661E">
        <w:rPr>
          <w:b/>
          <w:bCs/>
          <w:sz w:val="24"/>
          <w:szCs w:val="24"/>
        </w:rPr>
        <w:t xml:space="preserve"> (Морева, Коннова, Петрова).</w:t>
      </w:r>
    </w:p>
    <w:p w:rsidR="00740A3F" w:rsidRPr="000D661E" w:rsidRDefault="00740A3F" w:rsidP="00740A3F">
      <w:pPr>
        <w:tabs>
          <w:tab w:val="left" w:pos="993"/>
          <w:tab w:val="left" w:pos="1418"/>
          <w:tab w:val="left" w:pos="4020"/>
        </w:tabs>
        <w:spacing w:line="264" w:lineRule="auto"/>
        <w:ind w:firstLine="567"/>
        <w:jc w:val="both"/>
        <w:rPr>
          <w:bCs/>
          <w:sz w:val="24"/>
          <w:szCs w:val="24"/>
        </w:rPr>
      </w:pPr>
      <w:r w:rsidRPr="000D661E">
        <w:rPr>
          <w:bCs/>
          <w:sz w:val="24"/>
          <w:szCs w:val="24"/>
        </w:rPr>
        <w:t xml:space="preserve">Рассмотрено дело в части корректировки </w:t>
      </w:r>
      <w:r w:rsidRPr="000D661E">
        <w:rPr>
          <w:sz w:val="24"/>
          <w:szCs w:val="24"/>
        </w:rPr>
        <w:t xml:space="preserve">НВВ на содержание электрических сетей на 2024 год, </w:t>
      </w:r>
      <w:r w:rsidRPr="000D661E">
        <w:rPr>
          <w:bCs/>
          <w:sz w:val="24"/>
          <w:szCs w:val="24"/>
        </w:rPr>
        <w:t>принимаемой в расчет единых (котловых) и индивидуальных тарифов на услуги по передаче электрической энергии (без учета оплаты потерь), для ОАО «Юрьевецкие электрические сети» (долгосрочный период регулирования 2021-2025 гг.).</w:t>
      </w:r>
    </w:p>
    <w:p w:rsidR="00740A3F" w:rsidRPr="000D661E" w:rsidRDefault="00740A3F" w:rsidP="00740A3F">
      <w:pPr>
        <w:tabs>
          <w:tab w:val="left" w:pos="993"/>
          <w:tab w:val="left" w:pos="1418"/>
          <w:tab w:val="left" w:pos="4020"/>
        </w:tabs>
        <w:spacing w:line="264" w:lineRule="auto"/>
        <w:ind w:firstLine="567"/>
        <w:jc w:val="both"/>
        <w:rPr>
          <w:sz w:val="24"/>
          <w:szCs w:val="24"/>
        </w:rPr>
      </w:pPr>
      <w:r w:rsidRPr="000D661E">
        <w:rPr>
          <w:sz w:val="24"/>
          <w:szCs w:val="24"/>
        </w:rPr>
        <w:t xml:space="preserve">В соответствии с проведенной экспертизой установлено, что вышеуказанная сетевая </w:t>
      </w:r>
      <w:r w:rsidRPr="000D661E">
        <w:rPr>
          <w:sz w:val="24"/>
          <w:szCs w:val="24"/>
        </w:rPr>
        <w:lastRenderedPageBreak/>
        <w:t>организация соответствует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740A3F" w:rsidRPr="00691BA6" w:rsidRDefault="00740A3F" w:rsidP="00740A3F">
      <w:pPr>
        <w:spacing w:line="264" w:lineRule="auto"/>
        <w:ind w:firstLine="567"/>
        <w:jc w:val="both"/>
        <w:rPr>
          <w:sz w:val="24"/>
          <w:szCs w:val="24"/>
        </w:rPr>
      </w:pPr>
      <w:r w:rsidRPr="00691BA6">
        <w:rPr>
          <w:bCs/>
          <w:sz w:val="24"/>
          <w:szCs w:val="24"/>
        </w:rPr>
        <w:t>Департамент отмечает, что расчет произведен специалистами Департамента в</w:t>
      </w:r>
      <w:r w:rsidRPr="00691BA6">
        <w:rPr>
          <w:sz w:val="24"/>
          <w:szCs w:val="24"/>
        </w:rPr>
        <w:t xml:space="preserve"> соответствии </w:t>
      </w:r>
      <w:proofErr w:type="gramStart"/>
      <w:r w:rsidRPr="00691BA6">
        <w:rPr>
          <w:sz w:val="24"/>
          <w:szCs w:val="24"/>
        </w:rPr>
        <w:t>с</w:t>
      </w:r>
      <w:proofErr w:type="gramEnd"/>
      <w:r w:rsidRPr="00691BA6">
        <w:rPr>
          <w:sz w:val="24"/>
          <w:szCs w:val="24"/>
        </w:rPr>
        <w:t>:</w:t>
      </w:r>
    </w:p>
    <w:p w:rsidR="000D661E" w:rsidRPr="00DD26C2" w:rsidRDefault="000D661E" w:rsidP="000D661E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DD26C2">
        <w:rPr>
          <w:bCs/>
          <w:sz w:val="24"/>
          <w:szCs w:val="24"/>
        </w:rPr>
        <w:t>- 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202</w:t>
      </w:r>
      <w:r>
        <w:rPr>
          <w:bCs/>
          <w:sz w:val="24"/>
          <w:szCs w:val="24"/>
        </w:rPr>
        <w:t>4</w:t>
      </w:r>
      <w:r w:rsidRPr="00DD26C2">
        <w:rPr>
          <w:bCs/>
          <w:sz w:val="24"/>
          <w:szCs w:val="24"/>
        </w:rPr>
        <w:t xml:space="preserve"> год и плановый период 202</w:t>
      </w:r>
      <w:r>
        <w:rPr>
          <w:bCs/>
          <w:sz w:val="24"/>
          <w:szCs w:val="24"/>
        </w:rPr>
        <w:t>5</w:t>
      </w:r>
      <w:r w:rsidRPr="00DD26C2">
        <w:rPr>
          <w:bCs/>
          <w:sz w:val="24"/>
          <w:szCs w:val="24"/>
        </w:rPr>
        <w:t xml:space="preserve"> и</w:t>
      </w:r>
      <w:r>
        <w:rPr>
          <w:bCs/>
          <w:sz w:val="24"/>
          <w:szCs w:val="24"/>
        </w:rPr>
        <w:t xml:space="preserve"> </w:t>
      </w:r>
      <w:r w:rsidRPr="00DD26C2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6</w:t>
      </w:r>
      <w:r w:rsidRPr="00DD26C2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>ов</w:t>
      </w:r>
      <w:r w:rsidRPr="00DD26C2">
        <w:rPr>
          <w:bCs/>
          <w:sz w:val="24"/>
          <w:szCs w:val="24"/>
        </w:rPr>
        <w:t>,</w:t>
      </w:r>
    </w:p>
    <w:p w:rsidR="000D661E" w:rsidRPr="00DD26C2" w:rsidRDefault="000D661E" w:rsidP="000D661E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DD26C2">
        <w:rPr>
          <w:bCs/>
          <w:sz w:val="24"/>
          <w:szCs w:val="24"/>
        </w:rPr>
        <w:t>- положениями постановления Правительства Российской Федерации от 29.12.2011 № 1178 «О</w:t>
      </w:r>
      <w:r w:rsidRPr="00DD26C2">
        <w:rPr>
          <w:sz w:val="24"/>
          <w:szCs w:val="24"/>
        </w:rPr>
        <w:t xml:space="preserve"> ценообразовании в области регулируемых цен (тарифов) в электроэнергетике»</w:t>
      </w:r>
      <w:r>
        <w:rPr>
          <w:sz w:val="24"/>
          <w:szCs w:val="24"/>
        </w:rPr>
        <w:t xml:space="preserve"> (далее – Основы ценообразования)</w:t>
      </w:r>
      <w:r w:rsidRPr="00DD26C2">
        <w:rPr>
          <w:sz w:val="24"/>
          <w:szCs w:val="24"/>
        </w:rPr>
        <w:t>,</w:t>
      </w:r>
    </w:p>
    <w:p w:rsidR="000D661E" w:rsidRPr="00DD26C2" w:rsidRDefault="000D661E" w:rsidP="000D661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26C2">
        <w:rPr>
          <w:sz w:val="24"/>
          <w:szCs w:val="24"/>
        </w:rPr>
        <w:t>- 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 (далее – Методические указания № 98-э).</w:t>
      </w:r>
    </w:p>
    <w:p w:rsidR="00740A3F" w:rsidRPr="00691BA6" w:rsidRDefault="00740A3F" w:rsidP="00740A3F">
      <w:pPr>
        <w:spacing w:line="264" w:lineRule="auto"/>
        <w:ind w:firstLine="567"/>
        <w:jc w:val="both"/>
        <w:rPr>
          <w:sz w:val="24"/>
          <w:szCs w:val="24"/>
        </w:rPr>
      </w:pPr>
      <w:r w:rsidRPr="00691BA6">
        <w:rPr>
          <w:sz w:val="24"/>
          <w:szCs w:val="24"/>
        </w:rPr>
        <w:t>Основные показатели деятельности ОАО «Юрьевецкие электрические сети», принимаемые в расчет единых (котловых) и индивидуальных тарифов на услуги по передаче электрической энергии на 2024 год, а также принимаемые при установлении НВВ, приведены в приложениях к протоколу.</w:t>
      </w:r>
    </w:p>
    <w:p w:rsidR="00740A3F" w:rsidRPr="00691BA6" w:rsidRDefault="00740A3F" w:rsidP="00740A3F">
      <w:pPr>
        <w:spacing w:line="264" w:lineRule="auto"/>
        <w:ind w:firstLine="567"/>
        <w:jc w:val="both"/>
        <w:rPr>
          <w:sz w:val="24"/>
          <w:szCs w:val="24"/>
        </w:rPr>
      </w:pPr>
      <w:r w:rsidRPr="00691BA6">
        <w:rPr>
          <w:sz w:val="24"/>
          <w:szCs w:val="24"/>
        </w:rPr>
        <w:t>По результатам экспертизы подготовлены расчетные материалы и соответствующее экспертное заключение.</w:t>
      </w:r>
    </w:p>
    <w:p w:rsidR="00740A3F" w:rsidRPr="00691BA6" w:rsidRDefault="00740A3F" w:rsidP="00691BA6">
      <w:pPr>
        <w:widowControl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691BA6">
        <w:rPr>
          <w:sz w:val="24"/>
          <w:szCs w:val="24"/>
        </w:rPr>
        <w:t>Необходимо внести соответствующие изменения в постановление Департамента энергетики и тарифов Ивановской области от  29.12.2020 № 77-э/3 «Об установлении необходимой валовой выручки и долгосрочных параметров регулирования для ОАО «Юрьевецкие электрические сети»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регулирования».</w:t>
      </w:r>
    </w:p>
    <w:p w:rsidR="00740A3F" w:rsidRPr="00691BA6" w:rsidRDefault="00740A3F" w:rsidP="00740A3F">
      <w:pPr>
        <w:spacing w:line="264" w:lineRule="auto"/>
        <w:ind w:firstLine="567"/>
        <w:jc w:val="both"/>
        <w:rPr>
          <w:bCs/>
          <w:sz w:val="24"/>
          <w:szCs w:val="24"/>
        </w:rPr>
      </w:pPr>
      <w:r w:rsidRPr="00691BA6">
        <w:rPr>
          <w:bCs/>
          <w:sz w:val="24"/>
          <w:szCs w:val="24"/>
        </w:rPr>
        <w:t>ОАО «Юрьевецкие электрические сети» письмом от 09.11.2023 № 1/11/2023 просит рассмотреть вышеуказанный вопрос на заседании Правления Департамента в отсутствие своих представителей и согласовывает предлагаемый к установлению уровень НВВ на 2024 год.</w:t>
      </w:r>
    </w:p>
    <w:p w:rsidR="00740A3F" w:rsidRPr="00691BA6" w:rsidRDefault="00740A3F" w:rsidP="00740A3F">
      <w:pPr>
        <w:tabs>
          <w:tab w:val="left" w:pos="4020"/>
        </w:tabs>
        <w:spacing w:line="264" w:lineRule="auto"/>
        <w:ind w:firstLine="567"/>
        <w:jc w:val="both"/>
        <w:rPr>
          <w:bCs/>
          <w:sz w:val="24"/>
          <w:szCs w:val="24"/>
        </w:rPr>
      </w:pPr>
      <w:r w:rsidRPr="00691BA6">
        <w:rPr>
          <w:bCs/>
          <w:sz w:val="24"/>
          <w:szCs w:val="24"/>
        </w:rPr>
        <w:t xml:space="preserve">Ассоциация «НП Совет рынка» в отношении ОАО «Юрьевецкие электрические сети» голосует по данному вопросу «против», так как: </w:t>
      </w:r>
    </w:p>
    <w:p w:rsidR="00E40C35" w:rsidRPr="00691BA6" w:rsidRDefault="00691BA6" w:rsidP="00691BA6">
      <w:pPr>
        <w:widowControl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trike/>
          <w:sz w:val="24"/>
          <w:szCs w:val="24"/>
          <w:lang w:eastAsia="en-GB"/>
        </w:rPr>
      </w:pPr>
      <w:r w:rsidRPr="00691BA6">
        <w:rPr>
          <w:rFonts w:eastAsia="Calibri"/>
          <w:bCs/>
          <w:sz w:val="24"/>
          <w:szCs w:val="24"/>
          <w:lang w:eastAsia="en-GB"/>
        </w:rPr>
        <w:t xml:space="preserve">- </w:t>
      </w:r>
      <w:r w:rsidR="00E40C35" w:rsidRPr="00691BA6">
        <w:rPr>
          <w:rFonts w:eastAsia="Calibri"/>
          <w:bCs/>
          <w:sz w:val="24"/>
          <w:szCs w:val="24"/>
          <w:lang w:eastAsia="en-GB"/>
        </w:rPr>
        <w:t>в экспертном заключении отсутствуют: пояснения об отклонениях между данными по принятому среднегодовому количеству условных единиц на 2023-2024 гг.;</w:t>
      </w:r>
      <w:r w:rsidR="00E40C35" w:rsidRPr="00691BA6">
        <w:rPr>
          <w:rFonts w:eastAsia="Calibri"/>
          <w:sz w:val="24"/>
          <w:szCs w:val="24"/>
          <w:lang w:eastAsia="en-GB"/>
        </w:rPr>
        <w:t xml:space="preserve"> анализ исполнения сметы в части подконтрольных расходов, утвержденной на 2022 год; </w:t>
      </w:r>
      <w:r w:rsidR="00E40C35" w:rsidRPr="00691BA6">
        <w:rPr>
          <w:rFonts w:eastAsia="Calibri"/>
          <w:bCs/>
          <w:sz w:val="24"/>
          <w:szCs w:val="24"/>
          <w:lang w:eastAsia="en-GB"/>
        </w:rPr>
        <w:t>информация о дополнительных соглашениях к договору на передачу, подтверждающих включение точек приема в сеть ТСО и поставки потребителям; информация о сроке действия договоров</w:t>
      </w:r>
      <w:r w:rsidR="00E40C35" w:rsidRPr="00691BA6">
        <w:rPr>
          <w:sz w:val="24"/>
          <w:szCs w:val="24"/>
        </w:rPr>
        <w:t xml:space="preserve"> аренды объектов электросетевого хозяйства,</w:t>
      </w:r>
      <w:r w:rsidR="00E40C35" w:rsidRPr="00691BA6">
        <w:rPr>
          <w:rFonts w:eastAsia="Calibri"/>
          <w:bCs/>
          <w:sz w:val="24"/>
          <w:szCs w:val="24"/>
          <w:lang w:eastAsia="en-GB"/>
        </w:rPr>
        <w:t xml:space="preserve"> принятых на 2024 г.</w:t>
      </w:r>
    </w:p>
    <w:p w:rsidR="00C03105" w:rsidRPr="00691BA6" w:rsidRDefault="00740A3F" w:rsidP="00C03105">
      <w:pPr>
        <w:tabs>
          <w:tab w:val="left" w:pos="4020"/>
        </w:tabs>
        <w:ind w:firstLine="567"/>
        <w:jc w:val="both"/>
        <w:rPr>
          <w:sz w:val="24"/>
          <w:szCs w:val="24"/>
        </w:rPr>
      </w:pPr>
      <w:r w:rsidRPr="00691BA6">
        <w:rPr>
          <w:bCs/>
          <w:sz w:val="24"/>
          <w:szCs w:val="24"/>
        </w:rPr>
        <w:t>Департамент отмечает</w:t>
      </w:r>
      <w:r w:rsidR="001B5A51" w:rsidRPr="00691BA6">
        <w:rPr>
          <w:bCs/>
          <w:sz w:val="24"/>
          <w:szCs w:val="24"/>
        </w:rPr>
        <w:t xml:space="preserve"> следующее</w:t>
      </w:r>
      <w:r w:rsidR="00ED711B" w:rsidRPr="00691BA6">
        <w:rPr>
          <w:bCs/>
          <w:sz w:val="24"/>
          <w:szCs w:val="24"/>
        </w:rPr>
        <w:t>,</w:t>
      </w:r>
      <w:r w:rsidR="001B5A51" w:rsidRPr="00691BA6">
        <w:rPr>
          <w:bCs/>
          <w:sz w:val="24"/>
          <w:szCs w:val="24"/>
        </w:rPr>
        <w:t xml:space="preserve"> </w:t>
      </w:r>
      <w:r w:rsidRPr="00691BA6">
        <w:rPr>
          <w:bCs/>
          <w:sz w:val="24"/>
          <w:szCs w:val="24"/>
        </w:rPr>
        <w:t xml:space="preserve">что в экспертном заключении </w:t>
      </w:r>
      <w:r w:rsidR="00ED711B" w:rsidRPr="00691BA6">
        <w:rPr>
          <w:bCs/>
          <w:sz w:val="24"/>
          <w:szCs w:val="24"/>
        </w:rPr>
        <w:t xml:space="preserve">ОАО «Юрьевецкие электрические сети» информация об отклонениях </w:t>
      </w:r>
      <w:r w:rsidR="00ED711B" w:rsidRPr="00691BA6">
        <w:rPr>
          <w:rFonts w:eastAsia="Calibri"/>
          <w:bCs/>
          <w:sz w:val="24"/>
          <w:szCs w:val="24"/>
          <w:lang w:eastAsia="en-GB"/>
        </w:rPr>
        <w:t>между данными по принятому среднегодовому количеству условных единиц на 2023-2024 гг.</w:t>
      </w:r>
      <w:r w:rsidR="00691BA6" w:rsidRPr="00691BA6">
        <w:rPr>
          <w:rFonts w:eastAsia="Calibri"/>
          <w:bCs/>
          <w:sz w:val="24"/>
          <w:szCs w:val="24"/>
          <w:lang w:eastAsia="en-GB"/>
        </w:rPr>
        <w:t xml:space="preserve"> указана</w:t>
      </w:r>
      <w:proofErr w:type="gramStart"/>
      <w:r w:rsidR="00691BA6" w:rsidRPr="00691BA6">
        <w:rPr>
          <w:rFonts w:eastAsia="Calibri"/>
          <w:bCs/>
          <w:sz w:val="24"/>
          <w:szCs w:val="24"/>
          <w:lang w:eastAsia="en-GB"/>
        </w:rPr>
        <w:t>.</w:t>
      </w:r>
      <w:proofErr w:type="gramEnd"/>
      <w:r w:rsidR="00ED711B" w:rsidRPr="00691BA6">
        <w:rPr>
          <w:rFonts w:eastAsia="Calibri"/>
          <w:bCs/>
          <w:sz w:val="24"/>
          <w:szCs w:val="24"/>
          <w:lang w:eastAsia="en-GB"/>
        </w:rPr>
        <w:t xml:space="preserve"> </w:t>
      </w:r>
      <w:r w:rsidR="00691BA6" w:rsidRPr="00691BA6">
        <w:rPr>
          <w:rFonts w:eastAsia="Calibri"/>
          <w:bCs/>
          <w:sz w:val="24"/>
          <w:szCs w:val="24"/>
          <w:lang w:eastAsia="en-GB"/>
        </w:rPr>
        <w:t>У</w:t>
      </w:r>
      <w:r w:rsidR="00ED711B" w:rsidRPr="00691BA6">
        <w:rPr>
          <w:sz w:val="24"/>
          <w:szCs w:val="24"/>
        </w:rPr>
        <w:t>величение условных единиц обусловлено заключением договоров аренды и субаренды объектов электросетевого хозяйства.</w:t>
      </w:r>
      <w:r w:rsidR="00691BA6" w:rsidRPr="00691BA6">
        <w:t xml:space="preserve"> </w:t>
      </w:r>
      <w:r w:rsidR="00691BA6" w:rsidRPr="00691BA6">
        <w:rPr>
          <w:sz w:val="24"/>
          <w:szCs w:val="24"/>
        </w:rPr>
        <w:t xml:space="preserve">Т.к., ОАО «Юрьевецкие электрические сети» регулируется с применением метода долгосрочной индексации НВВ (долгосрочный период регулирования 2021-2025гг.) итоговый анализ исполнения сметы в части </w:t>
      </w:r>
      <w:proofErr w:type="gramStart"/>
      <w:r w:rsidR="00691BA6" w:rsidRPr="00691BA6">
        <w:rPr>
          <w:sz w:val="24"/>
          <w:szCs w:val="24"/>
        </w:rPr>
        <w:t>подконтрольных</w:t>
      </w:r>
      <w:proofErr w:type="gramEnd"/>
      <w:r w:rsidR="00691BA6" w:rsidRPr="00691BA6">
        <w:rPr>
          <w:sz w:val="24"/>
          <w:szCs w:val="24"/>
        </w:rPr>
        <w:t xml:space="preserve"> расходов, утвержденной на 2022 год, будет произведен при установлении НВВ организации на следующий долгосрочный период регулирования.</w:t>
      </w:r>
      <w:r w:rsidR="00691BA6">
        <w:rPr>
          <w:sz w:val="24"/>
          <w:szCs w:val="24"/>
        </w:rPr>
        <w:t xml:space="preserve"> Договор взаимного оказания услуг по передаче электрической энергии (мощности) с учетом новых точек поставки с «котлодержателем» урегулирован.</w:t>
      </w:r>
    </w:p>
    <w:p w:rsidR="00C03105" w:rsidRPr="00691BA6" w:rsidRDefault="00C03105" w:rsidP="00C03105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691BA6">
        <w:rPr>
          <w:bCs/>
          <w:sz w:val="24"/>
          <w:szCs w:val="24"/>
        </w:rPr>
        <w:t>В части замечаний об отсутствии в экспертном заключении ряда сведений, предусмотренных пунктом 23 Правил государственного регулирования, утвержденных ПП РФ от 29.12.2011 № 1178, Департамент отмечает, что в экспертном заключении соответствующая информация дополнена.</w:t>
      </w:r>
    </w:p>
    <w:p w:rsidR="00740A3F" w:rsidRPr="00691BA6" w:rsidRDefault="00740A3F" w:rsidP="00740A3F">
      <w:pPr>
        <w:pStyle w:val="aa"/>
        <w:tabs>
          <w:tab w:val="left" w:pos="0"/>
          <w:tab w:val="left" w:pos="1134"/>
          <w:tab w:val="left" w:pos="1276"/>
        </w:tabs>
        <w:spacing w:line="264" w:lineRule="auto"/>
        <w:ind w:left="0" w:firstLine="567"/>
        <w:jc w:val="both"/>
        <w:rPr>
          <w:sz w:val="24"/>
          <w:szCs w:val="24"/>
        </w:rPr>
      </w:pPr>
      <w:r w:rsidRPr="00691BA6">
        <w:rPr>
          <w:b/>
          <w:sz w:val="24"/>
          <w:szCs w:val="24"/>
        </w:rPr>
        <w:t>РЕШИЛИ:</w:t>
      </w:r>
    </w:p>
    <w:p w:rsidR="00740A3F" w:rsidRPr="00691BA6" w:rsidRDefault="00740A3F" w:rsidP="00740A3F">
      <w:pPr>
        <w:tabs>
          <w:tab w:val="left" w:pos="4020"/>
        </w:tabs>
        <w:spacing w:line="264" w:lineRule="auto"/>
        <w:ind w:firstLine="540"/>
        <w:jc w:val="both"/>
        <w:rPr>
          <w:sz w:val="24"/>
          <w:szCs w:val="24"/>
        </w:rPr>
      </w:pPr>
      <w:proofErr w:type="gramStart"/>
      <w:r w:rsidRPr="00691BA6">
        <w:rPr>
          <w:sz w:val="24"/>
          <w:szCs w:val="24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</w:t>
      </w:r>
      <w:r w:rsidRPr="00691BA6">
        <w:rPr>
          <w:sz w:val="24"/>
          <w:szCs w:val="24"/>
        </w:rPr>
        <w:lastRenderedPageBreak/>
        <w:t>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691BA6">
        <w:rPr>
          <w:sz w:val="24"/>
          <w:szCs w:val="24"/>
        </w:rPr>
        <w:t xml:space="preserve"> Федерации от 27.12.2004 № 861:</w:t>
      </w:r>
    </w:p>
    <w:p w:rsidR="00C03105" w:rsidRPr="00CC54C9" w:rsidRDefault="00C03105" w:rsidP="00C03105">
      <w:pPr>
        <w:pStyle w:val="aa"/>
        <w:tabs>
          <w:tab w:val="left" w:pos="4020"/>
        </w:tabs>
        <w:spacing w:line="264" w:lineRule="auto"/>
        <w:ind w:left="0" w:firstLine="567"/>
        <w:jc w:val="both"/>
        <w:rPr>
          <w:sz w:val="24"/>
          <w:szCs w:val="24"/>
        </w:rPr>
      </w:pPr>
      <w:r w:rsidRPr="008033F0">
        <w:rPr>
          <w:color w:val="FF0000"/>
          <w:sz w:val="24"/>
          <w:szCs w:val="24"/>
        </w:rPr>
        <w:t>1</w:t>
      </w:r>
      <w:r w:rsidRPr="00CC54C9">
        <w:rPr>
          <w:sz w:val="24"/>
          <w:szCs w:val="24"/>
        </w:rPr>
        <w:t xml:space="preserve">. </w:t>
      </w:r>
      <w:proofErr w:type="gramStart"/>
      <w:r w:rsidRPr="00CC54C9">
        <w:rPr>
          <w:sz w:val="24"/>
          <w:szCs w:val="24"/>
        </w:rPr>
        <w:t xml:space="preserve">Внести изменения в постановление Департамента энергетики и тарифов Ивановской области от </w:t>
      </w:r>
      <w:r w:rsidR="00EE3027" w:rsidRPr="00CC54C9">
        <w:rPr>
          <w:sz w:val="24"/>
          <w:szCs w:val="24"/>
        </w:rPr>
        <w:t>29.12.2020 № 77-э/3 «Об установлении необходимой валовой выручки и долгосрочных параметров регулирования для ОАО «Юрьевецкие электрические сети»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Pr="00CC54C9">
        <w:rPr>
          <w:sz w:val="24"/>
          <w:szCs w:val="24"/>
        </w:rPr>
        <w:t>, изложив приложение 2 к постановлению Департамента энергетики и тарифов Ивановской области от</w:t>
      </w:r>
      <w:proofErr w:type="gramEnd"/>
      <w:r w:rsidRPr="00CC54C9">
        <w:rPr>
          <w:sz w:val="24"/>
          <w:szCs w:val="24"/>
        </w:rPr>
        <w:t xml:space="preserve"> </w:t>
      </w:r>
      <w:r w:rsidR="00EE3027" w:rsidRPr="00CC54C9">
        <w:rPr>
          <w:sz w:val="24"/>
          <w:szCs w:val="24"/>
        </w:rPr>
        <w:t>29.12.2020 № 77</w:t>
      </w:r>
      <w:r w:rsidRPr="00CC54C9">
        <w:rPr>
          <w:sz w:val="24"/>
          <w:szCs w:val="24"/>
        </w:rPr>
        <w:t>-э/</w:t>
      </w:r>
      <w:r w:rsidR="00EE3027" w:rsidRPr="00CC54C9">
        <w:rPr>
          <w:sz w:val="24"/>
          <w:szCs w:val="24"/>
        </w:rPr>
        <w:t>3</w:t>
      </w:r>
      <w:r w:rsidRPr="00CC54C9">
        <w:rPr>
          <w:sz w:val="24"/>
          <w:szCs w:val="24"/>
        </w:rPr>
        <w:t xml:space="preserve"> в новой редакции согласно Таблице:</w:t>
      </w:r>
    </w:p>
    <w:p w:rsidR="00C03105" w:rsidRPr="00CC54C9" w:rsidRDefault="00C03105" w:rsidP="00C03105">
      <w:pPr>
        <w:tabs>
          <w:tab w:val="left" w:pos="4020"/>
        </w:tabs>
        <w:spacing w:line="264" w:lineRule="auto"/>
        <w:ind w:firstLine="540"/>
        <w:jc w:val="right"/>
        <w:rPr>
          <w:sz w:val="24"/>
          <w:szCs w:val="24"/>
        </w:rPr>
      </w:pPr>
      <w:r w:rsidRPr="00CC54C9">
        <w:rPr>
          <w:sz w:val="24"/>
          <w:szCs w:val="24"/>
        </w:rPr>
        <w:t>Таблица</w:t>
      </w:r>
    </w:p>
    <w:p w:rsidR="00CC54C9" w:rsidRPr="00CC54C9" w:rsidRDefault="00CC54C9" w:rsidP="00CC54C9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CC54C9">
        <w:rPr>
          <w:sz w:val="24"/>
          <w:szCs w:val="24"/>
        </w:rPr>
        <w:t>Необходимая валовая выручка</w:t>
      </w:r>
    </w:p>
    <w:p w:rsidR="00CC54C9" w:rsidRPr="00CC54C9" w:rsidRDefault="00CC54C9" w:rsidP="00CC54C9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CC54C9">
        <w:rPr>
          <w:sz w:val="24"/>
          <w:szCs w:val="24"/>
        </w:rPr>
        <w:t>ОАО «Юрьевецкие электрические сети» на долгосрочный период регулирования</w:t>
      </w:r>
    </w:p>
    <w:p w:rsidR="00CC54C9" w:rsidRPr="00CC54C9" w:rsidRDefault="00CC54C9" w:rsidP="00CC54C9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CC54C9">
        <w:rPr>
          <w:sz w:val="24"/>
          <w:szCs w:val="24"/>
        </w:rPr>
        <w:t>(без учета оплаты потерь)</w:t>
      </w:r>
    </w:p>
    <w:p w:rsidR="00CC54C9" w:rsidRPr="00CC54C9" w:rsidRDefault="00CC54C9" w:rsidP="00CC54C9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20"/>
        <w:gridCol w:w="4700"/>
        <w:gridCol w:w="1100"/>
        <w:gridCol w:w="3618"/>
      </w:tblGrid>
      <w:tr w:rsidR="00CC54C9" w:rsidRPr="00CC54C9" w:rsidTr="0004669A">
        <w:trPr>
          <w:trHeight w:val="61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4C9" w:rsidRPr="00CC54C9" w:rsidRDefault="00CC54C9" w:rsidP="00CC54C9">
            <w:pPr>
              <w:widowControl/>
              <w:jc w:val="center"/>
              <w:rPr>
                <w:sz w:val="22"/>
                <w:szCs w:val="22"/>
              </w:rPr>
            </w:pPr>
            <w:r w:rsidRPr="00CC54C9">
              <w:rPr>
                <w:sz w:val="22"/>
                <w:szCs w:val="22"/>
              </w:rPr>
              <w:t xml:space="preserve">№ </w:t>
            </w:r>
            <w:proofErr w:type="gramStart"/>
            <w:r w:rsidRPr="00CC54C9">
              <w:rPr>
                <w:sz w:val="22"/>
                <w:szCs w:val="22"/>
              </w:rPr>
              <w:t>п</w:t>
            </w:r>
            <w:proofErr w:type="gramEnd"/>
            <w:r w:rsidRPr="00CC54C9">
              <w:rPr>
                <w:sz w:val="22"/>
                <w:szCs w:val="22"/>
              </w:rPr>
              <w:t>/п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4C9" w:rsidRPr="00CC54C9" w:rsidRDefault="00CC54C9" w:rsidP="00CC54C9">
            <w:pPr>
              <w:widowControl/>
              <w:jc w:val="center"/>
              <w:rPr>
                <w:sz w:val="22"/>
                <w:szCs w:val="22"/>
              </w:rPr>
            </w:pPr>
            <w:r w:rsidRPr="00CC54C9">
              <w:rPr>
                <w:sz w:val="22"/>
                <w:szCs w:val="22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4C9" w:rsidRPr="00CC54C9" w:rsidRDefault="00CC54C9" w:rsidP="00CC54C9">
            <w:pPr>
              <w:widowControl/>
              <w:jc w:val="center"/>
              <w:rPr>
                <w:sz w:val="22"/>
                <w:szCs w:val="22"/>
              </w:rPr>
            </w:pPr>
            <w:r w:rsidRPr="00CC54C9">
              <w:rPr>
                <w:sz w:val="22"/>
                <w:szCs w:val="22"/>
              </w:rPr>
              <w:t>Год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4C9" w:rsidRPr="00CC54C9" w:rsidRDefault="00CC54C9" w:rsidP="00CC54C9">
            <w:pPr>
              <w:widowControl/>
              <w:jc w:val="center"/>
              <w:rPr>
                <w:sz w:val="22"/>
                <w:szCs w:val="22"/>
              </w:rPr>
            </w:pPr>
            <w:r w:rsidRPr="00CC54C9">
              <w:rPr>
                <w:sz w:val="22"/>
                <w:szCs w:val="22"/>
              </w:rPr>
              <w:t>НВВ сетевых организаций без учета оплаты потерь</w:t>
            </w:r>
          </w:p>
        </w:tc>
      </w:tr>
      <w:tr w:rsidR="00CC54C9" w:rsidRPr="00CC54C9" w:rsidTr="0004669A">
        <w:trPr>
          <w:trHeight w:val="31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4C9" w:rsidRPr="00CC54C9" w:rsidRDefault="00CC54C9" w:rsidP="00CC54C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4C9" w:rsidRPr="00CC54C9" w:rsidRDefault="00CC54C9" w:rsidP="00CC54C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4C9" w:rsidRPr="00CC54C9" w:rsidRDefault="00CC54C9" w:rsidP="00CC54C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C9" w:rsidRPr="00CC54C9" w:rsidRDefault="00CC54C9" w:rsidP="00CC54C9">
            <w:pPr>
              <w:widowControl/>
              <w:jc w:val="center"/>
              <w:rPr>
                <w:sz w:val="22"/>
                <w:szCs w:val="22"/>
              </w:rPr>
            </w:pPr>
            <w:r w:rsidRPr="00CC54C9">
              <w:rPr>
                <w:sz w:val="22"/>
                <w:szCs w:val="22"/>
              </w:rPr>
              <w:t>тыс. руб.</w:t>
            </w:r>
          </w:p>
        </w:tc>
      </w:tr>
      <w:tr w:rsidR="00CC54C9" w:rsidRPr="00CC54C9" w:rsidTr="0004669A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54C9" w:rsidRPr="00CC54C9" w:rsidRDefault="00CC54C9" w:rsidP="00CC54C9">
            <w:pPr>
              <w:widowControl/>
              <w:jc w:val="center"/>
              <w:rPr>
                <w:sz w:val="22"/>
                <w:szCs w:val="22"/>
              </w:rPr>
            </w:pPr>
            <w:r w:rsidRPr="00CC54C9">
              <w:rPr>
                <w:sz w:val="22"/>
                <w:szCs w:val="22"/>
              </w:rPr>
              <w:t>1.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4C9" w:rsidRPr="00CC54C9" w:rsidRDefault="00CC54C9" w:rsidP="00CC54C9">
            <w:pPr>
              <w:widowControl/>
              <w:jc w:val="center"/>
              <w:rPr>
                <w:sz w:val="22"/>
                <w:szCs w:val="22"/>
              </w:rPr>
            </w:pPr>
            <w:r w:rsidRPr="00CC54C9">
              <w:rPr>
                <w:sz w:val="22"/>
                <w:szCs w:val="22"/>
              </w:rPr>
              <w:t>ОАО «Юрьевецкие электрические сети»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54C9" w:rsidRPr="00CC54C9" w:rsidRDefault="00CC54C9" w:rsidP="00CC54C9">
            <w:pPr>
              <w:widowControl/>
              <w:jc w:val="center"/>
              <w:rPr>
                <w:sz w:val="22"/>
                <w:szCs w:val="22"/>
              </w:rPr>
            </w:pPr>
            <w:r w:rsidRPr="00CC54C9">
              <w:rPr>
                <w:sz w:val="22"/>
                <w:szCs w:val="22"/>
              </w:rPr>
              <w:t>2021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54C9" w:rsidRPr="00CC54C9" w:rsidRDefault="00CC54C9" w:rsidP="00CC54C9">
            <w:pPr>
              <w:widowControl/>
              <w:jc w:val="center"/>
              <w:rPr>
                <w:sz w:val="22"/>
                <w:szCs w:val="22"/>
              </w:rPr>
            </w:pPr>
            <w:r w:rsidRPr="00CC54C9">
              <w:rPr>
                <w:sz w:val="22"/>
                <w:szCs w:val="22"/>
              </w:rPr>
              <w:t>23 588 23</w:t>
            </w:r>
          </w:p>
        </w:tc>
      </w:tr>
      <w:tr w:rsidR="00CC54C9" w:rsidRPr="00CC54C9" w:rsidTr="0004669A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C9" w:rsidRPr="00CC54C9" w:rsidRDefault="00CC54C9" w:rsidP="00CC54C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C9" w:rsidRPr="00CC54C9" w:rsidRDefault="00CC54C9" w:rsidP="00CC54C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54C9" w:rsidRPr="00CC54C9" w:rsidRDefault="00CC54C9" w:rsidP="00CC54C9">
            <w:pPr>
              <w:widowControl/>
              <w:jc w:val="center"/>
              <w:rPr>
                <w:sz w:val="22"/>
                <w:szCs w:val="22"/>
              </w:rPr>
            </w:pPr>
            <w:r w:rsidRPr="00CC54C9">
              <w:rPr>
                <w:sz w:val="22"/>
                <w:szCs w:val="22"/>
              </w:rPr>
              <w:t>2022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CC54C9" w:rsidRPr="00CC54C9" w:rsidRDefault="00CC54C9" w:rsidP="00CC54C9">
            <w:pPr>
              <w:widowControl/>
              <w:jc w:val="center"/>
              <w:rPr>
                <w:sz w:val="22"/>
                <w:szCs w:val="22"/>
              </w:rPr>
            </w:pPr>
            <w:r w:rsidRPr="00CC54C9">
              <w:rPr>
                <w:sz w:val="22"/>
                <w:szCs w:val="22"/>
              </w:rPr>
              <w:t>24 709,12</w:t>
            </w:r>
          </w:p>
        </w:tc>
      </w:tr>
      <w:tr w:rsidR="00CC54C9" w:rsidRPr="00CC54C9" w:rsidTr="0004669A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C9" w:rsidRPr="00CC54C9" w:rsidRDefault="00CC54C9" w:rsidP="00CC54C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C9" w:rsidRPr="00CC54C9" w:rsidRDefault="00CC54C9" w:rsidP="00CC54C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54C9" w:rsidRPr="00CC54C9" w:rsidRDefault="00CC54C9" w:rsidP="00CC54C9">
            <w:pPr>
              <w:widowControl/>
              <w:jc w:val="center"/>
              <w:rPr>
                <w:sz w:val="22"/>
                <w:szCs w:val="22"/>
              </w:rPr>
            </w:pPr>
            <w:r w:rsidRPr="00CC54C9">
              <w:rPr>
                <w:sz w:val="22"/>
                <w:szCs w:val="22"/>
              </w:rPr>
              <w:t>2023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</w:tcPr>
          <w:p w:rsidR="00CC54C9" w:rsidRPr="00CC54C9" w:rsidRDefault="00CC54C9" w:rsidP="00CC54C9">
            <w:pPr>
              <w:widowControl/>
              <w:jc w:val="center"/>
              <w:rPr>
                <w:sz w:val="22"/>
                <w:szCs w:val="22"/>
              </w:rPr>
            </w:pPr>
            <w:r w:rsidRPr="00CC54C9">
              <w:rPr>
                <w:sz w:val="22"/>
                <w:szCs w:val="22"/>
              </w:rPr>
              <w:t>24 179,36</w:t>
            </w:r>
          </w:p>
        </w:tc>
      </w:tr>
      <w:tr w:rsidR="00CC54C9" w:rsidRPr="00CC54C9" w:rsidTr="0004669A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C9" w:rsidRPr="00CC54C9" w:rsidRDefault="00CC54C9" w:rsidP="00CC54C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C9" w:rsidRPr="00CC54C9" w:rsidRDefault="00CC54C9" w:rsidP="00CC54C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54C9" w:rsidRPr="00CC54C9" w:rsidRDefault="00CC54C9" w:rsidP="00CC54C9">
            <w:pPr>
              <w:widowControl/>
              <w:jc w:val="center"/>
              <w:rPr>
                <w:sz w:val="22"/>
                <w:szCs w:val="22"/>
              </w:rPr>
            </w:pPr>
            <w:r w:rsidRPr="00CC54C9">
              <w:rPr>
                <w:sz w:val="22"/>
                <w:szCs w:val="22"/>
              </w:rPr>
              <w:t>2024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4C9" w:rsidRPr="00CC54C9" w:rsidRDefault="00CC54C9" w:rsidP="00CC54C9">
            <w:pPr>
              <w:widowControl/>
              <w:jc w:val="center"/>
              <w:rPr>
                <w:sz w:val="22"/>
                <w:szCs w:val="22"/>
              </w:rPr>
            </w:pPr>
            <w:r w:rsidRPr="00CC54C9">
              <w:rPr>
                <w:sz w:val="22"/>
                <w:szCs w:val="22"/>
              </w:rPr>
              <w:t>70 172,56</w:t>
            </w:r>
          </w:p>
        </w:tc>
      </w:tr>
      <w:tr w:rsidR="00CC54C9" w:rsidRPr="00CC54C9" w:rsidTr="0004669A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C9" w:rsidRPr="00CC54C9" w:rsidRDefault="00CC54C9" w:rsidP="00CC54C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C9" w:rsidRPr="00CC54C9" w:rsidRDefault="00CC54C9" w:rsidP="00CC54C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54C9" w:rsidRPr="00CC54C9" w:rsidRDefault="00CC54C9" w:rsidP="00CC54C9">
            <w:pPr>
              <w:widowControl/>
              <w:jc w:val="center"/>
              <w:rPr>
                <w:sz w:val="22"/>
                <w:szCs w:val="22"/>
              </w:rPr>
            </w:pPr>
            <w:r w:rsidRPr="00CC54C9">
              <w:rPr>
                <w:sz w:val="22"/>
                <w:szCs w:val="22"/>
              </w:rPr>
              <w:t>2025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4C9" w:rsidRPr="00CC54C9" w:rsidRDefault="00CC54C9" w:rsidP="00CC54C9">
            <w:pPr>
              <w:widowControl/>
              <w:jc w:val="center"/>
              <w:rPr>
                <w:sz w:val="22"/>
                <w:szCs w:val="22"/>
              </w:rPr>
            </w:pPr>
            <w:r w:rsidRPr="00CC54C9">
              <w:rPr>
                <w:sz w:val="22"/>
                <w:szCs w:val="22"/>
              </w:rPr>
              <w:t>71 049,24</w:t>
            </w:r>
          </w:p>
        </w:tc>
      </w:tr>
    </w:tbl>
    <w:p w:rsidR="00CC54C9" w:rsidRPr="00CC54C9" w:rsidRDefault="00CC54C9" w:rsidP="00CC54C9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rFonts w:eastAsia="Calibri"/>
          <w:sz w:val="24"/>
          <w:szCs w:val="24"/>
          <w:lang w:eastAsia="en-US"/>
        </w:rPr>
      </w:pPr>
    </w:p>
    <w:p w:rsidR="00C03105" w:rsidRPr="00CC54C9" w:rsidRDefault="00C03105" w:rsidP="00C03105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  <w:r w:rsidRPr="00CC54C9">
        <w:rPr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:rsidR="00CC54C9" w:rsidRPr="00CC54C9" w:rsidRDefault="00CC54C9" w:rsidP="00C03105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</w:p>
    <w:p w:rsidR="00C03105" w:rsidRPr="00CC54C9" w:rsidRDefault="00C03105" w:rsidP="00C03105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  <w:r w:rsidRPr="00CC54C9">
        <w:rPr>
          <w:sz w:val="24"/>
          <w:szCs w:val="24"/>
        </w:rPr>
        <w:t>Результаты голосования:</w:t>
      </w:r>
    </w:p>
    <w:p w:rsidR="00EE3027" w:rsidRPr="00CC54C9" w:rsidRDefault="00EE3027" w:rsidP="00C03105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C03105" w:rsidRPr="00CC54C9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 xml:space="preserve">№ </w:t>
            </w:r>
            <w:proofErr w:type="gramStart"/>
            <w:r w:rsidRPr="00CC54C9">
              <w:rPr>
                <w:sz w:val="24"/>
                <w:szCs w:val="24"/>
              </w:rPr>
              <w:t>п</w:t>
            </w:r>
            <w:proofErr w:type="gramEnd"/>
            <w:r w:rsidRPr="00CC54C9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Результаты голосования</w:t>
            </w:r>
          </w:p>
        </w:tc>
      </w:tr>
      <w:tr w:rsidR="00C03105" w:rsidRPr="00CC54C9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за</w:t>
            </w:r>
          </w:p>
        </w:tc>
      </w:tr>
      <w:tr w:rsidR="00C03105" w:rsidRPr="00CC54C9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за</w:t>
            </w:r>
          </w:p>
        </w:tc>
        <w:bookmarkStart w:id="0" w:name="_GoBack"/>
        <w:bookmarkEnd w:id="0"/>
      </w:tr>
      <w:tr w:rsidR="00C03105" w:rsidRPr="00CC54C9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за</w:t>
            </w:r>
          </w:p>
        </w:tc>
      </w:tr>
      <w:tr w:rsidR="00C03105" w:rsidRPr="00CC54C9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за</w:t>
            </w:r>
          </w:p>
        </w:tc>
      </w:tr>
      <w:tr w:rsidR="00C03105" w:rsidRPr="00CC54C9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Полозов И.Г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за</w:t>
            </w:r>
          </w:p>
        </w:tc>
      </w:tr>
      <w:tr w:rsidR="00C03105" w:rsidRPr="00CC54C9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за</w:t>
            </w:r>
          </w:p>
        </w:tc>
      </w:tr>
      <w:tr w:rsidR="00C03105" w:rsidRPr="00CC54C9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за</w:t>
            </w:r>
          </w:p>
        </w:tc>
      </w:tr>
      <w:tr w:rsidR="00C03105" w:rsidRPr="00CC54C9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CC54C9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CC54C9">
              <w:rPr>
                <w:sz w:val="24"/>
                <w:szCs w:val="24"/>
              </w:rPr>
              <w:t>против</w:t>
            </w:r>
          </w:p>
        </w:tc>
      </w:tr>
    </w:tbl>
    <w:p w:rsidR="00EE3027" w:rsidRPr="00CC54C9" w:rsidRDefault="00EE3027" w:rsidP="00C03105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</w:p>
    <w:p w:rsidR="00C03105" w:rsidRPr="00CC54C9" w:rsidRDefault="00C03105" w:rsidP="00C03105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  <w:r w:rsidRPr="00CC54C9">
        <w:rPr>
          <w:sz w:val="24"/>
          <w:szCs w:val="24"/>
        </w:rPr>
        <w:t>Итого: за – 7, против – 1, воздержался – 0, отсутствуют – 0.</w:t>
      </w:r>
    </w:p>
    <w:p w:rsidR="00C03105" w:rsidRPr="003008D3" w:rsidRDefault="00C03105" w:rsidP="00C03105">
      <w:pPr>
        <w:tabs>
          <w:tab w:val="left" w:pos="4020"/>
        </w:tabs>
        <w:spacing w:line="264" w:lineRule="auto"/>
        <w:ind w:left="284" w:firstLine="283"/>
        <w:jc w:val="both"/>
        <w:rPr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C03105" w:rsidRPr="003008D3" w:rsidTr="00C03105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03105" w:rsidRPr="003008D3" w:rsidRDefault="00C03105" w:rsidP="00C0310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3008D3" w:rsidRDefault="00C03105" w:rsidP="00C03105">
            <w:pPr>
              <w:tabs>
                <w:tab w:val="left" w:pos="40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03105" w:rsidRPr="003008D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C03105" w:rsidRPr="00D311F3" w:rsidTr="00C03105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3105" w:rsidRPr="00D311F3" w:rsidRDefault="00C03105" w:rsidP="00C03105">
            <w:pPr>
              <w:spacing w:line="264" w:lineRule="auto"/>
              <w:jc w:val="both"/>
              <w:rPr>
                <w:b/>
                <w:sz w:val="24"/>
                <w:szCs w:val="24"/>
              </w:rPr>
            </w:pPr>
            <w:r w:rsidRPr="00D311F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</w:tc>
      </w:tr>
      <w:tr w:rsidR="00C03105" w:rsidRPr="00D311F3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EE302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Первый заместитель </w:t>
            </w:r>
            <w:r w:rsidR="00EE3027">
              <w:rPr>
                <w:sz w:val="24"/>
                <w:szCs w:val="24"/>
              </w:rPr>
              <w:t>директора</w:t>
            </w:r>
            <w:r w:rsidRPr="00D311F3">
              <w:rPr>
                <w:sz w:val="24"/>
                <w:szCs w:val="24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С.Е. Бугаева </w:t>
            </w:r>
          </w:p>
        </w:tc>
      </w:tr>
      <w:tr w:rsidR="00C03105" w:rsidRPr="00D311F3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EE302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Заместитель </w:t>
            </w:r>
            <w:r w:rsidR="00EE3027">
              <w:rPr>
                <w:sz w:val="24"/>
                <w:szCs w:val="24"/>
              </w:rPr>
              <w:t>директора</w:t>
            </w:r>
            <w:r w:rsidRPr="00D311F3">
              <w:rPr>
                <w:sz w:val="24"/>
                <w:szCs w:val="24"/>
              </w:rPr>
              <w:t xml:space="preserve">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Н.Б. Гущина </w:t>
            </w:r>
          </w:p>
        </w:tc>
      </w:tr>
      <w:tr w:rsidR="00C03105" w:rsidRPr="00D311F3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spacing w:line="264" w:lineRule="auto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lastRenderedPageBreak/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Е.В. Турбачкина</w:t>
            </w:r>
          </w:p>
        </w:tc>
      </w:tr>
      <w:tr w:rsidR="00C03105" w:rsidRPr="00D311F3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Е.А. Коннова</w:t>
            </w:r>
          </w:p>
        </w:tc>
      </w:tr>
      <w:tr w:rsidR="00C03105" w:rsidRPr="00D311F3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spacing w:line="264" w:lineRule="auto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И.Г. Полозов</w:t>
            </w:r>
          </w:p>
        </w:tc>
      </w:tr>
      <w:tr w:rsidR="00C03105" w:rsidRPr="00D311F3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О.П. Агапова</w:t>
            </w:r>
          </w:p>
        </w:tc>
      </w:tr>
      <w:tr w:rsidR="00C03105" w:rsidRPr="00D311F3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spacing w:line="264" w:lineRule="auto"/>
              <w:jc w:val="both"/>
              <w:rPr>
                <w:sz w:val="24"/>
                <w:szCs w:val="24"/>
                <w:highlight w:val="yellow"/>
              </w:rPr>
            </w:pPr>
            <w:r w:rsidRPr="006C2391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  <w:highlight w:val="yellow"/>
              </w:rPr>
            </w:pPr>
          </w:p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  <w:highlight w:val="yellow"/>
              </w:rPr>
            </w:pPr>
          </w:p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  <w:highlight w:val="yellow"/>
              </w:rPr>
            </w:pPr>
            <w:r w:rsidRPr="00D311F3">
              <w:rPr>
                <w:sz w:val="24"/>
                <w:szCs w:val="24"/>
              </w:rPr>
              <w:t xml:space="preserve">З.Б. Виднова </w:t>
            </w:r>
          </w:p>
        </w:tc>
      </w:tr>
      <w:tr w:rsidR="00C03105" w:rsidRPr="00D311F3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А.И. Кулешов</w:t>
            </w:r>
          </w:p>
        </w:tc>
      </w:tr>
    </w:tbl>
    <w:p w:rsidR="00C03105" w:rsidRPr="00D311F3" w:rsidRDefault="00C03105" w:rsidP="00C03105">
      <w:pPr>
        <w:spacing w:line="264" w:lineRule="auto"/>
        <w:jc w:val="right"/>
        <w:rPr>
          <w:sz w:val="24"/>
          <w:szCs w:val="24"/>
        </w:rPr>
      </w:pPr>
      <w:r w:rsidRPr="00D311F3">
        <w:rPr>
          <w:sz w:val="24"/>
          <w:szCs w:val="24"/>
        </w:rPr>
        <w:t xml:space="preserve">                                    </w:t>
      </w:r>
    </w:p>
    <w:p w:rsidR="00740A3F" w:rsidRPr="00740A3F" w:rsidRDefault="00740A3F" w:rsidP="00740A3F">
      <w:pPr>
        <w:spacing w:line="264" w:lineRule="auto"/>
        <w:rPr>
          <w:sz w:val="24"/>
          <w:szCs w:val="24"/>
        </w:rPr>
      </w:pPr>
    </w:p>
    <w:sectPr w:rsidR="00740A3F" w:rsidRPr="00740A3F" w:rsidSect="00175CED">
      <w:headerReference w:type="even" r:id="rId9"/>
      <w:headerReference w:type="default" r:id="rId10"/>
      <w:pgSz w:w="11906" w:h="16838"/>
      <w:pgMar w:top="1418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1E" w:rsidRDefault="000D661E">
      <w:r>
        <w:separator/>
      </w:r>
    </w:p>
  </w:endnote>
  <w:endnote w:type="continuationSeparator" w:id="0">
    <w:p w:rsidR="000D661E" w:rsidRDefault="000D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1E" w:rsidRDefault="000D661E">
      <w:r>
        <w:separator/>
      </w:r>
    </w:p>
  </w:footnote>
  <w:footnote w:type="continuationSeparator" w:id="0">
    <w:p w:rsidR="000D661E" w:rsidRDefault="000D6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1E" w:rsidRDefault="000D661E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661E" w:rsidRDefault="000D66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1E" w:rsidRDefault="000D661E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54C9">
      <w:rPr>
        <w:rStyle w:val="a5"/>
        <w:noProof/>
      </w:rPr>
      <w:t>6</w:t>
    </w:r>
    <w:r>
      <w:rPr>
        <w:rStyle w:val="a5"/>
      </w:rPr>
      <w:fldChar w:fldCharType="end"/>
    </w:r>
  </w:p>
  <w:p w:rsidR="000D661E" w:rsidRDefault="000D66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E468B"/>
    <w:multiLevelType w:val="hybridMultilevel"/>
    <w:tmpl w:val="B6D6A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66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23E67750"/>
    <w:multiLevelType w:val="hybridMultilevel"/>
    <w:tmpl w:val="EB98BA4A"/>
    <w:lvl w:ilvl="0" w:tplc="64E2D2D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641514"/>
    <w:multiLevelType w:val="hybridMultilevel"/>
    <w:tmpl w:val="BEEE3DA8"/>
    <w:lvl w:ilvl="0" w:tplc="E912E69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9E45B8"/>
    <w:multiLevelType w:val="hybridMultilevel"/>
    <w:tmpl w:val="4C3E4D82"/>
    <w:lvl w:ilvl="0" w:tplc="04D22F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A59036D"/>
    <w:multiLevelType w:val="hybridMultilevel"/>
    <w:tmpl w:val="2ABCC626"/>
    <w:lvl w:ilvl="0" w:tplc="CAF0D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60F53FD"/>
    <w:multiLevelType w:val="multilevel"/>
    <w:tmpl w:val="54A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0E6331"/>
    <w:multiLevelType w:val="hybridMultilevel"/>
    <w:tmpl w:val="D89A30F4"/>
    <w:lvl w:ilvl="0" w:tplc="6C7EB4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31">
    <w:nsid w:val="6A3420CB"/>
    <w:multiLevelType w:val="hybridMultilevel"/>
    <w:tmpl w:val="61660E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</w:num>
  <w:num w:numId="3">
    <w:abstractNumId w:val="3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7"/>
  </w:num>
  <w:num w:numId="7">
    <w:abstractNumId w:val="29"/>
  </w:num>
  <w:num w:numId="8">
    <w:abstractNumId w:val="35"/>
  </w:num>
  <w:num w:numId="9">
    <w:abstractNumId w:val="2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8"/>
  </w:num>
  <w:num w:numId="14">
    <w:abstractNumId w:val="20"/>
  </w:num>
  <w:num w:numId="15">
    <w:abstractNumId w:val="33"/>
  </w:num>
  <w:num w:numId="16">
    <w:abstractNumId w:val="27"/>
  </w:num>
  <w:num w:numId="17">
    <w:abstractNumId w:val="19"/>
  </w:num>
  <w:num w:numId="18">
    <w:abstractNumId w:val="10"/>
  </w:num>
  <w:num w:numId="19">
    <w:abstractNumId w:val="16"/>
  </w:num>
  <w:num w:numId="20">
    <w:abstractNumId w:val="25"/>
  </w:num>
  <w:num w:numId="21">
    <w:abstractNumId w:val="13"/>
  </w:num>
  <w:num w:numId="22">
    <w:abstractNumId w:val="24"/>
  </w:num>
  <w:num w:numId="23">
    <w:abstractNumId w:val="15"/>
  </w:num>
  <w:num w:numId="24">
    <w:abstractNumId w:val="1"/>
  </w:num>
  <w:num w:numId="25">
    <w:abstractNumId w:val="4"/>
  </w:num>
  <w:num w:numId="26">
    <w:abstractNumId w:val="0"/>
  </w:num>
  <w:num w:numId="27">
    <w:abstractNumId w:val="12"/>
  </w:num>
  <w:num w:numId="28">
    <w:abstractNumId w:val="21"/>
  </w:num>
  <w:num w:numId="29">
    <w:abstractNumId w:val="34"/>
  </w:num>
  <w:num w:numId="30">
    <w:abstractNumId w:val="6"/>
  </w:num>
  <w:num w:numId="31">
    <w:abstractNumId w:val="36"/>
  </w:num>
  <w:num w:numId="32">
    <w:abstractNumId w:val="14"/>
  </w:num>
  <w:num w:numId="33">
    <w:abstractNumId w:val="2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1"/>
  </w:num>
  <w:num w:numId="38">
    <w:abstractNumId w:val="18"/>
  </w:num>
  <w:num w:numId="39">
    <w:abstractNumId w:val="2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F"/>
    <w:rsid w:val="0000686F"/>
    <w:rsid w:val="000137F0"/>
    <w:rsid w:val="00024856"/>
    <w:rsid w:val="000277EB"/>
    <w:rsid w:val="00027A19"/>
    <w:rsid w:val="000301BD"/>
    <w:rsid w:val="00030E80"/>
    <w:rsid w:val="00034065"/>
    <w:rsid w:val="00035973"/>
    <w:rsid w:val="00035D7B"/>
    <w:rsid w:val="000414ED"/>
    <w:rsid w:val="00042C3E"/>
    <w:rsid w:val="000453B8"/>
    <w:rsid w:val="00045769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6076F"/>
    <w:rsid w:val="00063A38"/>
    <w:rsid w:val="00064BA5"/>
    <w:rsid w:val="00074265"/>
    <w:rsid w:val="00077042"/>
    <w:rsid w:val="00084D00"/>
    <w:rsid w:val="0008522D"/>
    <w:rsid w:val="00085EAD"/>
    <w:rsid w:val="00086DEB"/>
    <w:rsid w:val="00091843"/>
    <w:rsid w:val="000949BD"/>
    <w:rsid w:val="00096694"/>
    <w:rsid w:val="0009775D"/>
    <w:rsid w:val="000A224C"/>
    <w:rsid w:val="000A4B37"/>
    <w:rsid w:val="000A7052"/>
    <w:rsid w:val="000B2498"/>
    <w:rsid w:val="000B5582"/>
    <w:rsid w:val="000B6D4C"/>
    <w:rsid w:val="000C03C8"/>
    <w:rsid w:val="000C0525"/>
    <w:rsid w:val="000C1792"/>
    <w:rsid w:val="000C2866"/>
    <w:rsid w:val="000C7E42"/>
    <w:rsid w:val="000C7F31"/>
    <w:rsid w:val="000D185E"/>
    <w:rsid w:val="000D61F7"/>
    <w:rsid w:val="000D661E"/>
    <w:rsid w:val="000D6840"/>
    <w:rsid w:val="000E1851"/>
    <w:rsid w:val="000E6693"/>
    <w:rsid w:val="000E6C4A"/>
    <w:rsid w:val="000F6278"/>
    <w:rsid w:val="00100123"/>
    <w:rsid w:val="0010046E"/>
    <w:rsid w:val="00100BE5"/>
    <w:rsid w:val="00102665"/>
    <w:rsid w:val="00102CEC"/>
    <w:rsid w:val="00102ED2"/>
    <w:rsid w:val="0010702C"/>
    <w:rsid w:val="00107349"/>
    <w:rsid w:val="001102DC"/>
    <w:rsid w:val="00110AC3"/>
    <w:rsid w:val="00112061"/>
    <w:rsid w:val="00113A9D"/>
    <w:rsid w:val="001203D2"/>
    <w:rsid w:val="00120BE6"/>
    <w:rsid w:val="00125660"/>
    <w:rsid w:val="00126476"/>
    <w:rsid w:val="001339AF"/>
    <w:rsid w:val="001455C6"/>
    <w:rsid w:val="00145FCA"/>
    <w:rsid w:val="00147B89"/>
    <w:rsid w:val="00150B76"/>
    <w:rsid w:val="001512A5"/>
    <w:rsid w:val="00151E68"/>
    <w:rsid w:val="001528D9"/>
    <w:rsid w:val="00154EE7"/>
    <w:rsid w:val="00174CA1"/>
    <w:rsid w:val="00174DB7"/>
    <w:rsid w:val="00175CED"/>
    <w:rsid w:val="0017733A"/>
    <w:rsid w:val="00181BF3"/>
    <w:rsid w:val="00181D4D"/>
    <w:rsid w:val="00181F32"/>
    <w:rsid w:val="00190A38"/>
    <w:rsid w:val="0019287F"/>
    <w:rsid w:val="0019314A"/>
    <w:rsid w:val="001933D0"/>
    <w:rsid w:val="001938D2"/>
    <w:rsid w:val="001A0B6E"/>
    <w:rsid w:val="001A1815"/>
    <w:rsid w:val="001A211D"/>
    <w:rsid w:val="001A68A8"/>
    <w:rsid w:val="001B5A51"/>
    <w:rsid w:val="001B7A12"/>
    <w:rsid w:val="001B7C15"/>
    <w:rsid w:val="001C3FF6"/>
    <w:rsid w:val="001C5116"/>
    <w:rsid w:val="001D267C"/>
    <w:rsid w:val="001E33DC"/>
    <w:rsid w:val="001E449B"/>
    <w:rsid w:val="001E5FCE"/>
    <w:rsid w:val="001F0137"/>
    <w:rsid w:val="001F100B"/>
    <w:rsid w:val="001F29F1"/>
    <w:rsid w:val="001F40AC"/>
    <w:rsid w:val="001F414F"/>
    <w:rsid w:val="001F63FE"/>
    <w:rsid w:val="0020423A"/>
    <w:rsid w:val="00211681"/>
    <w:rsid w:val="00211B49"/>
    <w:rsid w:val="0021547D"/>
    <w:rsid w:val="00217DC7"/>
    <w:rsid w:val="00222418"/>
    <w:rsid w:val="00230516"/>
    <w:rsid w:val="00230A1D"/>
    <w:rsid w:val="002329E3"/>
    <w:rsid w:val="00241DA5"/>
    <w:rsid w:val="00244D42"/>
    <w:rsid w:val="002476A2"/>
    <w:rsid w:val="00250217"/>
    <w:rsid w:val="002524C2"/>
    <w:rsid w:val="002529E1"/>
    <w:rsid w:val="00260C90"/>
    <w:rsid w:val="00262B8E"/>
    <w:rsid w:val="00262C82"/>
    <w:rsid w:val="00267E21"/>
    <w:rsid w:val="0027284C"/>
    <w:rsid w:val="00273544"/>
    <w:rsid w:val="00273BD2"/>
    <w:rsid w:val="00283F36"/>
    <w:rsid w:val="0028579F"/>
    <w:rsid w:val="002866CB"/>
    <w:rsid w:val="00291167"/>
    <w:rsid w:val="00293AF9"/>
    <w:rsid w:val="002A1F64"/>
    <w:rsid w:val="002A2730"/>
    <w:rsid w:val="002A3B50"/>
    <w:rsid w:val="002B381B"/>
    <w:rsid w:val="002C33A0"/>
    <w:rsid w:val="002D024F"/>
    <w:rsid w:val="002D0435"/>
    <w:rsid w:val="002D04FB"/>
    <w:rsid w:val="002D0AF6"/>
    <w:rsid w:val="002D3480"/>
    <w:rsid w:val="002E3293"/>
    <w:rsid w:val="002E4504"/>
    <w:rsid w:val="002E7787"/>
    <w:rsid w:val="002F0C90"/>
    <w:rsid w:val="002F5643"/>
    <w:rsid w:val="002F5A20"/>
    <w:rsid w:val="002F7851"/>
    <w:rsid w:val="003008D3"/>
    <w:rsid w:val="00302408"/>
    <w:rsid w:val="003042C4"/>
    <w:rsid w:val="00306328"/>
    <w:rsid w:val="00310AE0"/>
    <w:rsid w:val="00315EEF"/>
    <w:rsid w:val="00316D6A"/>
    <w:rsid w:val="0032290B"/>
    <w:rsid w:val="00323333"/>
    <w:rsid w:val="00325F40"/>
    <w:rsid w:val="0033277F"/>
    <w:rsid w:val="00334250"/>
    <w:rsid w:val="003353B5"/>
    <w:rsid w:val="00335AB5"/>
    <w:rsid w:val="00342725"/>
    <w:rsid w:val="00353E00"/>
    <w:rsid w:val="00355402"/>
    <w:rsid w:val="0035588D"/>
    <w:rsid w:val="00356FFC"/>
    <w:rsid w:val="00357F20"/>
    <w:rsid w:val="00362392"/>
    <w:rsid w:val="003704B6"/>
    <w:rsid w:val="00370909"/>
    <w:rsid w:val="003729FF"/>
    <w:rsid w:val="003768AC"/>
    <w:rsid w:val="00381EDC"/>
    <w:rsid w:val="00390B94"/>
    <w:rsid w:val="00392DA8"/>
    <w:rsid w:val="00394351"/>
    <w:rsid w:val="003953E3"/>
    <w:rsid w:val="0039712C"/>
    <w:rsid w:val="003A0B82"/>
    <w:rsid w:val="003A2FBF"/>
    <w:rsid w:val="003A4496"/>
    <w:rsid w:val="003A4DE2"/>
    <w:rsid w:val="003A6C9D"/>
    <w:rsid w:val="003A78E2"/>
    <w:rsid w:val="003A7B41"/>
    <w:rsid w:val="003B0663"/>
    <w:rsid w:val="003B0C99"/>
    <w:rsid w:val="003C01FA"/>
    <w:rsid w:val="003C581C"/>
    <w:rsid w:val="003C7B75"/>
    <w:rsid w:val="003D2E03"/>
    <w:rsid w:val="003D339B"/>
    <w:rsid w:val="003E5106"/>
    <w:rsid w:val="003E55E7"/>
    <w:rsid w:val="003E5A74"/>
    <w:rsid w:val="003E7C83"/>
    <w:rsid w:val="003F081D"/>
    <w:rsid w:val="003F2730"/>
    <w:rsid w:val="003F27AB"/>
    <w:rsid w:val="003F3FC6"/>
    <w:rsid w:val="003F73D6"/>
    <w:rsid w:val="003F73E1"/>
    <w:rsid w:val="003F7F39"/>
    <w:rsid w:val="00401E5C"/>
    <w:rsid w:val="00403CE4"/>
    <w:rsid w:val="00410FAC"/>
    <w:rsid w:val="004118FC"/>
    <w:rsid w:val="00411CAD"/>
    <w:rsid w:val="0041444D"/>
    <w:rsid w:val="004179F8"/>
    <w:rsid w:val="00417DC8"/>
    <w:rsid w:val="0042027A"/>
    <w:rsid w:val="00420950"/>
    <w:rsid w:val="004268A5"/>
    <w:rsid w:val="00427593"/>
    <w:rsid w:val="0043169A"/>
    <w:rsid w:val="00435EBD"/>
    <w:rsid w:val="0043607E"/>
    <w:rsid w:val="00456648"/>
    <w:rsid w:val="00461A72"/>
    <w:rsid w:val="0046283D"/>
    <w:rsid w:val="00462E68"/>
    <w:rsid w:val="004632E4"/>
    <w:rsid w:val="004649EB"/>
    <w:rsid w:val="00465DE5"/>
    <w:rsid w:val="00466942"/>
    <w:rsid w:val="0047135E"/>
    <w:rsid w:val="00473802"/>
    <w:rsid w:val="00477110"/>
    <w:rsid w:val="0047755F"/>
    <w:rsid w:val="004804CB"/>
    <w:rsid w:val="00481D13"/>
    <w:rsid w:val="0048693C"/>
    <w:rsid w:val="00487017"/>
    <w:rsid w:val="004A01D4"/>
    <w:rsid w:val="004A340E"/>
    <w:rsid w:val="004A380B"/>
    <w:rsid w:val="004A3C0A"/>
    <w:rsid w:val="004A3F1A"/>
    <w:rsid w:val="004A64E7"/>
    <w:rsid w:val="004B05A1"/>
    <w:rsid w:val="004B0782"/>
    <w:rsid w:val="004B191C"/>
    <w:rsid w:val="004B347B"/>
    <w:rsid w:val="004C116C"/>
    <w:rsid w:val="004C360E"/>
    <w:rsid w:val="004C3F09"/>
    <w:rsid w:val="004C4178"/>
    <w:rsid w:val="004C67E1"/>
    <w:rsid w:val="004C6E09"/>
    <w:rsid w:val="004C70EE"/>
    <w:rsid w:val="004D0A10"/>
    <w:rsid w:val="004D31F2"/>
    <w:rsid w:val="004E1972"/>
    <w:rsid w:val="004E2154"/>
    <w:rsid w:val="004E2C77"/>
    <w:rsid w:val="004E35E5"/>
    <w:rsid w:val="004E6354"/>
    <w:rsid w:val="004F28FF"/>
    <w:rsid w:val="004F3771"/>
    <w:rsid w:val="004F3A3D"/>
    <w:rsid w:val="004F7002"/>
    <w:rsid w:val="004F7D02"/>
    <w:rsid w:val="005010B2"/>
    <w:rsid w:val="0050264C"/>
    <w:rsid w:val="00506982"/>
    <w:rsid w:val="00515FCE"/>
    <w:rsid w:val="00520414"/>
    <w:rsid w:val="0052099A"/>
    <w:rsid w:val="00522274"/>
    <w:rsid w:val="00523705"/>
    <w:rsid w:val="0053263D"/>
    <w:rsid w:val="00533902"/>
    <w:rsid w:val="00534B05"/>
    <w:rsid w:val="005353FE"/>
    <w:rsid w:val="00536B75"/>
    <w:rsid w:val="00536E64"/>
    <w:rsid w:val="00537C6A"/>
    <w:rsid w:val="0054348E"/>
    <w:rsid w:val="0054430D"/>
    <w:rsid w:val="00544886"/>
    <w:rsid w:val="00546435"/>
    <w:rsid w:val="00551589"/>
    <w:rsid w:val="00552585"/>
    <w:rsid w:val="0055285B"/>
    <w:rsid w:val="00554200"/>
    <w:rsid w:val="005614F7"/>
    <w:rsid w:val="005639E3"/>
    <w:rsid w:val="00566120"/>
    <w:rsid w:val="005713C6"/>
    <w:rsid w:val="00573E0E"/>
    <w:rsid w:val="005756E6"/>
    <w:rsid w:val="00576EDF"/>
    <w:rsid w:val="0058023A"/>
    <w:rsid w:val="005810A9"/>
    <w:rsid w:val="00593C83"/>
    <w:rsid w:val="00594CAE"/>
    <w:rsid w:val="005A073A"/>
    <w:rsid w:val="005A4E98"/>
    <w:rsid w:val="005B132A"/>
    <w:rsid w:val="005B2A72"/>
    <w:rsid w:val="005B384C"/>
    <w:rsid w:val="005B57C8"/>
    <w:rsid w:val="005B6B08"/>
    <w:rsid w:val="005B6F5B"/>
    <w:rsid w:val="005C0C82"/>
    <w:rsid w:val="005C1C49"/>
    <w:rsid w:val="005C4B31"/>
    <w:rsid w:val="005C5306"/>
    <w:rsid w:val="005D13EC"/>
    <w:rsid w:val="005D28A6"/>
    <w:rsid w:val="005D4BBE"/>
    <w:rsid w:val="005D4C80"/>
    <w:rsid w:val="005D77C2"/>
    <w:rsid w:val="005E25A2"/>
    <w:rsid w:val="005F268F"/>
    <w:rsid w:val="005F637D"/>
    <w:rsid w:val="00602E85"/>
    <w:rsid w:val="006030A5"/>
    <w:rsid w:val="00606AFA"/>
    <w:rsid w:val="00606D9D"/>
    <w:rsid w:val="00610136"/>
    <w:rsid w:val="00615F0C"/>
    <w:rsid w:val="00617633"/>
    <w:rsid w:val="006208AA"/>
    <w:rsid w:val="006218E7"/>
    <w:rsid w:val="00626A32"/>
    <w:rsid w:val="00630F85"/>
    <w:rsid w:val="006340C7"/>
    <w:rsid w:val="006376B4"/>
    <w:rsid w:val="00637B5E"/>
    <w:rsid w:val="006401E3"/>
    <w:rsid w:val="006417D8"/>
    <w:rsid w:val="00645FE1"/>
    <w:rsid w:val="00646293"/>
    <w:rsid w:val="0064787A"/>
    <w:rsid w:val="006479A0"/>
    <w:rsid w:val="00650DD3"/>
    <w:rsid w:val="006568CC"/>
    <w:rsid w:val="00657A22"/>
    <w:rsid w:val="00660713"/>
    <w:rsid w:val="0066195C"/>
    <w:rsid w:val="00662303"/>
    <w:rsid w:val="00670278"/>
    <w:rsid w:val="00670B3E"/>
    <w:rsid w:val="00671CC5"/>
    <w:rsid w:val="006732ED"/>
    <w:rsid w:val="0067528C"/>
    <w:rsid w:val="00675453"/>
    <w:rsid w:val="00675A8B"/>
    <w:rsid w:val="00690883"/>
    <w:rsid w:val="00690DA4"/>
    <w:rsid w:val="00691745"/>
    <w:rsid w:val="00691BA6"/>
    <w:rsid w:val="00693F4E"/>
    <w:rsid w:val="00694117"/>
    <w:rsid w:val="00695640"/>
    <w:rsid w:val="0069698E"/>
    <w:rsid w:val="00697C76"/>
    <w:rsid w:val="006A3BBE"/>
    <w:rsid w:val="006B54D8"/>
    <w:rsid w:val="006B6625"/>
    <w:rsid w:val="006C2391"/>
    <w:rsid w:val="006C6386"/>
    <w:rsid w:val="006C7FD6"/>
    <w:rsid w:val="006D00A4"/>
    <w:rsid w:val="006D357B"/>
    <w:rsid w:val="006D4E10"/>
    <w:rsid w:val="006E1C8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401"/>
    <w:rsid w:val="00725F00"/>
    <w:rsid w:val="00731E3E"/>
    <w:rsid w:val="00733190"/>
    <w:rsid w:val="00737365"/>
    <w:rsid w:val="00740A3F"/>
    <w:rsid w:val="00742F8D"/>
    <w:rsid w:val="00744566"/>
    <w:rsid w:val="00745585"/>
    <w:rsid w:val="00750E43"/>
    <w:rsid w:val="00750E5D"/>
    <w:rsid w:val="00757CCA"/>
    <w:rsid w:val="0076171B"/>
    <w:rsid w:val="0076398B"/>
    <w:rsid w:val="007646BA"/>
    <w:rsid w:val="00764D5A"/>
    <w:rsid w:val="007660C9"/>
    <w:rsid w:val="00771B42"/>
    <w:rsid w:val="00772D93"/>
    <w:rsid w:val="0077531F"/>
    <w:rsid w:val="007766B8"/>
    <w:rsid w:val="00780061"/>
    <w:rsid w:val="00784053"/>
    <w:rsid w:val="00784702"/>
    <w:rsid w:val="00786A08"/>
    <w:rsid w:val="00790FF1"/>
    <w:rsid w:val="007921B5"/>
    <w:rsid w:val="00796019"/>
    <w:rsid w:val="00797628"/>
    <w:rsid w:val="007A0214"/>
    <w:rsid w:val="007A38D8"/>
    <w:rsid w:val="007A701F"/>
    <w:rsid w:val="007A777D"/>
    <w:rsid w:val="007B5DD0"/>
    <w:rsid w:val="007C2BFE"/>
    <w:rsid w:val="007D1D4A"/>
    <w:rsid w:val="007D340D"/>
    <w:rsid w:val="007D42E6"/>
    <w:rsid w:val="007D5829"/>
    <w:rsid w:val="007D594F"/>
    <w:rsid w:val="007D776C"/>
    <w:rsid w:val="007E35A7"/>
    <w:rsid w:val="007E45B9"/>
    <w:rsid w:val="007E51F1"/>
    <w:rsid w:val="007E5A1F"/>
    <w:rsid w:val="007F5E44"/>
    <w:rsid w:val="008018D0"/>
    <w:rsid w:val="00802AFD"/>
    <w:rsid w:val="008033F0"/>
    <w:rsid w:val="00803D70"/>
    <w:rsid w:val="00804CFB"/>
    <w:rsid w:val="008064A2"/>
    <w:rsid w:val="008069CD"/>
    <w:rsid w:val="00806B96"/>
    <w:rsid w:val="00812695"/>
    <w:rsid w:val="00817FB8"/>
    <w:rsid w:val="00822448"/>
    <w:rsid w:val="00825D17"/>
    <w:rsid w:val="00827406"/>
    <w:rsid w:val="00827E05"/>
    <w:rsid w:val="00832278"/>
    <w:rsid w:val="00834454"/>
    <w:rsid w:val="00843EBE"/>
    <w:rsid w:val="008465E8"/>
    <w:rsid w:val="00847CC3"/>
    <w:rsid w:val="008613DF"/>
    <w:rsid w:val="00884BA4"/>
    <w:rsid w:val="00884C58"/>
    <w:rsid w:val="00885A4A"/>
    <w:rsid w:val="008A0264"/>
    <w:rsid w:val="008A138A"/>
    <w:rsid w:val="008A2B72"/>
    <w:rsid w:val="008A3582"/>
    <w:rsid w:val="008A4803"/>
    <w:rsid w:val="008A5F9F"/>
    <w:rsid w:val="008B071D"/>
    <w:rsid w:val="008B469C"/>
    <w:rsid w:val="008B4AF5"/>
    <w:rsid w:val="008B720C"/>
    <w:rsid w:val="008B75D9"/>
    <w:rsid w:val="008C042F"/>
    <w:rsid w:val="008C0AD3"/>
    <w:rsid w:val="008C1BE4"/>
    <w:rsid w:val="008D0D47"/>
    <w:rsid w:val="008D1B66"/>
    <w:rsid w:val="008D44C1"/>
    <w:rsid w:val="008D7BC4"/>
    <w:rsid w:val="008E188C"/>
    <w:rsid w:val="008E1C37"/>
    <w:rsid w:val="008E24DC"/>
    <w:rsid w:val="008E343B"/>
    <w:rsid w:val="008E64CE"/>
    <w:rsid w:val="008E7EDA"/>
    <w:rsid w:val="008F0C67"/>
    <w:rsid w:val="008F4DB6"/>
    <w:rsid w:val="009015C6"/>
    <w:rsid w:val="00902327"/>
    <w:rsid w:val="00902DA7"/>
    <w:rsid w:val="009162DA"/>
    <w:rsid w:val="0091699A"/>
    <w:rsid w:val="00925ECE"/>
    <w:rsid w:val="0092634E"/>
    <w:rsid w:val="0094584D"/>
    <w:rsid w:val="00945A23"/>
    <w:rsid w:val="00947799"/>
    <w:rsid w:val="00950173"/>
    <w:rsid w:val="00950A6E"/>
    <w:rsid w:val="00950EB3"/>
    <w:rsid w:val="00953B2F"/>
    <w:rsid w:val="009541AA"/>
    <w:rsid w:val="00954460"/>
    <w:rsid w:val="00957A06"/>
    <w:rsid w:val="00957CFE"/>
    <w:rsid w:val="00960CB6"/>
    <w:rsid w:val="00962BC9"/>
    <w:rsid w:val="009643B0"/>
    <w:rsid w:val="00966575"/>
    <w:rsid w:val="00970543"/>
    <w:rsid w:val="00971250"/>
    <w:rsid w:val="00980D4E"/>
    <w:rsid w:val="0098237F"/>
    <w:rsid w:val="00985B81"/>
    <w:rsid w:val="00985EB2"/>
    <w:rsid w:val="00990A0F"/>
    <w:rsid w:val="009957EE"/>
    <w:rsid w:val="00995F3F"/>
    <w:rsid w:val="009A06DC"/>
    <w:rsid w:val="009A0A72"/>
    <w:rsid w:val="009A1FB2"/>
    <w:rsid w:val="009B4C3C"/>
    <w:rsid w:val="009B51DD"/>
    <w:rsid w:val="009B651F"/>
    <w:rsid w:val="009C32F6"/>
    <w:rsid w:val="009C6019"/>
    <w:rsid w:val="009C6282"/>
    <w:rsid w:val="009D0E6F"/>
    <w:rsid w:val="009D1404"/>
    <w:rsid w:val="009D3914"/>
    <w:rsid w:val="009D5AB3"/>
    <w:rsid w:val="009D60BE"/>
    <w:rsid w:val="009E13BF"/>
    <w:rsid w:val="009E3219"/>
    <w:rsid w:val="009E328D"/>
    <w:rsid w:val="009E3FD1"/>
    <w:rsid w:val="009E5E31"/>
    <w:rsid w:val="009E75E7"/>
    <w:rsid w:val="009F131D"/>
    <w:rsid w:val="009F2C7F"/>
    <w:rsid w:val="009F6C02"/>
    <w:rsid w:val="009F77AE"/>
    <w:rsid w:val="00A000DE"/>
    <w:rsid w:val="00A00FE4"/>
    <w:rsid w:val="00A01D42"/>
    <w:rsid w:val="00A02F26"/>
    <w:rsid w:val="00A0421C"/>
    <w:rsid w:val="00A06490"/>
    <w:rsid w:val="00A14B7D"/>
    <w:rsid w:val="00A14BD5"/>
    <w:rsid w:val="00A17C95"/>
    <w:rsid w:val="00A22694"/>
    <w:rsid w:val="00A23C58"/>
    <w:rsid w:val="00A26D02"/>
    <w:rsid w:val="00A32482"/>
    <w:rsid w:val="00A32FB4"/>
    <w:rsid w:val="00A33801"/>
    <w:rsid w:val="00A342A8"/>
    <w:rsid w:val="00A423D8"/>
    <w:rsid w:val="00A4262F"/>
    <w:rsid w:val="00A446D7"/>
    <w:rsid w:val="00A525DD"/>
    <w:rsid w:val="00A53A61"/>
    <w:rsid w:val="00A61DCE"/>
    <w:rsid w:val="00A64548"/>
    <w:rsid w:val="00A658B7"/>
    <w:rsid w:val="00A70B94"/>
    <w:rsid w:val="00A71156"/>
    <w:rsid w:val="00A73314"/>
    <w:rsid w:val="00A7432F"/>
    <w:rsid w:val="00A8315D"/>
    <w:rsid w:val="00A833E0"/>
    <w:rsid w:val="00A85775"/>
    <w:rsid w:val="00A8662B"/>
    <w:rsid w:val="00A94DEB"/>
    <w:rsid w:val="00A973F4"/>
    <w:rsid w:val="00AA1281"/>
    <w:rsid w:val="00AA1CE4"/>
    <w:rsid w:val="00AA3F49"/>
    <w:rsid w:val="00AA4D30"/>
    <w:rsid w:val="00AA5C1A"/>
    <w:rsid w:val="00AA676D"/>
    <w:rsid w:val="00AB2502"/>
    <w:rsid w:val="00AC336E"/>
    <w:rsid w:val="00AC3D2A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21B80"/>
    <w:rsid w:val="00B229AF"/>
    <w:rsid w:val="00B253B1"/>
    <w:rsid w:val="00B26A62"/>
    <w:rsid w:val="00B26CDB"/>
    <w:rsid w:val="00B26D6D"/>
    <w:rsid w:val="00B30208"/>
    <w:rsid w:val="00B308D6"/>
    <w:rsid w:val="00B31BA4"/>
    <w:rsid w:val="00B31F9F"/>
    <w:rsid w:val="00B32BF9"/>
    <w:rsid w:val="00B44BB7"/>
    <w:rsid w:val="00B53384"/>
    <w:rsid w:val="00B62729"/>
    <w:rsid w:val="00B7287F"/>
    <w:rsid w:val="00B72A48"/>
    <w:rsid w:val="00B73206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6B60"/>
    <w:rsid w:val="00BA20E7"/>
    <w:rsid w:val="00BA4212"/>
    <w:rsid w:val="00BA5435"/>
    <w:rsid w:val="00BA5A30"/>
    <w:rsid w:val="00BB51C6"/>
    <w:rsid w:val="00BB61D4"/>
    <w:rsid w:val="00BC172E"/>
    <w:rsid w:val="00BC1905"/>
    <w:rsid w:val="00BD0351"/>
    <w:rsid w:val="00BD3A99"/>
    <w:rsid w:val="00BD4C16"/>
    <w:rsid w:val="00BD50D3"/>
    <w:rsid w:val="00BE2600"/>
    <w:rsid w:val="00BE2AA8"/>
    <w:rsid w:val="00BF6CDF"/>
    <w:rsid w:val="00C007C7"/>
    <w:rsid w:val="00C03105"/>
    <w:rsid w:val="00C06793"/>
    <w:rsid w:val="00C10AF5"/>
    <w:rsid w:val="00C22068"/>
    <w:rsid w:val="00C2349C"/>
    <w:rsid w:val="00C2375A"/>
    <w:rsid w:val="00C306BE"/>
    <w:rsid w:val="00C34509"/>
    <w:rsid w:val="00C3474D"/>
    <w:rsid w:val="00C433FF"/>
    <w:rsid w:val="00C445E4"/>
    <w:rsid w:val="00C45974"/>
    <w:rsid w:val="00C530BA"/>
    <w:rsid w:val="00C53A73"/>
    <w:rsid w:val="00C57BF7"/>
    <w:rsid w:val="00C6399E"/>
    <w:rsid w:val="00C64358"/>
    <w:rsid w:val="00C645A4"/>
    <w:rsid w:val="00C76D51"/>
    <w:rsid w:val="00C81296"/>
    <w:rsid w:val="00C8155C"/>
    <w:rsid w:val="00C828F9"/>
    <w:rsid w:val="00C82BB3"/>
    <w:rsid w:val="00C875E3"/>
    <w:rsid w:val="00C92030"/>
    <w:rsid w:val="00C9431C"/>
    <w:rsid w:val="00C96E37"/>
    <w:rsid w:val="00CA4CA8"/>
    <w:rsid w:val="00CB07AC"/>
    <w:rsid w:val="00CB2DB7"/>
    <w:rsid w:val="00CB5495"/>
    <w:rsid w:val="00CC54C9"/>
    <w:rsid w:val="00CC64E9"/>
    <w:rsid w:val="00CC6A50"/>
    <w:rsid w:val="00CD0039"/>
    <w:rsid w:val="00CD1ACA"/>
    <w:rsid w:val="00CD3A4E"/>
    <w:rsid w:val="00CE0328"/>
    <w:rsid w:val="00CE0A32"/>
    <w:rsid w:val="00CE29A8"/>
    <w:rsid w:val="00CE5B58"/>
    <w:rsid w:val="00CE6579"/>
    <w:rsid w:val="00CE7A74"/>
    <w:rsid w:val="00CF12C1"/>
    <w:rsid w:val="00D0313E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6A15"/>
    <w:rsid w:val="00D37849"/>
    <w:rsid w:val="00D37CFC"/>
    <w:rsid w:val="00D438AE"/>
    <w:rsid w:val="00D43B0B"/>
    <w:rsid w:val="00D50E8B"/>
    <w:rsid w:val="00D52A9D"/>
    <w:rsid w:val="00D6543B"/>
    <w:rsid w:val="00D6590F"/>
    <w:rsid w:val="00D65A0C"/>
    <w:rsid w:val="00D73DAD"/>
    <w:rsid w:val="00D7512E"/>
    <w:rsid w:val="00D81313"/>
    <w:rsid w:val="00D84D3D"/>
    <w:rsid w:val="00D85D0B"/>
    <w:rsid w:val="00D86FA6"/>
    <w:rsid w:val="00D871F9"/>
    <w:rsid w:val="00D913B7"/>
    <w:rsid w:val="00D9277D"/>
    <w:rsid w:val="00D92982"/>
    <w:rsid w:val="00D937E2"/>
    <w:rsid w:val="00DB0021"/>
    <w:rsid w:val="00DB1123"/>
    <w:rsid w:val="00DB156E"/>
    <w:rsid w:val="00DB2BAD"/>
    <w:rsid w:val="00DB4872"/>
    <w:rsid w:val="00DB509D"/>
    <w:rsid w:val="00DC621E"/>
    <w:rsid w:val="00DC690C"/>
    <w:rsid w:val="00DC70E0"/>
    <w:rsid w:val="00DC7CDD"/>
    <w:rsid w:val="00DD26C2"/>
    <w:rsid w:val="00DD3D8E"/>
    <w:rsid w:val="00DD6F61"/>
    <w:rsid w:val="00DD79C1"/>
    <w:rsid w:val="00DE195F"/>
    <w:rsid w:val="00DE2892"/>
    <w:rsid w:val="00DE310B"/>
    <w:rsid w:val="00DE63F9"/>
    <w:rsid w:val="00DF11ED"/>
    <w:rsid w:val="00DF2186"/>
    <w:rsid w:val="00DF497E"/>
    <w:rsid w:val="00E16844"/>
    <w:rsid w:val="00E2741D"/>
    <w:rsid w:val="00E27C14"/>
    <w:rsid w:val="00E330EB"/>
    <w:rsid w:val="00E34193"/>
    <w:rsid w:val="00E40365"/>
    <w:rsid w:val="00E40C35"/>
    <w:rsid w:val="00E424F9"/>
    <w:rsid w:val="00E454AF"/>
    <w:rsid w:val="00E455C0"/>
    <w:rsid w:val="00E4794F"/>
    <w:rsid w:val="00E51103"/>
    <w:rsid w:val="00E55D61"/>
    <w:rsid w:val="00E566D5"/>
    <w:rsid w:val="00E62528"/>
    <w:rsid w:val="00E6421A"/>
    <w:rsid w:val="00E65D99"/>
    <w:rsid w:val="00E76A78"/>
    <w:rsid w:val="00E7714B"/>
    <w:rsid w:val="00E846C9"/>
    <w:rsid w:val="00E86E4E"/>
    <w:rsid w:val="00E95F9F"/>
    <w:rsid w:val="00EA2A52"/>
    <w:rsid w:val="00EA47A0"/>
    <w:rsid w:val="00EA6678"/>
    <w:rsid w:val="00EB4751"/>
    <w:rsid w:val="00EB6EE5"/>
    <w:rsid w:val="00EB77D5"/>
    <w:rsid w:val="00EB7A7F"/>
    <w:rsid w:val="00EC3712"/>
    <w:rsid w:val="00EC77B9"/>
    <w:rsid w:val="00ED077F"/>
    <w:rsid w:val="00ED0D6F"/>
    <w:rsid w:val="00ED3715"/>
    <w:rsid w:val="00ED711B"/>
    <w:rsid w:val="00EE3027"/>
    <w:rsid w:val="00EE38AB"/>
    <w:rsid w:val="00EE40BF"/>
    <w:rsid w:val="00EE48B6"/>
    <w:rsid w:val="00EF2B9A"/>
    <w:rsid w:val="00EF2F65"/>
    <w:rsid w:val="00EF369D"/>
    <w:rsid w:val="00EF709E"/>
    <w:rsid w:val="00F05DA8"/>
    <w:rsid w:val="00F065AF"/>
    <w:rsid w:val="00F07056"/>
    <w:rsid w:val="00F07C93"/>
    <w:rsid w:val="00F12CE2"/>
    <w:rsid w:val="00F138A2"/>
    <w:rsid w:val="00F14793"/>
    <w:rsid w:val="00F164B6"/>
    <w:rsid w:val="00F17E07"/>
    <w:rsid w:val="00F22034"/>
    <w:rsid w:val="00F23C80"/>
    <w:rsid w:val="00F24F21"/>
    <w:rsid w:val="00F31207"/>
    <w:rsid w:val="00F33ADF"/>
    <w:rsid w:val="00F35018"/>
    <w:rsid w:val="00F36FBC"/>
    <w:rsid w:val="00F37265"/>
    <w:rsid w:val="00F3743E"/>
    <w:rsid w:val="00F37527"/>
    <w:rsid w:val="00F41503"/>
    <w:rsid w:val="00F43C50"/>
    <w:rsid w:val="00F446C0"/>
    <w:rsid w:val="00F508D3"/>
    <w:rsid w:val="00F56096"/>
    <w:rsid w:val="00F57773"/>
    <w:rsid w:val="00F620F1"/>
    <w:rsid w:val="00F64F61"/>
    <w:rsid w:val="00F66464"/>
    <w:rsid w:val="00F66CD0"/>
    <w:rsid w:val="00F72658"/>
    <w:rsid w:val="00F7399D"/>
    <w:rsid w:val="00F75BE5"/>
    <w:rsid w:val="00F81200"/>
    <w:rsid w:val="00F81316"/>
    <w:rsid w:val="00F8260E"/>
    <w:rsid w:val="00F836FE"/>
    <w:rsid w:val="00F84FCF"/>
    <w:rsid w:val="00F907A4"/>
    <w:rsid w:val="00F925F7"/>
    <w:rsid w:val="00F92613"/>
    <w:rsid w:val="00F93FAF"/>
    <w:rsid w:val="00F941BD"/>
    <w:rsid w:val="00FA274E"/>
    <w:rsid w:val="00FA3885"/>
    <w:rsid w:val="00FA3D36"/>
    <w:rsid w:val="00FA663F"/>
    <w:rsid w:val="00FA7222"/>
    <w:rsid w:val="00FB144C"/>
    <w:rsid w:val="00FB2BA8"/>
    <w:rsid w:val="00FB447B"/>
    <w:rsid w:val="00FC0647"/>
    <w:rsid w:val="00FC453A"/>
    <w:rsid w:val="00FC4FDE"/>
    <w:rsid w:val="00FD3083"/>
    <w:rsid w:val="00FD73D3"/>
    <w:rsid w:val="00FE0A3A"/>
    <w:rsid w:val="00FE36CB"/>
    <w:rsid w:val="00FE4724"/>
    <w:rsid w:val="00FE5D55"/>
    <w:rsid w:val="00FE5E09"/>
    <w:rsid w:val="00FE7A71"/>
    <w:rsid w:val="00FF3B5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34AF-2E09-4982-AB55-65903E0A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5326</TotalTime>
  <Pages>6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11</cp:revision>
  <cp:lastPrinted>2020-11-05T06:24:00Z</cp:lastPrinted>
  <dcterms:created xsi:type="dcterms:W3CDTF">2023-11-13T11:18:00Z</dcterms:created>
  <dcterms:modified xsi:type="dcterms:W3CDTF">2023-11-17T08:26:00Z</dcterms:modified>
</cp:coreProperties>
</file>