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A96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257A8F4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9D7A17C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05AF435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0C5746C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0B4342F9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E6CF58B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51499FC" w14:textId="15EAEB57" w:rsidR="001F61F5" w:rsidRPr="008E3B7D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011E69">
        <w:rPr>
          <w:b/>
          <w:sz w:val="22"/>
          <w:szCs w:val="22"/>
          <w:u w:val="single"/>
        </w:rPr>
        <w:t xml:space="preserve">П Р О Т О К О </w:t>
      </w:r>
      <w:r w:rsidR="00A422F5" w:rsidRPr="00011E69">
        <w:rPr>
          <w:b/>
          <w:sz w:val="22"/>
          <w:szCs w:val="22"/>
          <w:u w:val="single"/>
        </w:rPr>
        <w:t>Л №</w:t>
      </w:r>
      <w:r w:rsidRPr="00011E69">
        <w:rPr>
          <w:b/>
          <w:sz w:val="22"/>
          <w:szCs w:val="22"/>
          <w:u w:val="single"/>
        </w:rPr>
        <w:t xml:space="preserve"> </w:t>
      </w:r>
      <w:r w:rsidR="008E3B7D">
        <w:rPr>
          <w:b/>
          <w:sz w:val="22"/>
          <w:szCs w:val="22"/>
          <w:u w:val="single"/>
        </w:rPr>
        <w:t>55</w:t>
      </w:r>
      <w:r w:rsidR="003C586B" w:rsidRPr="00011E69">
        <w:rPr>
          <w:b/>
          <w:sz w:val="22"/>
          <w:szCs w:val="22"/>
          <w:u w:val="single"/>
        </w:rPr>
        <w:t>/</w:t>
      </w:r>
      <w:r w:rsidR="008E3B7D">
        <w:rPr>
          <w:b/>
          <w:sz w:val="22"/>
          <w:szCs w:val="22"/>
          <w:u w:val="single"/>
        </w:rPr>
        <w:t>1</w:t>
      </w:r>
    </w:p>
    <w:p w14:paraId="22640CC6" w14:textId="77777777" w:rsidR="00F96DE7" w:rsidRPr="00011E6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734AD28E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011E6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187C8E7F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7D7349D1" w14:textId="550378AC" w:rsidR="001F61F5" w:rsidRPr="00011E69" w:rsidRDefault="008E3B7D" w:rsidP="00941935">
      <w:pPr>
        <w:rPr>
          <w:sz w:val="22"/>
          <w:szCs w:val="22"/>
        </w:rPr>
      </w:pPr>
      <w:r>
        <w:rPr>
          <w:sz w:val="22"/>
          <w:szCs w:val="22"/>
        </w:rPr>
        <w:t>26</w:t>
      </w:r>
      <w:r w:rsidR="00262FCD" w:rsidRPr="00011E69">
        <w:rPr>
          <w:sz w:val="22"/>
          <w:szCs w:val="22"/>
        </w:rPr>
        <w:t xml:space="preserve"> декабря</w:t>
      </w:r>
      <w:r w:rsidR="006E4B11" w:rsidRPr="00011E69">
        <w:rPr>
          <w:sz w:val="22"/>
          <w:szCs w:val="22"/>
        </w:rPr>
        <w:t xml:space="preserve"> </w:t>
      </w:r>
      <w:r w:rsidR="001F61F5" w:rsidRPr="00011E69">
        <w:rPr>
          <w:sz w:val="22"/>
          <w:szCs w:val="22"/>
        </w:rPr>
        <w:t>202</w:t>
      </w:r>
      <w:r w:rsidR="00512DE3" w:rsidRPr="00011E69">
        <w:rPr>
          <w:sz w:val="22"/>
          <w:szCs w:val="22"/>
        </w:rPr>
        <w:t>3</w:t>
      </w:r>
      <w:r w:rsidR="001F61F5" w:rsidRPr="00011E69">
        <w:rPr>
          <w:sz w:val="22"/>
          <w:szCs w:val="22"/>
        </w:rPr>
        <w:t xml:space="preserve"> г.</w:t>
      </w:r>
      <w:r w:rsidR="001F61F5" w:rsidRPr="00011E69">
        <w:rPr>
          <w:sz w:val="22"/>
          <w:szCs w:val="22"/>
        </w:rPr>
        <w:tab/>
        <w:t xml:space="preserve"> </w:t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  <w:t xml:space="preserve">              </w:t>
      </w:r>
      <w:r w:rsidR="00BE79D0" w:rsidRPr="00011E69">
        <w:rPr>
          <w:sz w:val="22"/>
          <w:szCs w:val="22"/>
        </w:rPr>
        <w:t xml:space="preserve">       </w:t>
      </w:r>
      <w:r w:rsidR="00F725EC" w:rsidRPr="00011E69">
        <w:rPr>
          <w:sz w:val="22"/>
          <w:szCs w:val="22"/>
        </w:rPr>
        <w:t xml:space="preserve">          </w:t>
      </w:r>
      <w:r w:rsidR="001F61F5" w:rsidRPr="00011E69">
        <w:rPr>
          <w:sz w:val="22"/>
          <w:szCs w:val="22"/>
        </w:rPr>
        <w:t>г. Иваново</w:t>
      </w:r>
    </w:p>
    <w:p w14:paraId="4AE3D328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12885AB" w14:textId="77777777" w:rsidR="000047E6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>Присутствовали:</w:t>
      </w:r>
    </w:p>
    <w:p w14:paraId="2A9CA652" w14:textId="77777777" w:rsidR="00BB5018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Председатель Правления: </w:t>
      </w:r>
      <w:r w:rsidR="00A60AB9" w:rsidRPr="00011E69">
        <w:rPr>
          <w:sz w:val="22"/>
          <w:szCs w:val="22"/>
        </w:rPr>
        <w:t>Морева Е.Н</w:t>
      </w:r>
      <w:r w:rsidR="00BB5018" w:rsidRPr="00011E69">
        <w:rPr>
          <w:sz w:val="22"/>
          <w:szCs w:val="22"/>
        </w:rPr>
        <w:t>.</w:t>
      </w:r>
    </w:p>
    <w:p w14:paraId="56A57047" w14:textId="48ECCBD7" w:rsidR="00D240A5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Члены Правления: </w:t>
      </w:r>
      <w:r w:rsidR="008F469F" w:rsidRPr="00011E69">
        <w:rPr>
          <w:sz w:val="22"/>
          <w:szCs w:val="22"/>
        </w:rPr>
        <w:t xml:space="preserve">Бугаева С.Е., </w:t>
      </w:r>
      <w:r w:rsidR="009C29D9" w:rsidRPr="00011E69">
        <w:rPr>
          <w:sz w:val="22"/>
          <w:szCs w:val="22"/>
        </w:rPr>
        <w:t>Турбачкина Е.В.,</w:t>
      </w:r>
      <w:r w:rsidR="00045143" w:rsidRPr="00011E69">
        <w:rPr>
          <w:sz w:val="22"/>
          <w:szCs w:val="22"/>
        </w:rPr>
        <w:t xml:space="preserve"> </w:t>
      </w:r>
      <w:r w:rsidR="00CE1884" w:rsidRPr="00011E69">
        <w:rPr>
          <w:sz w:val="22"/>
          <w:szCs w:val="22"/>
        </w:rPr>
        <w:t xml:space="preserve">Коннова Е.А., </w:t>
      </w:r>
      <w:r w:rsidR="009C29D9" w:rsidRPr="00011E69">
        <w:rPr>
          <w:sz w:val="22"/>
          <w:szCs w:val="22"/>
        </w:rPr>
        <w:t xml:space="preserve">Агапова О.П., </w:t>
      </w:r>
      <w:r w:rsidR="00BA0FEA" w:rsidRPr="00011E69">
        <w:rPr>
          <w:sz w:val="22"/>
          <w:szCs w:val="22"/>
        </w:rPr>
        <w:t>Полозов И.Г.</w:t>
      </w:r>
    </w:p>
    <w:p w14:paraId="23D1417D" w14:textId="77777777" w:rsidR="00BB5018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Ответственный секретарь правления: </w:t>
      </w:r>
      <w:r w:rsidR="00BB5018" w:rsidRPr="00011E69">
        <w:rPr>
          <w:sz w:val="22"/>
          <w:szCs w:val="22"/>
        </w:rPr>
        <w:t>Аскярова М.В.</w:t>
      </w:r>
    </w:p>
    <w:p w14:paraId="2DCA2F41" w14:textId="65DB3F01" w:rsidR="00597C04" w:rsidRPr="006C2A1A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>От Департамента энергетики и тарифов Ивановской области:</w:t>
      </w:r>
      <w:r w:rsidR="0068210D" w:rsidRPr="00011E69">
        <w:rPr>
          <w:sz w:val="22"/>
          <w:szCs w:val="22"/>
        </w:rPr>
        <w:t xml:space="preserve"> </w:t>
      </w:r>
      <w:r w:rsidR="00CF1663">
        <w:rPr>
          <w:sz w:val="22"/>
          <w:szCs w:val="22"/>
        </w:rPr>
        <w:t>Корнилов А.Р.</w:t>
      </w:r>
      <w:r w:rsidR="00FD39EA">
        <w:rPr>
          <w:sz w:val="22"/>
          <w:szCs w:val="22"/>
        </w:rPr>
        <w:t xml:space="preserve">, </w:t>
      </w:r>
      <w:r w:rsidR="008E3B7D">
        <w:rPr>
          <w:sz w:val="22"/>
          <w:szCs w:val="22"/>
        </w:rPr>
        <w:t>Фаттахова Е</w:t>
      </w:r>
      <w:r w:rsidR="00FD39EA">
        <w:rPr>
          <w:sz w:val="22"/>
          <w:szCs w:val="22"/>
        </w:rPr>
        <w:t>.В.</w:t>
      </w:r>
    </w:p>
    <w:p w14:paraId="40839818" w14:textId="77777777" w:rsidR="00123D78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От УФАС по Ивановской области: </w:t>
      </w:r>
      <w:r w:rsidR="00743103" w:rsidRPr="00011E69">
        <w:rPr>
          <w:sz w:val="22"/>
          <w:szCs w:val="22"/>
        </w:rPr>
        <w:t>Виднова З.Б.</w:t>
      </w:r>
    </w:p>
    <w:p w14:paraId="136EB580" w14:textId="77777777" w:rsidR="001E3AFE" w:rsidRPr="00262FCD" w:rsidRDefault="001E3AFE" w:rsidP="00941935">
      <w:pPr>
        <w:pStyle w:val="24"/>
        <w:widowControl/>
        <w:ind w:firstLine="0"/>
        <w:rPr>
          <w:color w:val="FF0000"/>
          <w:sz w:val="22"/>
          <w:szCs w:val="22"/>
        </w:rPr>
      </w:pPr>
    </w:p>
    <w:p w14:paraId="1935AEBE" w14:textId="77777777" w:rsidR="00577B75" w:rsidRPr="00011E69" w:rsidRDefault="00577B75" w:rsidP="00941935">
      <w:pPr>
        <w:jc w:val="center"/>
        <w:rPr>
          <w:b/>
          <w:sz w:val="22"/>
          <w:szCs w:val="22"/>
        </w:rPr>
      </w:pPr>
    </w:p>
    <w:p w14:paraId="3B7D6E30" w14:textId="77777777" w:rsidR="00F3495C" w:rsidRPr="00011E69" w:rsidRDefault="00F3495C" w:rsidP="00941935">
      <w:pPr>
        <w:jc w:val="center"/>
        <w:rPr>
          <w:b/>
          <w:sz w:val="22"/>
          <w:szCs w:val="22"/>
        </w:rPr>
      </w:pPr>
      <w:r w:rsidRPr="00011E69">
        <w:rPr>
          <w:b/>
          <w:sz w:val="22"/>
          <w:szCs w:val="22"/>
        </w:rPr>
        <w:t>П О В Е С Т К А:</w:t>
      </w:r>
    </w:p>
    <w:p w14:paraId="55F905FF" w14:textId="77777777" w:rsidR="00A363F5" w:rsidRPr="00011E6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011E69" w:rsidRPr="00011E69" w14:paraId="3E5676C3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D67EA51" w14:textId="77777777" w:rsidR="00B016E9" w:rsidRPr="00011E6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011E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269507BC" w14:textId="77777777" w:rsidR="00B016E9" w:rsidRPr="00011E6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11E69" w:rsidRPr="00011E69" w14:paraId="6A2C21E8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AEA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</w:tcPr>
          <w:p w14:paraId="083EBED8" w14:textId="61095D88" w:rsidR="00056A64" w:rsidRPr="00011E69" w:rsidRDefault="008E3B7D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8E3B7D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«ТеплоЭнерго+» (г.о. Кинешма) на 2024-2026 годы, об установлении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на 2024 год для потребителей ООО «ТеплоЭнерго+» (г.о. Кинешма)</w:t>
            </w:r>
          </w:p>
        </w:tc>
      </w:tr>
      <w:tr w:rsidR="00011E69" w:rsidRPr="00011E69" w14:paraId="26DA6E4C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F63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9" w:type="dxa"/>
          </w:tcPr>
          <w:p w14:paraId="22440758" w14:textId="5D927F4D" w:rsidR="00056A64" w:rsidRPr="00011E69" w:rsidRDefault="008E3B7D" w:rsidP="00C8723C">
            <w:pPr>
              <w:pStyle w:val="3"/>
              <w:ind w:right="173"/>
              <w:jc w:val="both"/>
              <w:rPr>
                <w:bCs/>
                <w:sz w:val="22"/>
                <w:szCs w:val="22"/>
              </w:rPr>
            </w:pPr>
            <w:r w:rsidRPr="008E3B7D">
              <w:rPr>
                <w:bCs/>
                <w:sz w:val="22"/>
                <w:szCs w:val="22"/>
              </w:rPr>
              <w:t>Об установлении тарифов на тепловую энергию для потребителей ООО «Теплоснаб-Родники» (</w:t>
            </w:r>
            <w:r w:rsidR="001F3E17" w:rsidRPr="001F3E17">
              <w:rPr>
                <w:bCs/>
                <w:sz w:val="22"/>
                <w:szCs w:val="22"/>
              </w:rPr>
              <w:t>г. Родники, ул. Советская, д. 4</w:t>
            </w:r>
            <w:r w:rsidRPr="001F3E17">
              <w:rPr>
                <w:bCs/>
                <w:sz w:val="22"/>
                <w:szCs w:val="22"/>
              </w:rPr>
              <w:t>)</w:t>
            </w:r>
            <w:r w:rsidRPr="008E3B7D">
              <w:rPr>
                <w:bCs/>
                <w:sz w:val="22"/>
                <w:szCs w:val="22"/>
              </w:rPr>
              <w:t xml:space="preserve"> на 2024 год</w:t>
            </w:r>
          </w:p>
        </w:tc>
      </w:tr>
    </w:tbl>
    <w:p w14:paraId="1E2F0F52" w14:textId="77777777" w:rsidR="004C6880" w:rsidRPr="00262FCD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262FC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0E6B7CEE" w14:textId="57386C3D" w:rsidR="00824830" w:rsidRPr="006A65ED" w:rsidRDefault="00824830" w:rsidP="004C6DF3">
      <w:pPr>
        <w:pStyle w:val="24"/>
        <w:widowControl/>
        <w:numPr>
          <w:ilvl w:val="0"/>
          <w:numId w:val="1"/>
        </w:numPr>
        <w:tabs>
          <w:tab w:val="left" w:pos="0"/>
        </w:tabs>
        <w:ind w:left="0" w:firstLine="709"/>
        <w:rPr>
          <w:bCs/>
          <w:sz w:val="22"/>
          <w:szCs w:val="22"/>
        </w:rPr>
      </w:pPr>
      <w:r w:rsidRPr="006A65ED">
        <w:rPr>
          <w:b/>
          <w:sz w:val="22"/>
          <w:szCs w:val="22"/>
        </w:rPr>
        <w:t>СЛУШАЛИ:</w:t>
      </w:r>
      <w:r w:rsidR="00056A64" w:rsidRPr="006A65ED">
        <w:rPr>
          <w:b/>
          <w:sz w:val="22"/>
          <w:szCs w:val="22"/>
        </w:rPr>
        <w:t xml:space="preserve"> </w:t>
      </w:r>
      <w:r w:rsidR="008E3B7D" w:rsidRPr="008E3B7D">
        <w:rPr>
          <w:b/>
          <w:bCs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«ТеплоЭнерго+» (г.о. Кинешма) на 2024-2026 годы, об установлении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н</w:t>
      </w:r>
      <w:r w:rsidR="008E3B7D">
        <w:rPr>
          <w:b/>
          <w:bCs/>
          <w:sz w:val="22"/>
          <w:szCs w:val="22"/>
        </w:rPr>
        <w:t>а 2024 год для потребителей ООО </w:t>
      </w:r>
      <w:r w:rsidR="008E3B7D" w:rsidRPr="008E3B7D">
        <w:rPr>
          <w:b/>
          <w:bCs/>
          <w:sz w:val="22"/>
          <w:szCs w:val="22"/>
        </w:rPr>
        <w:t>«ТеплоЭнерго+» (г.о. Кинешма)</w:t>
      </w:r>
      <w:r w:rsidR="008E3B7D">
        <w:rPr>
          <w:b/>
          <w:sz w:val="22"/>
          <w:szCs w:val="22"/>
        </w:rPr>
        <w:t xml:space="preserve"> </w:t>
      </w:r>
      <w:r w:rsidR="001A5B72">
        <w:rPr>
          <w:b/>
          <w:sz w:val="22"/>
          <w:szCs w:val="22"/>
        </w:rPr>
        <w:t>(</w:t>
      </w:r>
      <w:r w:rsidR="007F2F26">
        <w:rPr>
          <w:b/>
          <w:sz w:val="22"/>
          <w:szCs w:val="22"/>
        </w:rPr>
        <w:t>А.Р. Корнилов</w:t>
      </w:r>
      <w:r w:rsidR="001A5B72">
        <w:rPr>
          <w:b/>
          <w:sz w:val="22"/>
          <w:szCs w:val="22"/>
        </w:rPr>
        <w:t>)</w:t>
      </w:r>
      <w:r w:rsidR="007F2F26">
        <w:rPr>
          <w:b/>
          <w:sz w:val="22"/>
          <w:szCs w:val="22"/>
        </w:rPr>
        <w:t>.</w:t>
      </w:r>
    </w:p>
    <w:p w14:paraId="660D0B35" w14:textId="60A0A31D" w:rsidR="006704B6" w:rsidRPr="006704B6" w:rsidRDefault="006704B6" w:rsidP="006704B6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  <w:r w:rsidRPr="006704B6">
        <w:rPr>
          <w:snapToGrid w:val="0"/>
          <w:sz w:val="22"/>
          <w:szCs w:val="22"/>
        </w:rPr>
        <w:t>В связи с обращением ООО «ТеплоЭнерго+» (г. Кинешма) приказом Департамента энергетики и тарифов Ивановской области от 08.12.2023 № 101/1-у открыты тарифные дела об установлении тарифов на тепловую энергию, поставляемую потребителям, об установлении тарифов на тепловую энергию на коллекторах источника тепловой энергии, об установлении тарифов на теплоноситель на 2024 – 2026 годы и об установлении тарифов на горячую воду, поставляемую с использованием закрытой системы горячего водоснабжения для потребителей ООО «ТеплоЭнерго+» (г. Кинешма) на 2024 год.</w:t>
      </w:r>
    </w:p>
    <w:p w14:paraId="1D73DD80" w14:textId="09D6D153" w:rsidR="006704B6" w:rsidRPr="006704B6" w:rsidRDefault="006704B6" w:rsidP="006704B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6704B6">
        <w:rPr>
          <w:snapToGrid w:val="0"/>
          <w:sz w:val="22"/>
          <w:szCs w:val="22"/>
        </w:rPr>
        <w:t>Методом регулирования тарифов на тепловую энергию, теплоноситель определен метод индексации установленных тарифов.</w:t>
      </w:r>
    </w:p>
    <w:p w14:paraId="01054AE6" w14:textId="77777777" w:rsidR="006704B6" w:rsidRPr="006704B6" w:rsidRDefault="006704B6" w:rsidP="006704B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6704B6">
        <w:rPr>
          <w:snapToGrid w:val="0"/>
          <w:sz w:val="22"/>
          <w:szCs w:val="22"/>
        </w:rPr>
        <w:t xml:space="preserve">ООО «ТеплоЭнерго+» (г. Кинешма) осуществляет регулируемые виды деятельности с использованием имущества, которым владеет на основании договоров аренды. </w:t>
      </w:r>
    </w:p>
    <w:p w14:paraId="43171366" w14:textId="2FCCD799" w:rsidR="006704B6" w:rsidRPr="000B4B60" w:rsidRDefault="006704B6" w:rsidP="006704B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0B4B60">
        <w:rPr>
          <w:snapToGrid w:val="0"/>
          <w:sz w:val="22"/>
          <w:szCs w:val="22"/>
        </w:rPr>
        <w:t xml:space="preserve">Экспертиза тарифов выполнена в соответствии с требованиями и нормами Федеральных законов от 27.07.2010 № 190-ФЗ «О теплоснабжении», от 07.12.2011 № 416-ФЗ «О водоснабжении и водоотведении»,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постановлением Правительства Российской Федерации от 13.05.2013 № 406 «О государственном регулировании тарифов в сфере водоснабжения и водоотведения»,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</w:t>
      </w:r>
      <w:r w:rsidRPr="000B4B60">
        <w:rPr>
          <w:snapToGrid w:val="0"/>
          <w:sz w:val="22"/>
          <w:szCs w:val="22"/>
        </w:rPr>
        <w:lastRenderedPageBreak/>
        <w:t>(протокол № 28, часть II).</w:t>
      </w:r>
    </w:p>
    <w:p w14:paraId="4D4F6BD5" w14:textId="2908976F" w:rsidR="00E309BA" w:rsidRPr="00570BAB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570BAB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</w:t>
      </w:r>
      <w:r>
        <w:rPr>
          <w:bCs/>
          <w:sz w:val="22"/>
          <w:szCs w:val="22"/>
        </w:rPr>
        <w:t>, горячую воду</w:t>
      </w:r>
      <w:r w:rsidRPr="00570BAB">
        <w:rPr>
          <w:bCs/>
          <w:sz w:val="22"/>
          <w:szCs w:val="22"/>
        </w:rPr>
        <w:t xml:space="preserve"> для населения.</w:t>
      </w:r>
    </w:p>
    <w:p w14:paraId="7AE89621" w14:textId="0D7118CC" w:rsidR="00E309BA" w:rsidRPr="00570BAB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570BAB">
        <w:rPr>
          <w:bCs/>
          <w:sz w:val="22"/>
          <w:szCs w:val="22"/>
        </w:rPr>
        <w:t>Льготный тариф на тепловую энергию</w:t>
      </w:r>
      <w:r>
        <w:rPr>
          <w:bCs/>
          <w:sz w:val="22"/>
          <w:szCs w:val="22"/>
        </w:rPr>
        <w:t>, горячую воду</w:t>
      </w:r>
      <w:r w:rsidRPr="00570BAB">
        <w:rPr>
          <w:bCs/>
          <w:sz w:val="22"/>
          <w:szCs w:val="22"/>
        </w:rPr>
        <w:t xml:space="preserve"> для населения на первое полугодие 2024 года определен на уровне тарифа, действующего по состоянию на 31.12.2023 г.</w:t>
      </w:r>
    </w:p>
    <w:p w14:paraId="47D46254" w14:textId="6DC523E2" w:rsidR="00E309BA" w:rsidRPr="00570BAB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570BAB">
        <w:rPr>
          <w:bCs/>
          <w:sz w:val="22"/>
          <w:szCs w:val="22"/>
        </w:rPr>
        <w:t>Льготный тариф на тепловую энергию</w:t>
      </w:r>
      <w:r>
        <w:rPr>
          <w:bCs/>
          <w:sz w:val="22"/>
          <w:szCs w:val="22"/>
        </w:rPr>
        <w:t>, горячую воду</w:t>
      </w:r>
      <w:r w:rsidRPr="00570BAB">
        <w:rPr>
          <w:bCs/>
          <w:sz w:val="22"/>
          <w:szCs w:val="22"/>
        </w:rPr>
        <w:t xml:space="preserve"> для населения на второе полугодие 2024 года определен посредством индексации установленного на первое полугодие 2024 года тарифа на тепловую энергию</w:t>
      </w:r>
      <w:r>
        <w:rPr>
          <w:bCs/>
          <w:sz w:val="22"/>
          <w:szCs w:val="22"/>
        </w:rPr>
        <w:t>, горячую воду</w:t>
      </w:r>
      <w:r w:rsidRPr="00570BAB">
        <w:rPr>
          <w:bCs/>
          <w:sz w:val="22"/>
          <w:szCs w:val="22"/>
        </w:rPr>
        <w:t xml:space="preserve"> года на индекс 113,7%, сложившийся как сумма следующих составляющих:</w:t>
      </w:r>
    </w:p>
    <w:p w14:paraId="39CD118C" w14:textId="77777777" w:rsidR="00E309BA" w:rsidRPr="00570BAB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570BAB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 3147-р;</w:t>
      </w:r>
    </w:p>
    <w:p w14:paraId="0B270A52" w14:textId="77777777" w:rsidR="00E309BA" w:rsidRPr="00570BAB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570BAB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73C392D3" w14:textId="77777777" w:rsidR="00E309BA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570BA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66DB4D1" w14:textId="5543B17E" w:rsidR="00E309BA" w:rsidRPr="00570BAB" w:rsidRDefault="00E309BA" w:rsidP="00E309BA">
      <w:pPr>
        <w:pStyle w:val="24"/>
        <w:widowControl/>
        <w:ind w:firstLine="709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4D450B7B" w14:textId="31F881BC" w:rsidR="006704B6" w:rsidRPr="00E309BA" w:rsidRDefault="006704B6" w:rsidP="006704B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E309BA">
        <w:rPr>
          <w:snapToGrid w:val="0"/>
          <w:sz w:val="22"/>
          <w:szCs w:val="22"/>
        </w:rPr>
        <w:t>По результатам экспертизы материалов тарифн</w:t>
      </w:r>
      <w:r w:rsidR="00E309BA" w:rsidRPr="00E309BA">
        <w:rPr>
          <w:snapToGrid w:val="0"/>
          <w:sz w:val="22"/>
          <w:szCs w:val="22"/>
        </w:rPr>
        <w:t>ых</w:t>
      </w:r>
      <w:r w:rsidRPr="00E309BA">
        <w:rPr>
          <w:snapToGrid w:val="0"/>
          <w:sz w:val="22"/>
          <w:szCs w:val="22"/>
        </w:rPr>
        <w:t xml:space="preserve"> дел подготовлен</w:t>
      </w:r>
      <w:r w:rsidR="00E309BA" w:rsidRPr="00E309BA">
        <w:rPr>
          <w:snapToGrid w:val="0"/>
          <w:sz w:val="22"/>
          <w:szCs w:val="22"/>
        </w:rPr>
        <w:t>ы</w:t>
      </w:r>
      <w:r w:rsidRPr="00E309BA">
        <w:rPr>
          <w:snapToGrid w:val="0"/>
          <w:sz w:val="22"/>
          <w:szCs w:val="22"/>
        </w:rPr>
        <w:t xml:space="preserve"> экспертн</w:t>
      </w:r>
      <w:r w:rsidR="00E309BA" w:rsidRPr="00E309BA">
        <w:rPr>
          <w:snapToGrid w:val="0"/>
          <w:sz w:val="22"/>
          <w:szCs w:val="22"/>
        </w:rPr>
        <w:t>ые</w:t>
      </w:r>
      <w:r w:rsidRPr="00E309BA">
        <w:rPr>
          <w:snapToGrid w:val="0"/>
          <w:sz w:val="22"/>
          <w:szCs w:val="22"/>
        </w:rPr>
        <w:t xml:space="preserve"> заключени</w:t>
      </w:r>
      <w:r w:rsidR="00E309BA" w:rsidRPr="00E309BA">
        <w:rPr>
          <w:snapToGrid w:val="0"/>
          <w:sz w:val="22"/>
          <w:szCs w:val="22"/>
        </w:rPr>
        <w:t>я</w:t>
      </w:r>
      <w:r w:rsidRPr="00E309BA">
        <w:rPr>
          <w:snapToGrid w:val="0"/>
          <w:sz w:val="22"/>
          <w:szCs w:val="22"/>
        </w:rPr>
        <w:t xml:space="preserve">. </w:t>
      </w:r>
    </w:p>
    <w:p w14:paraId="4CA47C85" w14:textId="6EF6697B" w:rsidR="00121DC7" w:rsidRPr="00E309BA" w:rsidRDefault="006704B6" w:rsidP="006704B6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E309BA">
        <w:rPr>
          <w:snapToGrid w:val="0"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и горячую воду приведены в приложениях </w:t>
      </w:r>
      <w:r w:rsidR="00E309BA">
        <w:rPr>
          <w:snapToGrid w:val="0"/>
          <w:sz w:val="22"/>
          <w:szCs w:val="22"/>
        </w:rPr>
        <w:t>1</w:t>
      </w:r>
      <w:r w:rsidRPr="00E309BA">
        <w:rPr>
          <w:snapToGrid w:val="0"/>
          <w:sz w:val="22"/>
          <w:szCs w:val="22"/>
        </w:rPr>
        <w:t xml:space="preserve">/1, </w:t>
      </w:r>
      <w:r w:rsidR="00E309BA">
        <w:rPr>
          <w:snapToGrid w:val="0"/>
          <w:sz w:val="22"/>
          <w:szCs w:val="22"/>
        </w:rPr>
        <w:t>1</w:t>
      </w:r>
      <w:r w:rsidRPr="00E309BA">
        <w:rPr>
          <w:snapToGrid w:val="0"/>
          <w:sz w:val="22"/>
          <w:szCs w:val="22"/>
        </w:rPr>
        <w:t xml:space="preserve">/2, </w:t>
      </w:r>
      <w:r w:rsidR="00E309BA">
        <w:rPr>
          <w:snapToGrid w:val="0"/>
          <w:sz w:val="22"/>
          <w:szCs w:val="22"/>
        </w:rPr>
        <w:t>1</w:t>
      </w:r>
      <w:r w:rsidRPr="00E309BA">
        <w:rPr>
          <w:snapToGrid w:val="0"/>
          <w:sz w:val="22"/>
          <w:szCs w:val="22"/>
        </w:rPr>
        <w:t>/3.</w:t>
      </w:r>
    </w:p>
    <w:p w14:paraId="67167308" w14:textId="4186690A" w:rsidR="00B774DE" w:rsidRDefault="00B774DE" w:rsidP="00B774DE">
      <w:pPr>
        <w:pStyle w:val="24"/>
        <w:widowControl/>
        <w:ind w:firstLine="709"/>
        <w:rPr>
          <w:bCs/>
          <w:sz w:val="22"/>
          <w:szCs w:val="22"/>
        </w:rPr>
      </w:pPr>
      <w:r w:rsidRPr="00E95F5A">
        <w:rPr>
          <w:bCs/>
          <w:sz w:val="22"/>
          <w:szCs w:val="22"/>
        </w:rPr>
        <w:t xml:space="preserve">В заседании Правления представители </w:t>
      </w:r>
      <w:r w:rsidRPr="006704B6">
        <w:rPr>
          <w:snapToGrid w:val="0"/>
          <w:sz w:val="22"/>
          <w:szCs w:val="22"/>
        </w:rPr>
        <w:t xml:space="preserve">ООО «ТеплоЭнерго+» </w:t>
      </w:r>
      <w:r w:rsidRPr="00962F96">
        <w:rPr>
          <w:bCs/>
          <w:sz w:val="22"/>
          <w:szCs w:val="22"/>
        </w:rPr>
        <w:t xml:space="preserve">(г.о. Кинешма) </w:t>
      </w:r>
      <w:r w:rsidRPr="00E95F5A">
        <w:rPr>
          <w:bCs/>
          <w:sz w:val="22"/>
          <w:szCs w:val="22"/>
        </w:rPr>
        <w:t xml:space="preserve">участия не принимали. Письмом от </w:t>
      </w:r>
      <w:r>
        <w:rPr>
          <w:bCs/>
          <w:sz w:val="22"/>
          <w:szCs w:val="22"/>
        </w:rPr>
        <w:t>25</w:t>
      </w:r>
      <w:r w:rsidRPr="00E95F5A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>2</w:t>
      </w:r>
      <w:r w:rsidRPr="00E95F5A">
        <w:rPr>
          <w:bCs/>
          <w:sz w:val="22"/>
          <w:szCs w:val="22"/>
        </w:rPr>
        <w:t xml:space="preserve">.2023 № </w:t>
      </w:r>
      <w:r>
        <w:rPr>
          <w:bCs/>
          <w:sz w:val="22"/>
          <w:szCs w:val="22"/>
        </w:rPr>
        <w:t>172</w:t>
      </w:r>
      <w:r w:rsidRPr="00E95F5A">
        <w:rPr>
          <w:bCs/>
          <w:sz w:val="22"/>
          <w:szCs w:val="22"/>
        </w:rPr>
        <w:t xml:space="preserve"> </w:t>
      </w:r>
      <w:r w:rsidRPr="006704B6">
        <w:rPr>
          <w:snapToGrid w:val="0"/>
          <w:sz w:val="22"/>
          <w:szCs w:val="22"/>
        </w:rPr>
        <w:t xml:space="preserve">ООО «ТеплоЭнерго+» </w:t>
      </w:r>
      <w:r w:rsidRPr="00962F96">
        <w:rPr>
          <w:bCs/>
          <w:sz w:val="22"/>
          <w:szCs w:val="22"/>
        </w:rPr>
        <w:t>(г.о. Кинешма)</w:t>
      </w:r>
      <w:r w:rsidRPr="00E95F5A">
        <w:rPr>
          <w:bCs/>
          <w:sz w:val="22"/>
          <w:szCs w:val="22"/>
        </w:rPr>
        <w:t xml:space="preserve"> уведомило Департамент об ознакомлении </w:t>
      </w:r>
      <w:r>
        <w:rPr>
          <w:bCs/>
          <w:sz w:val="22"/>
          <w:szCs w:val="22"/>
        </w:rPr>
        <w:t xml:space="preserve">с </w:t>
      </w:r>
      <w:r w:rsidRPr="00E95F5A">
        <w:rPr>
          <w:bCs/>
          <w:sz w:val="22"/>
          <w:szCs w:val="22"/>
        </w:rPr>
        <w:t>уровнем предлагаемых к утверждению тарифов</w:t>
      </w:r>
      <w:r>
        <w:rPr>
          <w:bCs/>
          <w:sz w:val="22"/>
          <w:szCs w:val="22"/>
        </w:rPr>
        <w:t>.</w:t>
      </w:r>
    </w:p>
    <w:p w14:paraId="502D7454" w14:textId="77777777" w:rsidR="00076387" w:rsidRPr="008E3B7D" w:rsidRDefault="00076387" w:rsidP="005058E8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7AD49720" w14:textId="77777777" w:rsidR="00076387" w:rsidRPr="00473EF5" w:rsidRDefault="00076387" w:rsidP="005058E8">
      <w:pPr>
        <w:pStyle w:val="24"/>
        <w:widowControl/>
        <w:ind w:firstLine="709"/>
        <w:rPr>
          <w:b/>
          <w:sz w:val="22"/>
          <w:szCs w:val="22"/>
        </w:rPr>
      </w:pPr>
      <w:r w:rsidRPr="00473EF5">
        <w:rPr>
          <w:b/>
          <w:sz w:val="22"/>
          <w:szCs w:val="22"/>
        </w:rPr>
        <w:t>РЕШИЛИ:</w:t>
      </w:r>
    </w:p>
    <w:p w14:paraId="48B693F2" w14:textId="69385739" w:rsidR="00CB1CB6" w:rsidRPr="00E309BA" w:rsidRDefault="00CB1CB6" w:rsidP="005058E8">
      <w:pPr>
        <w:pStyle w:val="24"/>
        <w:widowControl/>
        <w:ind w:firstLine="709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</w:t>
      </w:r>
      <w:r w:rsidR="00473EF5" w:rsidRPr="00E309BA">
        <w:rPr>
          <w:bCs/>
          <w:sz w:val="22"/>
          <w:szCs w:val="22"/>
        </w:rPr>
        <w:t>,</w:t>
      </w:r>
      <w:r w:rsidR="00E309BA" w:rsidRPr="00E309BA">
        <w:t xml:space="preserve"> </w:t>
      </w:r>
      <w:r w:rsidR="00E309BA" w:rsidRPr="00E309BA">
        <w:rPr>
          <w:bCs/>
          <w:sz w:val="22"/>
          <w:szCs w:val="22"/>
        </w:rPr>
        <w:t>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водоотведения»:</w:t>
      </w:r>
    </w:p>
    <w:p w14:paraId="458DC98B" w14:textId="77777777" w:rsidR="00E309BA" w:rsidRPr="00E309BA" w:rsidRDefault="00E309BA" w:rsidP="00E309BA">
      <w:pPr>
        <w:ind w:firstLine="709"/>
        <w:jc w:val="both"/>
        <w:rPr>
          <w:bCs/>
          <w:sz w:val="22"/>
          <w:szCs w:val="22"/>
        </w:rPr>
      </w:pPr>
    </w:p>
    <w:p w14:paraId="6B79B043" w14:textId="0B53EB2F" w:rsid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1.</w:t>
      </w:r>
      <w:r w:rsidRPr="00E309BA">
        <w:rPr>
          <w:bCs/>
          <w:sz w:val="22"/>
          <w:szCs w:val="22"/>
        </w:rPr>
        <w:tab/>
        <w:t xml:space="preserve">Установить долгосрочные тарифы на тепловую энергию для потребителей ООО «ТеплоЭнерго+» (г. Кинешма) на 2024-2026 годы </w:t>
      </w:r>
      <w:r w:rsidR="007F2F26">
        <w:rPr>
          <w:bCs/>
          <w:sz w:val="22"/>
          <w:szCs w:val="22"/>
        </w:rPr>
        <w:t>на следующем уровне:</w:t>
      </w:r>
    </w:p>
    <w:p w14:paraId="0BFEC8BF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1C68B133" w14:textId="77777777" w:rsidR="007F2F26" w:rsidRPr="00F2485C" w:rsidRDefault="007F2F26" w:rsidP="007F2F2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485C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496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2282"/>
        <w:gridCol w:w="1560"/>
        <w:gridCol w:w="709"/>
        <w:gridCol w:w="1191"/>
        <w:gridCol w:w="1122"/>
        <w:gridCol w:w="446"/>
        <w:gridCol w:w="567"/>
        <w:gridCol w:w="701"/>
        <w:gridCol w:w="496"/>
        <w:gridCol w:w="634"/>
      </w:tblGrid>
      <w:tr w:rsidR="007F2F26" w:rsidRPr="00F2485C" w14:paraId="22BCA61C" w14:textId="77777777" w:rsidTr="00A26570">
        <w:trPr>
          <w:trHeight w:val="283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14:paraId="4DBF303F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№ п/п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  <w:hideMark/>
          </w:tcPr>
          <w:p w14:paraId="3AAABB8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70" w:type="pct"/>
            <w:vMerge w:val="restart"/>
            <w:shd w:val="clear" w:color="auto" w:fill="auto"/>
            <w:noWrap/>
            <w:vAlign w:val="center"/>
            <w:hideMark/>
          </w:tcPr>
          <w:p w14:paraId="42E9E1D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Вид тарифа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  <w:hideMark/>
          </w:tcPr>
          <w:p w14:paraId="218907B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Год</w:t>
            </w:r>
          </w:p>
        </w:tc>
        <w:tc>
          <w:tcPr>
            <w:tcW w:w="1142" w:type="pct"/>
            <w:gridSpan w:val="2"/>
            <w:shd w:val="clear" w:color="auto" w:fill="auto"/>
            <w:noWrap/>
            <w:vAlign w:val="center"/>
            <w:hideMark/>
          </w:tcPr>
          <w:p w14:paraId="20F9A37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Вода</w:t>
            </w:r>
          </w:p>
        </w:tc>
        <w:tc>
          <w:tcPr>
            <w:tcW w:w="1091" w:type="pct"/>
            <w:gridSpan w:val="4"/>
            <w:shd w:val="clear" w:color="auto" w:fill="auto"/>
            <w:noWrap/>
            <w:vAlign w:val="center"/>
            <w:hideMark/>
          </w:tcPr>
          <w:p w14:paraId="2400D79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F5C4B2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F2F26" w:rsidRPr="00F2485C" w14:paraId="6131EEFA" w14:textId="77777777" w:rsidTr="00A26570">
        <w:trPr>
          <w:trHeight w:val="5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3A3D52D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5D9F032D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noWrap/>
            <w:vAlign w:val="center"/>
            <w:hideMark/>
          </w:tcPr>
          <w:p w14:paraId="3849BAB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  <w:hideMark/>
          </w:tcPr>
          <w:p w14:paraId="7F8D4231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69313CB9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 полугодие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0F366D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 полугодие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4BD1395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1,2 до 2,5 кг/</w:t>
            </w:r>
          </w:p>
          <w:p w14:paraId="54A50DEC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280" w:type="pct"/>
            <w:vAlign w:val="center"/>
          </w:tcPr>
          <w:p w14:paraId="5B140BEC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2,5 до 7,0 кг/см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346" w:type="pct"/>
            <w:vAlign w:val="center"/>
          </w:tcPr>
          <w:p w14:paraId="2B1A39DF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7,0 до 13,0 кг/</w:t>
            </w:r>
          </w:p>
          <w:p w14:paraId="282AF163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245" w:type="pct"/>
            <w:vAlign w:val="center"/>
          </w:tcPr>
          <w:p w14:paraId="127B207C" w14:textId="77777777" w:rsidR="007F2F26" w:rsidRPr="00F2485C" w:rsidRDefault="007F2F26" w:rsidP="00A2657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Свыше 13,0 кг/</w:t>
            </w:r>
          </w:p>
          <w:p w14:paraId="1899ED65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643505F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F2F26" w:rsidRPr="00F2485C" w14:paraId="351FBD15" w14:textId="77777777" w:rsidTr="00A26570">
        <w:trPr>
          <w:trHeight w:val="34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53A9D36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F2F26" w:rsidRPr="00F2485C" w14:paraId="54BF3E33" w14:textId="77777777" w:rsidTr="00A26570">
        <w:trPr>
          <w:trHeight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1DA59DFB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1.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75AA675E" w14:textId="77777777" w:rsidR="007F2F26" w:rsidRPr="0071425A" w:rsidRDefault="007F2F26" w:rsidP="00A26570">
            <w:pPr>
              <w:widowControl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ООО «ТеплоЭнерго</w:t>
            </w:r>
            <w:r>
              <w:rPr>
                <w:sz w:val="22"/>
                <w:szCs w:val="22"/>
                <w:lang w:val="en-US"/>
              </w:rPr>
              <w:t>+</w:t>
            </w:r>
            <w:r w:rsidRPr="0071425A">
              <w:rPr>
                <w:sz w:val="22"/>
                <w:szCs w:val="22"/>
              </w:rPr>
              <w:t>»</w:t>
            </w:r>
          </w:p>
          <w:p w14:paraId="254C8267" w14:textId="77777777" w:rsidR="007F2F26" w:rsidRPr="00F2485C" w:rsidRDefault="007F2F26" w:rsidP="00A26570">
            <w:pPr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(г. Кинешма)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033369A3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 xml:space="preserve">Одноставо-чный, руб./Гкал, </w:t>
            </w:r>
          </w:p>
          <w:p w14:paraId="666838E0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без НДС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75ADF1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42D4D8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2 166</w:t>
            </w:r>
            <w:r>
              <w:rPr>
                <w:sz w:val="22"/>
                <w:szCs w:val="22"/>
              </w:rPr>
              <w:t>,57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904C5AE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2 460</w:t>
            </w:r>
            <w:r>
              <w:rPr>
                <w:sz w:val="22"/>
                <w:szCs w:val="22"/>
              </w:rPr>
              <w:t>,85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7208B8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2695F31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619C926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4EA93E5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DC9E0BB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0209B508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47C20351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79061DA1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  <w:hideMark/>
          </w:tcPr>
          <w:p w14:paraId="7AAB963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23AE5EA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372CA38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2 416,51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C4A91A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2 417,32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4980D8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484AFD8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7FEC306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230ABB6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DC38D1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3C11484E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4972B492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50861584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2F43694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DDEAC80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28C7115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2 394,93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0DB1083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2 395,03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156249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12684531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453324E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561B329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C70BD0B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</w:tbl>
    <w:p w14:paraId="01F7874C" w14:textId="77777777" w:rsidR="007F2F26" w:rsidRPr="00E309BA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366BE138" w14:textId="1D77D299" w:rsid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2.</w:t>
      </w:r>
      <w:r w:rsidRPr="00E309BA">
        <w:rPr>
          <w:bCs/>
          <w:sz w:val="22"/>
          <w:szCs w:val="22"/>
        </w:rPr>
        <w:tab/>
        <w:t xml:space="preserve">Установить долгосрочные тарифы на тепловую энергию на коллекторах источника тепловой энергии ООО «ТеплоЭнерго+» (г. Кинешма) на 2024-2026 годы </w:t>
      </w:r>
      <w:r w:rsidR="007F2F26">
        <w:rPr>
          <w:bCs/>
          <w:sz w:val="22"/>
          <w:szCs w:val="22"/>
        </w:rPr>
        <w:t>на следующем уровне:</w:t>
      </w:r>
    </w:p>
    <w:p w14:paraId="0812CF7A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7FA6754B" w14:textId="77777777" w:rsidR="007F2F26" w:rsidRPr="0071425A" w:rsidRDefault="007F2F26" w:rsidP="007F2F2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1425A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496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2282"/>
        <w:gridCol w:w="1560"/>
        <w:gridCol w:w="709"/>
        <w:gridCol w:w="1191"/>
        <w:gridCol w:w="1122"/>
        <w:gridCol w:w="446"/>
        <w:gridCol w:w="567"/>
        <w:gridCol w:w="701"/>
        <w:gridCol w:w="496"/>
        <w:gridCol w:w="634"/>
      </w:tblGrid>
      <w:tr w:rsidR="007F2F26" w:rsidRPr="00F2485C" w14:paraId="10BE7E7B" w14:textId="77777777" w:rsidTr="00A26570">
        <w:trPr>
          <w:trHeight w:val="283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14:paraId="060B497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№ п/п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  <w:hideMark/>
          </w:tcPr>
          <w:p w14:paraId="7A0D444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70" w:type="pct"/>
            <w:vMerge w:val="restart"/>
            <w:shd w:val="clear" w:color="auto" w:fill="auto"/>
            <w:noWrap/>
            <w:vAlign w:val="center"/>
            <w:hideMark/>
          </w:tcPr>
          <w:p w14:paraId="6A02060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Вид тарифа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  <w:hideMark/>
          </w:tcPr>
          <w:p w14:paraId="6AAF170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Год</w:t>
            </w:r>
          </w:p>
        </w:tc>
        <w:tc>
          <w:tcPr>
            <w:tcW w:w="1142" w:type="pct"/>
            <w:gridSpan w:val="2"/>
            <w:shd w:val="clear" w:color="auto" w:fill="auto"/>
            <w:noWrap/>
            <w:vAlign w:val="center"/>
            <w:hideMark/>
          </w:tcPr>
          <w:p w14:paraId="5A1386D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Вода</w:t>
            </w:r>
          </w:p>
        </w:tc>
        <w:tc>
          <w:tcPr>
            <w:tcW w:w="1091" w:type="pct"/>
            <w:gridSpan w:val="4"/>
            <w:shd w:val="clear" w:color="auto" w:fill="auto"/>
            <w:noWrap/>
            <w:vAlign w:val="center"/>
            <w:hideMark/>
          </w:tcPr>
          <w:p w14:paraId="3A28C664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94FAD7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F2F26" w:rsidRPr="00F2485C" w14:paraId="1F2B45BF" w14:textId="77777777" w:rsidTr="00A26570">
        <w:trPr>
          <w:trHeight w:val="5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7706FCC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621BBB00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noWrap/>
            <w:vAlign w:val="center"/>
            <w:hideMark/>
          </w:tcPr>
          <w:p w14:paraId="5CE1DA1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  <w:hideMark/>
          </w:tcPr>
          <w:p w14:paraId="5F77D40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130E1B8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 полугодие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F432E70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 полугодие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F594617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1,2 до 2,5 кг/</w:t>
            </w:r>
          </w:p>
          <w:p w14:paraId="4EE2E487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280" w:type="pct"/>
            <w:vAlign w:val="center"/>
          </w:tcPr>
          <w:p w14:paraId="7165F8C4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2,5 до 7,0 кг/см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346" w:type="pct"/>
            <w:vAlign w:val="center"/>
          </w:tcPr>
          <w:p w14:paraId="70055C5B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7,0 до 13,0 кг/</w:t>
            </w:r>
          </w:p>
          <w:p w14:paraId="18B4F14B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245" w:type="pct"/>
            <w:vAlign w:val="center"/>
          </w:tcPr>
          <w:p w14:paraId="709982D0" w14:textId="77777777" w:rsidR="007F2F26" w:rsidRPr="00F2485C" w:rsidRDefault="007F2F26" w:rsidP="00A2657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Свыше 13,0 кг/</w:t>
            </w:r>
          </w:p>
          <w:p w14:paraId="4C3C6B16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4E4F8D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F2F26" w:rsidRPr="00F2485C" w14:paraId="59D83611" w14:textId="77777777" w:rsidTr="00A26570">
        <w:trPr>
          <w:trHeight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5A1F6A9B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1.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02499B52" w14:textId="77777777" w:rsidR="007F2F26" w:rsidRPr="0071425A" w:rsidRDefault="007F2F26" w:rsidP="00A26570">
            <w:pPr>
              <w:widowControl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ООО «ТеплоЭнерго</w:t>
            </w:r>
            <w:r>
              <w:rPr>
                <w:sz w:val="22"/>
                <w:szCs w:val="22"/>
                <w:lang w:val="en-US"/>
              </w:rPr>
              <w:t>+</w:t>
            </w:r>
            <w:r w:rsidRPr="0071425A">
              <w:rPr>
                <w:sz w:val="22"/>
                <w:szCs w:val="22"/>
              </w:rPr>
              <w:t>»</w:t>
            </w:r>
          </w:p>
          <w:p w14:paraId="5CD8588D" w14:textId="77777777" w:rsidR="007F2F26" w:rsidRPr="00F2485C" w:rsidRDefault="007F2F26" w:rsidP="00A26570">
            <w:pPr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(г. Кинешма)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72CA092A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 xml:space="preserve">Одноставо-чный, руб./Гкал, </w:t>
            </w:r>
          </w:p>
          <w:p w14:paraId="4BCE8F56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без НДС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E5DB27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B94E329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1 520,53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9DB8ADE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1 675,62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6B1A94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25E74E8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35BC2B5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0ED79F7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10C8F0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0038D449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569F164C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30274B09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  <w:hideMark/>
          </w:tcPr>
          <w:p w14:paraId="6E76618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4E892A6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F2D6718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1 666,10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8F936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1 677,95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DDD38E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4ADCB6C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105DE23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7CBC289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96E86D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4CBDE0F3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1F349BA2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404368A6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512858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298F14B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06DAA15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1 640,17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A22A752" w14:textId="77777777" w:rsidR="007F2F26" w:rsidRPr="005038D4" w:rsidRDefault="007F2F26" w:rsidP="00A2657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038D4">
              <w:rPr>
                <w:sz w:val="22"/>
                <w:szCs w:val="22"/>
                <w:lang w:val="en-US"/>
              </w:rPr>
              <w:t>1 648,00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E79B76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6E7DB040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66DF6C2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2445EDF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9C6DA9F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</w:tbl>
    <w:p w14:paraId="2B6BA64A" w14:textId="77777777" w:rsidR="007F2F26" w:rsidRDefault="007F2F26" w:rsidP="007F2F26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rFonts w:eastAsia="Franklin Gothic Demi"/>
        </w:rPr>
      </w:pPr>
    </w:p>
    <w:p w14:paraId="5BD740D2" w14:textId="77777777" w:rsidR="007F2F26" w:rsidRPr="008C6075" w:rsidRDefault="007F2F26" w:rsidP="007F2F26">
      <w:pPr>
        <w:widowControl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0B654D">
        <w:rPr>
          <w:rStyle w:val="apple-style-span"/>
          <w:rFonts w:eastAsia="Franklin Gothic Demi"/>
        </w:rPr>
        <w:t xml:space="preserve">Примечание. Величина расходов на топливо, отнесенных на 1 Гкал тепловой энергии, отпущенной с коллекторов источника тепловой энергии, </w:t>
      </w:r>
      <w:r w:rsidRPr="00A83B08">
        <w:rPr>
          <w:rStyle w:val="apple-style-span"/>
          <w:rFonts w:eastAsia="Franklin Gothic Demi"/>
        </w:rPr>
        <w:t>составляет: на 2024 год – 1 014,20 руб, на 2025 год – 1 075,00 руб, на 2026 год – 1 084,54 руб.</w:t>
      </w:r>
    </w:p>
    <w:p w14:paraId="0766DF67" w14:textId="77777777" w:rsidR="007F2F26" w:rsidRPr="00E309BA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63ABE3F4" w14:textId="75F3B6A4" w:rsid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3.</w:t>
      </w:r>
      <w:r w:rsidRPr="00E309BA">
        <w:rPr>
          <w:bCs/>
          <w:sz w:val="22"/>
          <w:szCs w:val="22"/>
        </w:rPr>
        <w:tab/>
        <w:t xml:space="preserve">Установить долгосрочные льготные тарифы на тепловую энергию для потребителей ООО «ТеплоЭнерго+» (г. Кинешма) на 2024-2026 годы </w:t>
      </w:r>
      <w:r w:rsidR="007F2F26">
        <w:rPr>
          <w:bCs/>
          <w:sz w:val="22"/>
          <w:szCs w:val="22"/>
        </w:rPr>
        <w:t>на следующем уровне:</w:t>
      </w:r>
    </w:p>
    <w:p w14:paraId="5DF9873C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4C63CC42" w14:textId="77777777" w:rsidR="007F2F26" w:rsidRPr="00AC30BB" w:rsidRDefault="007F2F26" w:rsidP="007F2F2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30B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496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2282"/>
        <w:gridCol w:w="1560"/>
        <w:gridCol w:w="709"/>
        <w:gridCol w:w="1191"/>
        <w:gridCol w:w="1122"/>
        <w:gridCol w:w="446"/>
        <w:gridCol w:w="567"/>
        <w:gridCol w:w="701"/>
        <w:gridCol w:w="496"/>
        <w:gridCol w:w="634"/>
      </w:tblGrid>
      <w:tr w:rsidR="007F2F26" w:rsidRPr="00F2485C" w14:paraId="2AC40056" w14:textId="77777777" w:rsidTr="00A26570">
        <w:trPr>
          <w:trHeight w:val="283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14:paraId="2E7F781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№ п/п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  <w:hideMark/>
          </w:tcPr>
          <w:p w14:paraId="6B2E868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70" w:type="pct"/>
            <w:vMerge w:val="restart"/>
            <w:shd w:val="clear" w:color="auto" w:fill="auto"/>
            <w:noWrap/>
            <w:vAlign w:val="center"/>
            <w:hideMark/>
          </w:tcPr>
          <w:p w14:paraId="72EC057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Вид тарифа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  <w:hideMark/>
          </w:tcPr>
          <w:p w14:paraId="639B96C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Год</w:t>
            </w:r>
          </w:p>
        </w:tc>
        <w:tc>
          <w:tcPr>
            <w:tcW w:w="1142" w:type="pct"/>
            <w:gridSpan w:val="2"/>
            <w:shd w:val="clear" w:color="auto" w:fill="auto"/>
            <w:noWrap/>
            <w:vAlign w:val="center"/>
            <w:hideMark/>
          </w:tcPr>
          <w:p w14:paraId="62F52331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Вода</w:t>
            </w:r>
          </w:p>
        </w:tc>
        <w:tc>
          <w:tcPr>
            <w:tcW w:w="1091" w:type="pct"/>
            <w:gridSpan w:val="4"/>
            <w:shd w:val="clear" w:color="auto" w:fill="auto"/>
            <w:noWrap/>
            <w:vAlign w:val="center"/>
            <w:hideMark/>
          </w:tcPr>
          <w:p w14:paraId="7153FE24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E49A82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F2F26" w:rsidRPr="00F2485C" w14:paraId="509E7561" w14:textId="77777777" w:rsidTr="00A26570">
        <w:trPr>
          <w:trHeight w:val="5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3C4DB0D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0B871562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noWrap/>
            <w:vAlign w:val="center"/>
            <w:hideMark/>
          </w:tcPr>
          <w:p w14:paraId="584C172F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  <w:hideMark/>
          </w:tcPr>
          <w:p w14:paraId="7A2243F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0F95FEB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 полугодие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58D3B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 полугодие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2BE361E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1,2 до 2,5 кг/</w:t>
            </w:r>
          </w:p>
          <w:p w14:paraId="662F10A9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280" w:type="pct"/>
            <w:vAlign w:val="center"/>
          </w:tcPr>
          <w:p w14:paraId="369F1596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2,5 до 7,0 кг/см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346" w:type="pct"/>
            <w:vAlign w:val="center"/>
          </w:tcPr>
          <w:p w14:paraId="100BEE71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от 7,0 до 13,0 кг/</w:t>
            </w:r>
          </w:p>
          <w:p w14:paraId="34C71B73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245" w:type="pct"/>
            <w:vAlign w:val="center"/>
          </w:tcPr>
          <w:p w14:paraId="5574DFAC" w14:textId="77777777" w:rsidR="007F2F26" w:rsidRPr="00F2485C" w:rsidRDefault="007F2F26" w:rsidP="00A2657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Свыше 13,0 кг/</w:t>
            </w:r>
          </w:p>
          <w:p w14:paraId="7FB59B9A" w14:textId="77777777" w:rsidR="007F2F26" w:rsidRPr="00F2485C" w:rsidRDefault="007F2F26" w:rsidP="00A26570">
            <w:pPr>
              <w:widowControl/>
              <w:jc w:val="center"/>
              <w:rPr>
                <w:szCs w:val="22"/>
              </w:rPr>
            </w:pPr>
            <w:r w:rsidRPr="00F2485C">
              <w:rPr>
                <w:szCs w:val="22"/>
              </w:rPr>
              <w:t>см</w:t>
            </w:r>
            <w:r w:rsidRPr="00F2485C">
              <w:rPr>
                <w:szCs w:val="22"/>
                <w:vertAlign w:val="superscript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51F6624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F2F26" w:rsidRPr="00F2485C" w14:paraId="17C7AD38" w14:textId="77777777" w:rsidTr="00A26570">
        <w:trPr>
          <w:trHeight w:val="34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6A09DF4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F2F26" w:rsidRPr="00F2485C" w14:paraId="3BF64304" w14:textId="77777777" w:rsidTr="00A26570">
        <w:trPr>
          <w:trHeight w:val="340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624CEB9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7F2F26" w:rsidRPr="00F2485C" w14:paraId="2EA27E44" w14:textId="77777777" w:rsidTr="00A26570">
        <w:trPr>
          <w:trHeight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7175B768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1.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4C0A1182" w14:textId="77777777" w:rsidR="007F2F26" w:rsidRPr="00F2485C" w:rsidRDefault="007F2F26" w:rsidP="00A26570">
            <w:pPr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ООО «ТеплоЭнерго</w:t>
            </w:r>
            <w:r>
              <w:rPr>
                <w:sz w:val="22"/>
                <w:szCs w:val="22"/>
              </w:rPr>
              <w:t>+</w:t>
            </w:r>
            <w:r w:rsidRPr="00AC30BB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за исключением потребителей, указанных примечании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394E8477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Одноставо-чный, руб./Гкал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43C93B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2FB75B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2 217,11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3E0146C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2 520,85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7C416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57E537BF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0F9890D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6AF9B55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8AEA2A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07CAA16C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2AD2C6E1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732466D9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  <w:hideMark/>
          </w:tcPr>
          <w:p w14:paraId="568A8D1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C547C29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02BF693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2 520,85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19F62C1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2 692,27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A9C81F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2132EA9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395ED1D0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05A3F76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E57C26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4699CF22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039F6D34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162D0383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7EC851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7BAAEA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FCB1AB4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2 692,27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DCC43A7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2 829,58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4C5CD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1C91C79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1FA1F95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23E8500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25233C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t>-</w:t>
            </w:r>
          </w:p>
        </w:tc>
      </w:tr>
      <w:tr w:rsidR="007F2F26" w:rsidRPr="00F2485C" w14:paraId="31F6AD64" w14:textId="77777777" w:rsidTr="00A26570">
        <w:trPr>
          <w:trHeight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15AC23C5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07E4FCEF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ООО «ТеплоЭнерго</w:t>
            </w:r>
            <w:r>
              <w:rPr>
                <w:sz w:val="22"/>
                <w:szCs w:val="22"/>
              </w:rPr>
              <w:t>+</w:t>
            </w:r>
            <w:r w:rsidRPr="007D010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для потребителей, указанных примечании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76C8116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Одноставо-чный, руб./Гкал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745149B4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D8566C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1 931,53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44818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2 196,15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20E80EE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11751DDB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5507038B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091FD30D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4F04E40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</w:tr>
      <w:tr w:rsidR="007F2F26" w:rsidRPr="00F2485C" w14:paraId="238BD0F4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5F669B62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7E63F86E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C3EA180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9C689FB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0A86443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2 196,15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1B1E67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2 345,49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6A3ADF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74616010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56AF4AF6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1DDB90AB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B49A6AC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</w:tr>
      <w:tr w:rsidR="007F2F26" w:rsidRPr="00F2485C" w14:paraId="04F449A6" w14:textId="77777777" w:rsidTr="00A26570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45DBEA85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20C0CDE7" w14:textId="77777777" w:rsidR="007F2F26" w:rsidRPr="00F2485C" w:rsidRDefault="007F2F26" w:rsidP="00A2657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FA7EBB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80B7CD1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BC01885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2 345,49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37981CE" w14:textId="77777777" w:rsidR="007F2F26" w:rsidRPr="00554F74" w:rsidRDefault="007F2F26" w:rsidP="00A26570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554F74">
              <w:rPr>
                <w:sz w:val="22"/>
                <w:szCs w:val="22"/>
              </w:rPr>
              <w:t>2 465,11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758D5B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280" w:type="pct"/>
            <w:vAlign w:val="center"/>
          </w:tcPr>
          <w:p w14:paraId="73BCCDDF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346" w:type="pct"/>
            <w:vAlign w:val="center"/>
          </w:tcPr>
          <w:p w14:paraId="2D32E0EB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245" w:type="pct"/>
            <w:vAlign w:val="center"/>
          </w:tcPr>
          <w:p w14:paraId="13EB696C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93803BD" w14:textId="77777777" w:rsidR="007F2F26" w:rsidRPr="00F2485C" w:rsidRDefault="007F2F26" w:rsidP="00A26570">
            <w:pPr>
              <w:widowControl/>
              <w:jc w:val="center"/>
            </w:pPr>
            <w:r w:rsidRPr="00F2485C">
              <w:t>-</w:t>
            </w:r>
          </w:p>
        </w:tc>
      </w:tr>
    </w:tbl>
    <w:p w14:paraId="2ABA0C92" w14:textId="77777777" w:rsidR="007F2F26" w:rsidRPr="00AC30BB" w:rsidRDefault="007F2F26" w:rsidP="007F2F2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C30BB">
        <w:rPr>
          <w:sz w:val="22"/>
          <w:szCs w:val="22"/>
        </w:rPr>
        <w:t xml:space="preserve">* Выделяется в целях реализации </w:t>
      </w:r>
      <w:hyperlink r:id="rId8" w:history="1">
        <w:r w:rsidRPr="00AC30BB">
          <w:rPr>
            <w:sz w:val="22"/>
            <w:szCs w:val="22"/>
          </w:rPr>
          <w:t>пункта 6 статьи 168</w:t>
        </w:r>
      </w:hyperlink>
      <w:r w:rsidRPr="00AC30BB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E80F769" w14:textId="77777777" w:rsidR="007F2F26" w:rsidRPr="00BB019C" w:rsidRDefault="007F2F26" w:rsidP="007F2F26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C00000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7F2F26" w:rsidRPr="00BB019C" w14:paraId="66D1E0E8" w14:textId="77777777" w:rsidTr="00A26570">
        <w:trPr>
          <w:trHeight w:val="227"/>
        </w:trPr>
        <w:tc>
          <w:tcPr>
            <w:tcW w:w="5211" w:type="dxa"/>
          </w:tcPr>
          <w:p w14:paraId="74A03DB9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1</w:t>
            </w:r>
            <w:r w:rsidRPr="007D0108">
              <w:rPr>
                <w:sz w:val="22"/>
                <w:szCs w:val="22"/>
              </w:rPr>
              <w:t xml:space="preserve"> Тариф без учета НДС – 1 </w:t>
            </w:r>
            <w:r>
              <w:rPr>
                <w:sz w:val="22"/>
                <w:szCs w:val="22"/>
              </w:rPr>
              <w:t>847</w:t>
            </w:r>
            <w:r w:rsidRPr="007D0108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9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0" w:type="dxa"/>
          </w:tcPr>
          <w:p w14:paraId="426CE675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5</w:t>
            </w:r>
            <w:r w:rsidRPr="007D0108">
              <w:rPr>
                <w:sz w:val="22"/>
                <w:szCs w:val="22"/>
              </w:rPr>
              <w:t xml:space="preserve"> Тариф без учета НДС – 1 609,61 руб./Гкал</w:t>
            </w:r>
          </w:p>
        </w:tc>
      </w:tr>
      <w:tr w:rsidR="007F2F26" w:rsidRPr="00BB019C" w14:paraId="6D2B238C" w14:textId="77777777" w:rsidTr="00A26570">
        <w:trPr>
          <w:trHeight w:val="227"/>
        </w:trPr>
        <w:tc>
          <w:tcPr>
            <w:tcW w:w="5211" w:type="dxa"/>
          </w:tcPr>
          <w:p w14:paraId="1CAE0C49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D0108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2 100,71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0" w:type="dxa"/>
          </w:tcPr>
          <w:p w14:paraId="5C1A047D" w14:textId="77777777" w:rsidR="007F2F26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6</w:t>
            </w:r>
            <w:r w:rsidRPr="007D0108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830,13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</w:tr>
      <w:tr w:rsidR="007F2F26" w:rsidRPr="00BB019C" w14:paraId="3CA340E4" w14:textId="77777777" w:rsidTr="00A26570">
        <w:trPr>
          <w:trHeight w:val="227"/>
        </w:trPr>
        <w:tc>
          <w:tcPr>
            <w:tcW w:w="5211" w:type="dxa"/>
          </w:tcPr>
          <w:p w14:paraId="2AFFA088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7D0108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2 243,56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0" w:type="dxa"/>
          </w:tcPr>
          <w:p w14:paraId="2BBE3FD3" w14:textId="77777777" w:rsidR="007F2F26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7</w:t>
            </w:r>
            <w:r w:rsidRPr="007D0108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954,58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</w:tr>
      <w:tr w:rsidR="007F2F26" w:rsidRPr="00BB019C" w14:paraId="62DF3D14" w14:textId="77777777" w:rsidTr="00A26570">
        <w:trPr>
          <w:trHeight w:val="227"/>
        </w:trPr>
        <w:tc>
          <w:tcPr>
            <w:tcW w:w="5211" w:type="dxa"/>
          </w:tcPr>
          <w:p w14:paraId="5DFD505B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4</w:t>
            </w:r>
            <w:r w:rsidRPr="007D0108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2 357,98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0" w:type="dxa"/>
          </w:tcPr>
          <w:p w14:paraId="5A00919E" w14:textId="77777777" w:rsidR="007F2F26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8</w:t>
            </w:r>
            <w:r w:rsidRPr="007D0108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2 054,26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</w:tr>
    </w:tbl>
    <w:p w14:paraId="29370A93" w14:textId="77777777" w:rsidR="007F2F26" w:rsidRPr="00BB019C" w:rsidRDefault="007F2F26" w:rsidP="007F2F26">
      <w:pPr>
        <w:widowControl/>
        <w:jc w:val="right"/>
        <w:rPr>
          <w:color w:val="C00000"/>
          <w:sz w:val="22"/>
          <w:szCs w:val="22"/>
        </w:rPr>
      </w:pPr>
    </w:p>
    <w:p w14:paraId="3F9D68DE" w14:textId="77777777" w:rsidR="007F2F26" w:rsidRPr="00AE2237" w:rsidRDefault="007F2F26" w:rsidP="007F2F26">
      <w:pPr>
        <w:widowControl/>
        <w:rPr>
          <w:sz w:val="22"/>
          <w:szCs w:val="22"/>
        </w:rPr>
      </w:pPr>
      <w:r w:rsidRPr="00AE2237">
        <w:rPr>
          <w:sz w:val="22"/>
          <w:szCs w:val="22"/>
        </w:rPr>
        <w:t>Примечание.</w:t>
      </w:r>
    </w:p>
    <w:p w14:paraId="14CCE0B9" w14:textId="77777777" w:rsidR="007F2F26" w:rsidRPr="00AE2237" w:rsidRDefault="007F2F26" w:rsidP="007F2F26">
      <w:pPr>
        <w:widowControl/>
        <w:jc w:val="right"/>
        <w:rPr>
          <w:sz w:val="4"/>
          <w:szCs w:val="4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7F2F26" w:rsidRPr="00AE2237" w14:paraId="5417FE56" w14:textId="77777777" w:rsidTr="00A26570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12D5C50B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д.16</w:t>
            </w:r>
          </w:p>
        </w:tc>
        <w:tc>
          <w:tcPr>
            <w:tcW w:w="3260" w:type="dxa"/>
            <w:vAlign w:val="center"/>
          </w:tcPr>
          <w:p w14:paraId="2DF4F470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vAlign w:val="center"/>
          </w:tcPr>
          <w:p w14:paraId="2952446E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26</w:t>
            </w:r>
          </w:p>
        </w:tc>
      </w:tr>
      <w:tr w:rsidR="007F2F26" w:rsidRPr="00AE2237" w14:paraId="55E5129B" w14:textId="77777777" w:rsidTr="00A26570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78502EF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14:paraId="04CE4E90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23 а</w:t>
            </w:r>
          </w:p>
        </w:tc>
        <w:tc>
          <w:tcPr>
            <w:tcW w:w="3544" w:type="dxa"/>
            <w:vAlign w:val="center"/>
          </w:tcPr>
          <w:p w14:paraId="79A8A594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28</w:t>
            </w:r>
          </w:p>
        </w:tc>
      </w:tr>
      <w:tr w:rsidR="007F2F26" w:rsidRPr="00AE2237" w14:paraId="4BC62FB0" w14:textId="77777777" w:rsidTr="00A26570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50079741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vAlign w:val="center"/>
          </w:tcPr>
          <w:p w14:paraId="4E427560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vAlign w:val="center"/>
          </w:tcPr>
          <w:p w14:paraId="669DB8C4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 xml:space="preserve">ул. </w:t>
            </w:r>
            <w:r w:rsidRPr="00297FD2">
              <w:rPr>
                <w:sz w:val="22"/>
                <w:szCs w:val="22"/>
              </w:rPr>
              <w:t>Щорса д.1 б</w:t>
            </w:r>
          </w:p>
        </w:tc>
      </w:tr>
      <w:tr w:rsidR="007F2F26" w:rsidRPr="00AE2237" w14:paraId="73BBBB98" w14:textId="77777777" w:rsidTr="00A26570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0D204FC7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vAlign w:val="center"/>
          </w:tcPr>
          <w:p w14:paraId="2BA13ACB" w14:textId="77777777" w:rsidR="007F2F26" w:rsidRPr="00AE2237" w:rsidRDefault="007F2F26" w:rsidP="00A26570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- </w:t>
            </w:r>
            <w:r w:rsidRPr="00297FD2">
              <w:rPr>
                <w:sz w:val="22"/>
                <w:szCs w:val="22"/>
              </w:rPr>
              <w:t>ул. Шуйская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vAlign w:val="center"/>
          </w:tcPr>
          <w:p w14:paraId="63594BBF" w14:textId="77777777" w:rsidR="007F2F26" w:rsidRPr="00AE2237" w:rsidRDefault="007F2F26" w:rsidP="00A26570">
            <w:pPr>
              <w:rPr>
                <w:sz w:val="22"/>
                <w:szCs w:val="22"/>
              </w:rPr>
            </w:pPr>
          </w:p>
        </w:tc>
      </w:tr>
    </w:tbl>
    <w:p w14:paraId="23496AD2" w14:textId="77777777" w:rsidR="007F2F26" w:rsidRPr="00E309BA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5454F3D6" w14:textId="52C286C8" w:rsid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4.</w:t>
      </w:r>
      <w:r w:rsidRPr="00E309BA">
        <w:rPr>
          <w:bCs/>
          <w:sz w:val="22"/>
          <w:szCs w:val="22"/>
        </w:rPr>
        <w:tab/>
        <w:t xml:space="preserve">Установить долгосрочные тарифы на теплоноситель для потребителей ООО «ТеплоЭнерго+» (г. Кинешма) на 2024-2026 годы </w:t>
      </w:r>
      <w:r w:rsidR="007F2F26">
        <w:rPr>
          <w:bCs/>
          <w:sz w:val="22"/>
          <w:szCs w:val="22"/>
        </w:rPr>
        <w:t>на следующем уровне:</w:t>
      </w:r>
    </w:p>
    <w:p w14:paraId="65CE41F4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1017E169" w14:textId="77777777" w:rsidR="005133E4" w:rsidRDefault="005133E4" w:rsidP="007F2F2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2695C02" w14:textId="6EE9881E" w:rsidR="007F2F26" w:rsidRPr="007D0108" w:rsidRDefault="007F2F26" w:rsidP="007F2F2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0108">
        <w:rPr>
          <w:b/>
          <w:bCs/>
          <w:sz w:val="22"/>
          <w:szCs w:val="22"/>
        </w:rPr>
        <w:lastRenderedPageBreak/>
        <w:t>Тарифы на теплоноситель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985"/>
        <w:gridCol w:w="992"/>
        <w:gridCol w:w="1559"/>
        <w:gridCol w:w="1559"/>
        <w:gridCol w:w="851"/>
      </w:tblGrid>
      <w:tr w:rsidR="007F2F26" w:rsidRPr="00F2485C" w14:paraId="38756746" w14:textId="77777777" w:rsidTr="00A26570">
        <w:trPr>
          <w:trHeight w:val="33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51AEC84" w14:textId="77777777" w:rsidR="007F2F26" w:rsidRPr="00F2485C" w:rsidRDefault="007F2F26" w:rsidP="00A26570">
            <w:pPr>
              <w:ind w:left="-113" w:right="-104"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4F027C4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3C3283AA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78F1D52A" w14:textId="77777777" w:rsidR="007F2F26" w:rsidRPr="00F2485C" w:rsidRDefault="007F2F26" w:rsidP="00A26570">
            <w:pPr>
              <w:jc w:val="center"/>
            </w:pPr>
            <w:r w:rsidRPr="00F2485C">
              <w:t>Год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708BA63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Вид теплоносителя</w:t>
            </w:r>
          </w:p>
        </w:tc>
      </w:tr>
      <w:tr w:rsidR="007F2F26" w:rsidRPr="00F2485C" w14:paraId="63620991" w14:textId="77777777" w:rsidTr="00A26570">
        <w:trPr>
          <w:trHeight w:val="33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B07BEA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432AA8F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56A02B4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9A9E537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14:paraId="65CB4A51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Вода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2EEEF60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Пар</w:t>
            </w:r>
          </w:p>
        </w:tc>
      </w:tr>
      <w:tr w:rsidR="007F2F26" w:rsidRPr="00F2485C" w14:paraId="7DD67317" w14:textId="77777777" w:rsidTr="00A26570">
        <w:trPr>
          <w:trHeight w:val="56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315FBC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D681386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5CC1D18C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290C7D8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4F7718" w14:textId="77777777" w:rsidR="007F2F26" w:rsidRPr="00F2485C" w:rsidRDefault="007F2F26" w:rsidP="00A26570">
            <w:pPr>
              <w:widowControl/>
              <w:jc w:val="center"/>
            </w:pPr>
            <w:r w:rsidRPr="00F2485C"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8B474" w14:textId="77777777" w:rsidR="007F2F26" w:rsidRPr="00F2485C" w:rsidRDefault="007F2F26" w:rsidP="00A26570">
            <w:pPr>
              <w:widowControl/>
              <w:jc w:val="center"/>
            </w:pPr>
            <w:r w:rsidRPr="00F2485C">
              <w:rPr>
                <w:sz w:val="22"/>
                <w:szCs w:val="22"/>
              </w:rPr>
              <w:t>2 полугодие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4F8CB9" w14:textId="77777777" w:rsidR="007F2F26" w:rsidRPr="00F2485C" w:rsidRDefault="007F2F26" w:rsidP="00A26570">
            <w:pPr>
              <w:widowControl/>
              <w:jc w:val="center"/>
            </w:pPr>
          </w:p>
        </w:tc>
      </w:tr>
      <w:tr w:rsidR="007F2F26" w:rsidRPr="00F2485C" w14:paraId="4BFBEF64" w14:textId="77777777" w:rsidTr="00A26570">
        <w:trPr>
          <w:trHeight w:val="325"/>
        </w:trPr>
        <w:tc>
          <w:tcPr>
            <w:tcW w:w="9923" w:type="dxa"/>
            <w:gridSpan w:val="7"/>
            <w:shd w:val="clear" w:color="auto" w:fill="auto"/>
            <w:noWrap/>
            <w:vAlign w:val="center"/>
          </w:tcPr>
          <w:p w14:paraId="270A2A0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7F2F26" w:rsidRPr="00F2485C" w14:paraId="2AE75159" w14:textId="77777777" w:rsidTr="00A26570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B1BB1C9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080396C" w14:textId="77777777" w:rsidR="007F2F26" w:rsidRDefault="007F2F26" w:rsidP="00A26570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ООО «ТеплоЭнерго</w:t>
            </w:r>
            <w:r>
              <w:rPr>
                <w:sz w:val="22"/>
                <w:szCs w:val="22"/>
                <w:lang w:val="en-US"/>
              </w:rPr>
              <w:t>+</w:t>
            </w:r>
            <w:r w:rsidRPr="007D0108">
              <w:rPr>
                <w:sz w:val="22"/>
                <w:szCs w:val="22"/>
              </w:rPr>
              <w:t xml:space="preserve">» </w:t>
            </w:r>
          </w:p>
          <w:p w14:paraId="2227B010" w14:textId="77777777" w:rsidR="007F2F26" w:rsidRPr="0087181A" w:rsidRDefault="007F2F26" w:rsidP="00A26570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(г. Кинешма)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79A28C2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Одноставочный, руб./куб.м,</w:t>
            </w:r>
          </w:p>
          <w:p w14:paraId="201A773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325D340E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A2CF3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5038D4">
              <w:rPr>
                <w:sz w:val="22"/>
                <w:szCs w:val="22"/>
              </w:rPr>
              <w:t>92,30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40117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5038D4">
              <w:rPr>
                <w:sz w:val="22"/>
                <w:szCs w:val="22"/>
              </w:rPr>
              <w:t>100,43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DAAB38" w14:textId="77777777" w:rsidR="007F2F26" w:rsidRPr="00F2485C" w:rsidRDefault="007F2F26" w:rsidP="00A26570">
            <w:pPr>
              <w:jc w:val="center"/>
            </w:pPr>
            <w:r w:rsidRPr="00F2485C">
              <w:t>-</w:t>
            </w:r>
          </w:p>
        </w:tc>
      </w:tr>
      <w:tr w:rsidR="007F2F26" w:rsidRPr="00F2485C" w14:paraId="2D2D32ED" w14:textId="77777777" w:rsidTr="00A26570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7287A2F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E40F0D" w14:textId="77777777" w:rsidR="007F2F26" w:rsidRPr="00F2485C" w:rsidRDefault="007F2F26" w:rsidP="00A26570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22457B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D05EC4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D0724D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5038D4">
              <w:rPr>
                <w:sz w:val="22"/>
                <w:szCs w:val="22"/>
              </w:rPr>
              <w:t>99,82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DB96E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5038D4">
              <w:rPr>
                <w:sz w:val="22"/>
                <w:szCs w:val="22"/>
              </w:rPr>
              <w:t>99,96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F996A" w14:textId="77777777" w:rsidR="007F2F26" w:rsidRPr="00F2485C" w:rsidRDefault="007F2F26" w:rsidP="00A26570">
            <w:pPr>
              <w:jc w:val="center"/>
            </w:pPr>
            <w:r w:rsidRPr="00F2485C">
              <w:t>-</w:t>
            </w:r>
          </w:p>
        </w:tc>
      </w:tr>
      <w:tr w:rsidR="007F2F26" w:rsidRPr="00F2485C" w14:paraId="7FCA937A" w14:textId="77777777" w:rsidTr="00A26570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A078983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333125" w14:textId="77777777" w:rsidR="007F2F26" w:rsidRPr="00F2485C" w:rsidRDefault="007F2F26" w:rsidP="00A26570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F12805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98F78B" w14:textId="77777777" w:rsidR="007F2F26" w:rsidRPr="00F2485C" w:rsidRDefault="007F2F26" w:rsidP="00A26570">
            <w:pPr>
              <w:jc w:val="center"/>
              <w:rPr>
                <w:sz w:val="22"/>
                <w:szCs w:val="22"/>
              </w:rPr>
            </w:pPr>
            <w:r w:rsidRPr="00F2485C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5D8463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5038D4">
              <w:rPr>
                <w:sz w:val="22"/>
                <w:szCs w:val="22"/>
              </w:rPr>
              <w:t>99,96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C8B3A" w14:textId="77777777" w:rsidR="007F2F26" w:rsidRPr="00F2485C" w:rsidRDefault="007F2F26" w:rsidP="00A26570">
            <w:pPr>
              <w:widowControl/>
              <w:jc w:val="center"/>
              <w:rPr>
                <w:sz w:val="22"/>
                <w:szCs w:val="22"/>
              </w:rPr>
            </w:pPr>
            <w:r w:rsidRPr="005038D4">
              <w:rPr>
                <w:sz w:val="22"/>
                <w:szCs w:val="22"/>
              </w:rPr>
              <w:t>105,19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6611ED" w14:textId="77777777" w:rsidR="007F2F26" w:rsidRPr="00F2485C" w:rsidRDefault="007F2F26" w:rsidP="00A26570">
            <w:pPr>
              <w:jc w:val="center"/>
            </w:pPr>
            <w:r w:rsidRPr="00F2485C">
              <w:t>-</w:t>
            </w:r>
          </w:p>
        </w:tc>
      </w:tr>
    </w:tbl>
    <w:p w14:paraId="36177BE9" w14:textId="77777777" w:rsidR="007F2F26" w:rsidRPr="00E309BA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5A1B3DAB" w14:textId="6B444F22" w:rsid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5.</w:t>
      </w:r>
      <w:r w:rsidRPr="00E309BA">
        <w:rPr>
          <w:bCs/>
          <w:sz w:val="22"/>
          <w:szCs w:val="22"/>
        </w:rPr>
        <w:tab/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ООО «ТеплоЭнерго+» (г. Кинешма) на 2024-2026 годы</w:t>
      </w:r>
      <w:r w:rsidR="007F2F26">
        <w:rPr>
          <w:bCs/>
          <w:sz w:val="22"/>
          <w:szCs w:val="22"/>
        </w:rPr>
        <w:t>:</w:t>
      </w:r>
    </w:p>
    <w:p w14:paraId="35377AFE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05DDEAD4" w14:textId="77777777" w:rsidR="007F2F26" w:rsidRPr="00F2485C" w:rsidRDefault="007F2F26" w:rsidP="007F2F2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bookmarkStart w:id="0" w:name="_Hlk147574045"/>
      <w:r w:rsidRPr="00F2485C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</w:t>
      </w:r>
    </w:p>
    <w:tbl>
      <w:tblPr>
        <w:tblW w:w="1034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708"/>
        <w:gridCol w:w="1030"/>
        <w:gridCol w:w="805"/>
        <w:gridCol w:w="859"/>
        <w:gridCol w:w="850"/>
        <w:gridCol w:w="1276"/>
        <w:gridCol w:w="1417"/>
        <w:gridCol w:w="993"/>
      </w:tblGrid>
      <w:tr w:rsidR="007F2F26" w:rsidRPr="00F2485C" w14:paraId="0DABC5E9" w14:textId="77777777" w:rsidTr="00A26570">
        <w:trPr>
          <w:trHeight w:val="189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C0FF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A517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54DF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D00B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1874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E78A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8B54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BC21A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15D7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5C" w14:textId="77777777" w:rsidR="007F2F26" w:rsidRPr="00F2485C" w:rsidRDefault="007F2F26" w:rsidP="00A26570">
            <w:pPr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7F2F26" w:rsidRPr="00F2485C" w14:paraId="6614A288" w14:textId="77777777" w:rsidTr="00A26570">
        <w:trPr>
          <w:trHeight w:val="20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21F" w14:textId="77777777" w:rsidR="007F2F26" w:rsidRPr="00F2485C" w:rsidRDefault="007F2F26" w:rsidP="00A2657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4C3" w14:textId="77777777" w:rsidR="007F2F26" w:rsidRPr="00F2485C" w:rsidRDefault="007F2F26" w:rsidP="00A2657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AD6" w14:textId="77777777" w:rsidR="007F2F26" w:rsidRPr="00F2485C" w:rsidRDefault="007F2F26" w:rsidP="00A2657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E751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E6C3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2CCF6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D89A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609E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4A9D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  <w:r w:rsidRPr="00F2485C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23C" w14:textId="77777777" w:rsidR="007F2F26" w:rsidRPr="00F2485C" w:rsidRDefault="007F2F26" w:rsidP="00A26570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7F2F26" w:rsidRPr="00F2485C" w14:paraId="2A46C38B" w14:textId="77777777" w:rsidTr="00A26570">
        <w:trPr>
          <w:trHeight w:val="34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AC3A56" w14:textId="77777777" w:rsidR="007F2F26" w:rsidRPr="00F2485C" w:rsidRDefault="007F2F26" w:rsidP="00A26570">
            <w:pPr>
              <w:widowControl/>
              <w:jc w:val="center"/>
            </w:pPr>
            <w:r>
              <w:t>Производство т</w:t>
            </w:r>
            <w:r w:rsidRPr="00F2485C">
              <w:t>еплов</w:t>
            </w:r>
            <w:r>
              <w:t>ой</w:t>
            </w:r>
            <w:r w:rsidRPr="00F2485C">
              <w:t xml:space="preserve"> энерги</w:t>
            </w:r>
            <w:r>
              <w:t>и</w:t>
            </w:r>
          </w:p>
        </w:tc>
      </w:tr>
      <w:tr w:rsidR="007F2F26" w:rsidRPr="00F2485C" w14:paraId="45540469" w14:textId="77777777" w:rsidTr="00A26570">
        <w:trPr>
          <w:trHeight w:val="3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87E37" w14:textId="77777777" w:rsidR="007F2F26" w:rsidRPr="00F2485C" w:rsidRDefault="007F2F26" w:rsidP="00A26570">
            <w:pPr>
              <w:jc w:val="center"/>
            </w:pPr>
            <w:r w:rsidRPr="00F2485C"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EF233" w14:textId="77777777" w:rsidR="007F2F26" w:rsidRDefault="007F2F26" w:rsidP="00A26570">
            <w:pPr>
              <w:widowControl/>
              <w:ind w:left="125"/>
            </w:pPr>
            <w:r>
              <w:t xml:space="preserve">ООО «ТеплоЭнерго+» </w:t>
            </w:r>
          </w:p>
          <w:p w14:paraId="29BE6FDC" w14:textId="77777777" w:rsidR="007F2F26" w:rsidRPr="00F2485C" w:rsidRDefault="007F2F26" w:rsidP="00A26570">
            <w:pPr>
              <w:widowControl/>
              <w:ind w:left="125"/>
              <w:rPr>
                <w:sz w:val="22"/>
                <w:szCs w:val="22"/>
              </w:rPr>
            </w:pPr>
            <w:r>
              <w:t>(г. Кинешма)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622E4" w14:textId="77777777" w:rsidR="007F2F26" w:rsidRPr="00F2485C" w:rsidRDefault="007F2F26" w:rsidP="00A26570">
            <w:pPr>
              <w:jc w:val="center"/>
            </w:pPr>
            <w:r w:rsidRPr="00F2485C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41BE" w14:textId="77777777" w:rsidR="007F2F26" w:rsidRPr="00F2485C" w:rsidRDefault="007F2F26" w:rsidP="00A26570">
            <w:pPr>
              <w:widowControl/>
              <w:jc w:val="center"/>
            </w:pPr>
            <w:r w:rsidRPr="001874A4">
              <w:t>25 354,461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09B7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7656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DBEAB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A906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0B3F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2EF9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1CD75DAB" w14:textId="77777777" w:rsidTr="00A2657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A16F2" w14:textId="77777777" w:rsidR="007F2F26" w:rsidRPr="00F2485C" w:rsidRDefault="007F2F26" w:rsidP="00A26570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F23D9" w14:textId="77777777" w:rsidR="007F2F26" w:rsidRPr="00F2485C" w:rsidRDefault="007F2F26" w:rsidP="00A2657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FED1" w14:textId="77777777" w:rsidR="007F2F26" w:rsidRPr="00F2485C" w:rsidRDefault="007F2F26" w:rsidP="00A26570">
            <w:pPr>
              <w:jc w:val="center"/>
            </w:pPr>
            <w:r w:rsidRPr="00F2485C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809A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C6445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7A1D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9C94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F9EEC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B6AD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D6C1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76239E8C" w14:textId="77777777" w:rsidTr="00A2657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11B67" w14:textId="77777777" w:rsidR="007F2F26" w:rsidRPr="00F2485C" w:rsidRDefault="007F2F26" w:rsidP="00A26570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4ED53" w14:textId="77777777" w:rsidR="007F2F26" w:rsidRPr="00F2485C" w:rsidRDefault="007F2F26" w:rsidP="00A2657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57C0" w14:textId="77777777" w:rsidR="007F2F26" w:rsidRPr="00F2485C" w:rsidRDefault="007F2F26" w:rsidP="00A26570">
            <w:pPr>
              <w:jc w:val="center"/>
            </w:pPr>
            <w:r w:rsidRPr="00F2485C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4F57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C0B3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9C38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00A9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937F3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3621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4317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6E8BF3E8" w14:textId="77777777" w:rsidTr="00A26570">
        <w:trPr>
          <w:trHeight w:val="340"/>
        </w:trPr>
        <w:tc>
          <w:tcPr>
            <w:tcW w:w="103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4EDA" w14:textId="77777777" w:rsidR="007F2F26" w:rsidRPr="00F2485C" w:rsidRDefault="007F2F26" w:rsidP="00A26570">
            <w:pPr>
              <w:widowControl/>
              <w:jc w:val="center"/>
            </w:pPr>
            <w:r>
              <w:t>Передача т</w:t>
            </w:r>
            <w:r w:rsidRPr="00F2485C">
              <w:t>еплов</w:t>
            </w:r>
            <w:r>
              <w:t>ой</w:t>
            </w:r>
            <w:r w:rsidRPr="00F2485C">
              <w:t xml:space="preserve"> энерги</w:t>
            </w:r>
            <w:r>
              <w:t>и</w:t>
            </w:r>
          </w:p>
        </w:tc>
      </w:tr>
      <w:tr w:rsidR="007F2F26" w:rsidRPr="00F2485C" w14:paraId="550A6DAC" w14:textId="77777777" w:rsidTr="00A26570">
        <w:trPr>
          <w:trHeight w:val="34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0F02" w14:textId="77777777" w:rsidR="007F2F26" w:rsidRPr="00F2485C" w:rsidRDefault="007F2F26" w:rsidP="00A26570">
            <w:pPr>
              <w:widowControl/>
              <w:jc w:val="center"/>
            </w:pPr>
            <w:r>
              <w:t>2</w:t>
            </w:r>
            <w:r w:rsidRPr="00F2485C"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7FC9" w14:textId="77777777" w:rsidR="007F2F26" w:rsidRPr="00F2485C" w:rsidRDefault="007F2F26" w:rsidP="00A26570">
            <w:pPr>
              <w:widowControl/>
              <w:ind w:left="125"/>
            </w:pPr>
            <w:r>
              <w:t>ООО «ТеплоЭнерго+» (г. Кинешма)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4DD5" w14:textId="77777777" w:rsidR="007F2F26" w:rsidRPr="00F2485C" w:rsidRDefault="007F2F26" w:rsidP="00A26570">
            <w:pPr>
              <w:jc w:val="center"/>
            </w:pPr>
            <w:r w:rsidRPr="00F2485C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E27B" w14:textId="77777777" w:rsidR="007F2F26" w:rsidRPr="00F2485C" w:rsidRDefault="007F2F26" w:rsidP="00A26570">
            <w:pPr>
              <w:widowControl/>
              <w:jc w:val="center"/>
            </w:pPr>
            <w:r w:rsidRPr="001874A4">
              <w:t>10 906,739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B7D7E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51CC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0BEDF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60F4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58B7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49C9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1BCC6DC3" w14:textId="77777777" w:rsidTr="00A2657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4E88" w14:textId="77777777" w:rsidR="007F2F26" w:rsidRPr="00F2485C" w:rsidRDefault="007F2F26" w:rsidP="00A26570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723B" w14:textId="77777777" w:rsidR="007F2F26" w:rsidRPr="00F2485C" w:rsidRDefault="007F2F26" w:rsidP="00A2657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5E519" w14:textId="77777777" w:rsidR="007F2F26" w:rsidRPr="00F2485C" w:rsidRDefault="007F2F26" w:rsidP="00A26570">
            <w:pPr>
              <w:jc w:val="center"/>
            </w:pPr>
            <w:r w:rsidRPr="00F2485C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DB9A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ACE4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69BD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595E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A3F97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78E4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88A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324D22D1" w14:textId="77777777" w:rsidTr="00A2657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B8D69" w14:textId="77777777" w:rsidR="007F2F26" w:rsidRPr="00F2485C" w:rsidRDefault="007F2F26" w:rsidP="00A26570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B821" w14:textId="77777777" w:rsidR="007F2F26" w:rsidRPr="00F2485C" w:rsidRDefault="007F2F26" w:rsidP="00A2657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B2AA" w14:textId="77777777" w:rsidR="007F2F26" w:rsidRPr="00F2485C" w:rsidRDefault="007F2F26" w:rsidP="00A26570">
            <w:pPr>
              <w:jc w:val="center"/>
            </w:pPr>
            <w:r w:rsidRPr="00F2485C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F415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98AE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016E3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EDD5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30FD2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C67B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1254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56898A27" w14:textId="77777777" w:rsidTr="00A26570">
        <w:trPr>
          <w:trHeight w:val="340"/>
        </w:trPr>
        <w:tc>
          <w:tcPr>
            <w:tcW w:w="103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80F8" w14:textId="77777777" w:rsidR="007F2F26" w:rsidRPr="00F2485C" w:rsidRDefault="007F2F26" w:rsidP="00A26570">
            <w:pPr>
              <w:widowControl/>
              <w:jc w:val="center"/>
            </w:pPr>
            <w:r w:rsidRPr="00F2485C">
              <w:t>Теплоноситель</w:t>
            </w:r>
          </w:p>
        </w:tc>
      </w:tr>
      <w:tr w:rsidR="007F2F26" w:rsidRPr="00F2485C" w14:paraId="743C1B46" w14:textId="77777777" w:rsidTr="00A26570">
        <w:trPr>
          <w:trHeight w:val="34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CEC2" w14:textId="77777777" w:rsidR="007F2F26" w:rsidRPr="00F2485C" w:rsidRDefault="007F2F26" w:rsidP="00A26570">
            <w:pPr>
              <w:widowControl/>
              <w:jc w:val="center"/>
            </w:pPr>
            <w:r>
              <w:t>3</w:t>
            </w:r>
            <w:r w:rsidRPr="00F2485C"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EB74" w14:textId="77777777" w:rsidR="007F2F26" w:rsidRDefault="007F2F26" w:rsidP="00A26570">
            <w:pPr>
              <w:widowControl/>
              <w:ind w:left="125"/>
            </w:pPr>
            <w:r>
              <w:t xml:space="preserve">ООО «ТеплоЭнерго+» </w:t>
            </w:r>
          </w:p>
          <w:p w14:paraId="79AA8818" w14:textId="77777777" w:rsidR="007F2F26" w:rsidRPr="00F2485C" w:rsidRDefault="007F2F26" w:rsidP="00A26570">
            <w:pPr>
              <w:widowControl/>
              <w:ind w:left="125"/>
              <w:rPr>
                <w:sz w:val="22"/>
                <w:szCs w:val="22"/>
              </w:rPr>
            </w:pPr>
            <w:r>
              <w:t>(г. Кинешма)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0173" w14:textId="77777777" w:rsidR="007F2F26" w:rsidRPr="00F2485C" w:rsidRDefault="007F2F26" w:rsidP="00A26570">
            <w:pPr>
              <w:jc w:val="center"/>
            </w:pPr>
            <w:r w:rsidRPr="00F2485C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84EA6" w14:textId="77777777" w:rsidR="007F2F26" w:rsidRPr="00F2485C" w:rsidRDefault="007F2F26" w:rsidP="00A26570">
            <w:pPr>
              <w:widowControl/>
              <w:jc w:val="center"/>
            </w:pPr>
            <w:r w:rsidRPr="001874A4">
              <w:t xml:space="preserve">3 842,444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2726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A569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875C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A293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A62F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F8A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2D3DF6BF" w14:textId="77777777" w:rsidTr="00A2657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4AD6" w14:textId="77777777" w:rsidR="007F2F26" w:rsidRPr="00F2485C" w:rsidRDefault="007F2F26" w:rsidP="00A26570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B7B4" w14:textId="77777777" w:rsidR="007F2F26" w:rsidRPr="00F2485C" w:rsidRDefault="007F2F26" w:rsidP="00A26570">
            <w:pPr>
              <w:widowControl/>
              <w:ind w:left="125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448F" w14:textId="77777777" w:rsidR="007F2F26" w:rsidRPr="00F2485C" w:rsidRDefault="007F2F26" w:rsidP="00A26570">
            <w:pPr>
              <w:jc w:val="center"/>
            </w:pPr>
            <w:r w:rsidRPr="00F2485C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D2FC9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2C60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508B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AD08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B8CA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EFA7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C471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tr w:rsidR="007F2F26" w:rsidRPr="00F2485C" w14:paraId="491B99F3" w14:textId="77777777" w:rsidTr="00A2657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D31B" w14:textId="77777777" w:rsidR="007F2F26" w:rsidRPr="00F2485C" w:rsidRDefault="007F2F26" w:rsidP="00A26570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84DA" w14:textId="77777777" w:rsidR="007F2F26" w:rsidRPr="00F2485C" w:rsidRDefault="007F2F26" w:rsidP="00A26570">
            <w:pPr>
              <w:widowControl/>
              <w:ind w:left="125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9B6D" w14:textId="77777777" w:rsidR="007F2F26" w:rsidRPr="00F2485C" w:rsidRDefault="007F2F26" w:rsidP="00A26570">
            <w:pPr>
              <w:jc w:val="center"/>
            </w:pPr>
            <w:r w:rsidRPr="00F2485C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A84BB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2D57F" w14:textId="77777777" w:rsidR="007F2F26" w:rsidRPr="00F2485C" w:rsidRDefault="007F2F26" w:rsidP="00A26570">
            <w:pPr>
              <w:widowControl/>
              <w:jc w:val="center"/>
            </w:pPr>
            <w:r w:rsidRPr="00F2485C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541A0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84D2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4321" w14:textId="77777777" w:rsidR="007F2F26" w:rsidRPr="00F2485C" w:rsidRDefault="007F2F26" w:rsidP="00A26570">
            <w:pPr>
              <w:jc w:val="center"/>
            </w:pPr>
            <w:r w:rsidRPr="00F2485C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36D5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E4F" w14:textId="77777777" w:rsidR="007F2F26" w:rsidRPr="00F2485C" w:rsidRDefault="007F2F26" w:rsidP="00A26570">
            <w:pPr>
              <w:widowControl/>
              <w:jc w:val="center"/>
            </w:pPr>
            <w:r w:rsidRPr="00F2485C">
              <w:t>X</w:t>
            </w:r>
          </w:p>
        </w:tc>
      </w:tr>
      <w:bookmarkEnd w:id="0"/>
    </w:tbl>
    <w:p w14:paraId="4EB098EC" w14:textId="77777777" w:rsidR="007F2F26" w:rsidRPr="00E309BA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0B42EEE2" w14:textId="77777777" w:rsidR="007F2F26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6.</w:t>
      </w:r>
      <w:r w:rsidRPr="00E309BA">
        <w:rPr>
          <w:bCs/>
          <w:sz w:val="22"/>
          <w:szCs w:val="22"/>
        </w:rPr>
        <w:tab/>
        <w:t xml:space="preserve">Установить тарифы на горячую воду, поставляемую с использованием закрытой системы горячего водоснабжения, для потребителей ООО «ТеплоЭнерго+» (г. Кинешма) на 2024 год </w:t>
      </w:r>
      <w:r w:rsidR="007F2F26">
        <w:rPr>
          <w:bCs/>
          <w:sz w:val="22"/>
          <w:szCs w:val="22"/>
        </w:rPr>
        <w:t>на следующем уровне:</w:t>
      </w:r>
    </w:p>
    <w:p w14:paraId="5E3D2B3C" w14:textId="77777777" w:rsidR="007F2F26" w:rsidRPr="00090590" w:rsidRDefault="007F2F26" w:rsidP="007F2F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590">
        <w:rPr>
          <w:rFonts w:ascii="Times New Roman" w:hAnsi="Times New Roman" w:cs="Times New Roman"/>
          <w:sz w:val="24"/>
          <w:szCs w:val="24"/>
        </w:rPr>
        <w:t xml:space="preserve">Тарифы на горячую воду для потребителей </w:t>
      </w:r>
      <w:r>
        <w:rPr>
          <w:rFonts w:ascii="Times New Roman" w:hAnsi="Times New Roman" w:cs="Times New Roman"/>
          <w:sz w:val="24"/>
          <w:szCs w:val="24"/>
        </w:rPr>
        <w:t>ООО «ТеплоЭнерго+»</w:t>
      </w:r>
    </w:p>
    <w:p w14:paraId="6BB08D43" w14:textId="77777777" w:rsidR="007F2F26" w:rsidRDefault="007F2F26" w:rsidP="007F2F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590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407"/>
        <w:gridCol w:w="1276"/>
        <w:gridCol w:w="1276"/>
        <w:gridCol w:w="1275"/>
        <w:gridCol w:w="1276"/>
      </w:tblGrid>
      <w:tr w:rsidR="007F2F26" w:rsidRPr="00215484" w14:paraId="3B2F76E7" w14:textId="77777777" w:rsidTr="00A26570">
        <w:trPr>
          <w:trHeight w:val="340"/>
        </w:trPr>
        <w:tc>
          <w:tcPr>
            <w:tcW w:w="697" w:type="dxa"/>
            <w:vMerge w:val="restart"/>
            <w:vAlign w:val="center"/>
          </w:tcPr>
          <w:p w14:paraId="1DAE8219" w14:textId="77777777" w:rsidR="007F2F26" w:rsidRPr="00215484" w:rsidRDefault="007F2F26" w:rsidP="00A26570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№ п/п</w:t>
            </w:r>
          </w:p>
        </w:tc>
        <w:tc>
          <w:tcPr>
            <w:tcW w:w="4407" w:type="dxa"/>
            <w:vMerge w:val="restart"/>
            <w:vAlign w:val="center"/>
          </w:tcPr>
          <w:p w14:paraId="4AC1B027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5103" w:type="dxa"/>
            <w:gridSpan w:val="4"/>
          </w:tcPr>
          <w:p w14:paraId="038FB56B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 xml:space="preserve">Тарифы на горячую воду </w:t>
            </w:r>
          </w:p>
        </w:tc>
      </w:tr>
      <w:tr w:rsidR="007F2F26" w:rsidRPr="00215484" w14:paraId="01065636" w14:textId="77777777" w:rsidTr="00A26570">
        <w:trPr>
          <w:trHeight w:val="460"/>
        </w:trPr>
        <w:tc>
          <w:tcPr>
            <w:tcW w:w="697" w:type="dxa"/>
            <w:vMerge/>
            <w:vAlign w:val="center"/>
          </w:tcPr>
          <w:p w14:paraId="26F15C21" w14:textId="77777777" w:rsidR="007F2F26" w:rsidRPr="00215484" w:rsidRDefault="007F2F26" w:rsidP="00A26570">
            <w:pPr>
              <w:rPr>
                <w:sz w:val="22"/>
                <w:szCs w:val="22"/>
              </w:rPr>
            </w:pPr>
          </w:p>
        </w:tc>
        <w:tc>
          <w:tcPr>
            <w:tcW w:w="4407" w:type="dxa"/>
            <w:vMerge/>
          </w:tcPr>
          <w:p w14:paraId="14681A29" w14:textId="77777777" w:rsidR="007F2F26" w:rsidRPr="00215484" w:rsidRDefault="007F2F26" w:rsidP="00A2657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78C044E6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Для бюджетных и прочих потребителей</w:t>
            </w:r>
          </w:p>
          <w:p w14:paraId="032019A1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(без НДС)</w:t>
            </w:r>
          </w:p>
        </w:tc>
        <w:tc>
          <w:tcPr>
            <w:tcW w:w="2551" w:type="dxa"/>
            <w:gridSpan w:val="2"/>
            <w:vAlign w:val="center"/>
          </w:tcPr>
          <w:p w14:paraId="0183E286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 xml:space="preserve">Для населения </w:t>
            </w:r>
          </w:p>
          <w:p w14:paraId="3B95E887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(с НДС **)</w:t>
            </w:r>
          </w:p>
        </w:tc>
      </w:tr>
      <w:tr w:rsidR="007F2F26" w:rsidRPr="00215484" w14:paraId="0D6FEF4D" w14:textId="77777777" w:rsidTr="00A26570">
        <w:trPr>
          <w:trHeight w:val="991"/>
        </w:trPr>
        <w:tc>
          <w:tcPr>
            <w:tcW w:w="697" w:type="dxa"/>
            <w:vMerge/>
            <w:vAlign w:val="center"/>
          </w:tcPr>
          <w:p w14:paraId="6B260DD0" w14:textId="77777777" w:rsidR="007F2F26" w:rsidRPr="00215484" w:rsidRDefault="007F2F26" w:rsidP="00A26570">
            <w:pPr>
              <w:rPr>
                <w:sz w:val="22"/>
                <w:szCs w:val="22"/>
              </w:rPr>
            </w:pPr>
          </w:p>
        </w:tc>
        <w:tc>
          <w:tcPr>
            <w:tcW w:w="4407" w:type="dxa"/>
            <w:vMerge/>
          </w:tcPr>
          <w:p w14:paraId="2DECC73F" w14:textId="77777777" w:rsidR="007F2F26" w:rsidRPr="00215484" w:rsidRDefault="007F2F26" w:rsidP="00A2657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A48371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с 01.01.2024</w:t>
            </w:r>
            <w:r w:rsidRPr="00215484">
              <w:rPr>
                <w:sz w:val="22"/>
                <w:szCs w:val="22"/>
                <w:lang w:val="en-US"/>
              </w:rPr>
              <w:t xml:space="preserve"> </w:t>
            </w:r>
            <w:r w:rsidRPr="00215484">
              <w:rPr>
                <w:sz w:val="22"/>
                <w:szCs w:val="22"/>
              </w:rPr>
              <w:t>по 30.06.2024</w:t>
            </w:r>
          </w:p>
        </w:tc>
        <w:tc>
          <w:tcPr>
            <w:tcW w:w="1276" w:type="dxa"/>
            <w:vAlign w:val="center"/>
          </w:tcPr>
          <w:p w14:paraId="155371CD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с 01.07.2024 по 31.12.2024</w:t>
            </w:r>
          </w:p>
        </w:tc>
        <w:tc>
          <w:tcPr>
            <w:tcW w:w="1275" w:type="dxa"/>
            <w:vAlign w:val="center"/>
          </w:tcPr>
          <w:p w14:paraId="3D4180BE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с 01.01.2024</w:t>
            </w:r>
            <w:r w:rsidRPr="00215484">
              <w:rPr>
                <w:sz w:val="22"/>
                <w:szCs w:val="22"/>
                <w:lang w:val="en-US"/>
              </w:rPr>
              <w:t xml:space="preserve"> </w:t>
            </w:r>
            <w:r w:rsidRPr="00215484">
              <w:rPr>
                <w:sz w:val="22"/>
                <w:szCs w:val="22"/>
              </w:rPr>
              <w:t>по 30.06.2024</w:t>
            </w:r>
          </w:p>
        </w:tc>
        <w:tc>
          <w:tcPr>
            <w:tcW w:w="1276" w:type="dxa"/>
            <w:vAlign w:val="center"/>
          </w:tcPr>
          <w:p w14:paraId="14F4C681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с 01.07.2024 по 31.12.2024</w:t>
            </w:r>
          </w:p>
        </w:tc>
      </w:tr>
      <w:tr w:rsidR="007F2F26" w:rsidRPr="00215484" w14:paraId="7A2926A9" w14:textId="77777777" w:rsidTr="00A26570">
        <w:trPr>
          <w:trHeight w:val="230"/>
        </w:trPr>
        <w:tc>
          <w:tcPr>
            <w:tcW w:w="697" w:type="dxa"/>
            <w:vAlign w:val="center"/>
          </w:tcPr>
          <w:p w14:paraId="1A3C0570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1</w:t>
            </w:r>
          </w:p>
        </w:tc>
        <w:tc>
          <w:tcPr>
            <w:tcW w:w="4407" w:type="dxa"/>
            <w:vAlign w:val="center"/>
          </w:tcPr>
          <w:p w14:paraId="0BA95077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980903C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42A580A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7780566A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1801819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6</w:t>
            </w:r>
          </w:p>
        </w:tc>
      </w:tr>
      <w:tr w:rsidR="007F2F26" w:rsidRPr="00215484" w14:paraId="01D97BB7" w14:textId="77777777" w:rsidTr="00A26570">
        <w:trPr>
          <w:trHeight w:val="230"/>
        </w:trPr>
        <w:tc>
          <w:tcPr>
            <w:tcW w:w="697" w:type="dxa"/>
            <w:vMerge w:val="restart"/>
            <w:vAlign w:val="center"/>
          </w:tcPr>
          <w:p w14:paraId="17BD0859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4407" w:type="dxa"/>
            <w:vAlign w:val="center"/>
          </w:tcPr>
          <w:p w14:paraId="49F607FC" w14:textId="77777777" w:rsidR="007F2F26" w:rsidRPr="00215484" w:rsidRDefault="007F2F26" w:rsidP="00A26570">
            <w:pPr>
              <w:rPr>
                <w:sz w:val="22"/>
                <w:szCs w:val="22"/>
                <w:vertAlign w:val="superscript"/>
              </w:rPr>
            </w:pPr>
            <w:r w:rsidRPr="00215484">
              <w:rPr>
                <w:sz w:val="22"/>
                <w:szCs w:val="22"/>
              </w:rPr>
              <w:t>ООО «ТеплоЭнерго+», руб./куб. метр</w:t>
            </w:r>
          </w:p>
        </w:tc>
        <w:tc>
          <w:tcPr>
            <w:tcW w:w="1276" w:type="dxa"/>
            <w:vAlign w:val="center"/>
          </w:tcPr>
          <w:p w14:paraId="7E9D3D96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50AB09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EBE68BD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 xml:space="preserve">172,48 </w:t>
            </w:r>
            <w:r w:rsidRPr="00215484">
              <w:rPr>
                <w:sz w:val="22"/>
                <w:szCs w:val="22"/>
                <w:vertAlign w:val="superscript"/>
              </w:rPr>
              <w:t>1</w:t>
            </w:r>
            <w:r w:rsidRPr="0021548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9C4E6DD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 xml:space="preserve">196,11 </w:t>
            </w:r>
            <w:r w:rsidRPr="00215484">
              <w:rPr>
                <w:sz w:val="22"/>
                <w:szCs w:val="22"/>
                <w:vertAlign w:val="superscript"/>
              </w:rPr>
              <w:t>2</w:t>
            </w:r>
            <w:r w:rsidRPr="00215484">
              <w:rPr>
                <w:sz w:val="22"/>
                <w:szCs w:val="22"/>
              </w:rPr>
              <w:t>*</w:t>
            </w:r>
          </w:p>
        </w:tc>
      </w:tr>
      <w:tr w:rsidR="007F2F26" w:rsidRPr="00215484" w14:paraId="028B7001" w14:textId="77777777" w:rsidTr="00A26570">
        <w:trPr>
          <w:trHeight w:val="230"/>
        </w:trPr>
        <w:tc>
          <w:tcPr>
            <w:tcW w:w="697" w:type="dxa"/>
            <w:vMerge/>
            <w:vAlign w:val="center"/>
          </w:tcPr>
          <w:p w14:paraId="0F6BBD47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7" w:type="dxa"/>
            <w:vAlign w:val="center"/>
          </w:tcPr>
          <w:p w14:paraId="3348FD33" w14:textId="77777777" w:rsidR="007F2F26" w:rsidRPr="00215484" w:rsidRDefault="007F2F26" w:rsidP="00A26570">
            <w:pPr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276" w:type="dxa"/>
            <w:vAlign w:val="center"/>
          </w:tcPr>
          <w:p w14:paraId="1226650C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3</w:t>
            </w:r>
            <w:r w:rsidRPr="00215484">
              <w:rPr>
                <w:sz w:val="22"/>
                <w:szCs w:val="22"/>
                <w:lang w:val="en-US"/>
              </w:rPr>
              <w:t>2</w:t>
            </w:r>
            <w:r w:rsidRPr="00215484">
              <w:rPr>
                <w:sz w:val="22"/>
                <w:szCs w:val="22"/>
              </w:rPr>
              <w:t>,05</w:t>
            </w:r>
          </w:p>
        </w:tc>
        <w:tc>
          <w:tcPr>
            <w:tcW w:w="1276" w:type="dxa"/>
            <w:vAlign w:val="center"/>
          </w:tcPr>
          <w:p w14:paraId="65FF36D4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35,73</w:t>
            </w:r>
          </w:p>
        </w:tc>
        <w:tc>
          <w:tcPr>
            <w:tcW w:w="1275" w:type="dxa"/>
            <w:vAlign w:val="center"/>
          </w:tcPr>
          <w:p w14:paraId="0AE74912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5EAFA26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-</w:t>
            </w:r>
          </w:p>
        </w:tc>
      </w:tr>
      <w:tr w:rsidR="007F2F26" w:rsidRPr="00215484" w14:paraId="19A78B63" w14:textId="77777777" w:rsidTr="00A26570">
        <w:trPr>
          <w:trHeight w:val="230"/>
        </w:trPr>
        <w:tc>
          <w:tcPr>
            <w:tcW w:w="697" w:type="dxa"/>
            <w:vMerge/>
            <w:vAlign w:val="center"/>
          </w:tcPr>
          <w:p w14:paraId="3A5494EE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7" w:type="dxa"/>
            <w:vAlign w:val="center"/>
          </w:tcPr>
          <w:p w14:paraId="59E23BA3" w14:textId="77777777" w:rsidR="007F2F26" w:rsidRPr="00215484" w:rsidRDefault="007F2F26" w:rsidP="00A26570">
            <w:pPr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276" w:type="dxa"/>
            <w:vAlign w:val="center"/>
          </w:tcPr>
          <w:p w14:paraId="5716D081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2 166,57</w:t>
            </w:r>
          </w:p>
        </w:tc>
        <w:tc>
          <w:tcPr>
            <w:tcW w:w="1276" w:type="dxa"/>
            <w:vAlign w:val="center"/>
          </w:tcPr>
          <w:p w14:paraId="2149BB1C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2 460,85</w:t>
            </w:r>
          </w:p>
        </w:tc>
        <w:tc>
          <w:tcPr>
            <w:tcW w:w="1275" w:type="dxa"/>
            <w:vAlign w:val="center"/>
          </w:tcPr>
          <w:p w14:paraId="249BD746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99E5174" w14:textId="77777777" w:rsidR="007F2F26" w:rsidRPr="00215484" w:rsidRDefault="007F2F26" w:rsidP="00A26570">
            <w:pPr>
              <w:jc w:val="center"/>
              <w:rPr>
                <w:sz w:val="22"/>
                <w:szCs w:val="22"/>
              </w:rPr>
            </w:pPr>
            <w:r w:rsidRPr="00215484">
              <w:rPr>
                <w:sz w:val="22"/>
                <w:szCs w:val="22"/>
              </w:rPr>
              <w:t>-</w:t>
            </w:r>
          </w:p>
        </w:tc>
      </w:tr>
    </w:tbl>
    <w:p w14:paraId="4B9B09F0" w14:textId="77777777" w:rsidR="007F2F26" w:rsidRPr="00215484" w:rsidRDefault="007F2F26" w:rsidP="007F2F26">
      <w:pPr>
        <w:ind w:firstLine="567"/>
        <w:rPr>
          <w:sz w:val="22"/>
          <w:szCs w:val="22"/>
        </w:rPr>
      </w:pPr>
    </w:p>
    <w:p w14:paraId="15D92624" w14:textId="77777777" w:rsidR="007F2F26" w:rsidRPr="00215484" w:rsidRDefault="007F2F26" w:rsidP="007F2F26">
      <w:pPr>
        <w:ind w:firstLine="567"/>
        <w:rPr>
          <w:sz w:val="22"/>
          <w:szCs w:val="22"/>
        </w:rPr>
      </w:pPr>
      <w:r w:rsidRPr="00215484">
        <w:rPr>
          <w:sz w:val="22"/>
          <w:szCs w:val="22"/>
        </w:rPr>
        <w:t>* Льготный тариф для населения.</w:t>
      </w:r>
    </w:p>
    <w:p w14:paraId="4698E069" w14:textId="77777777" w:rsidR="007F2F26" w:rsidRPr="00215484" w:rsidRDefault="007F2F26" w:rsidP="007F2F26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215484">
        <w:rPr>
          <w:sz w:val="22"/>
          <w:szCs w:val="22"/>
        </w:rPr>
        <w:t xml:space="preserve">** Выделяется в целях реализации </w:t>
      </w:r>
      <w:hyperlink r:id="rId9" w:history="1">
        <w:r w:rsidRPr="00215484">
          <w:rPr>
            <w:sz w:val="22"/>
            <w:szCs w:val="22"/>
          </w:rPr>
          <w:t>пункта 6 статьи 168</w:t>
        </w:r>
      </w:hyperlink>
      <w:r w:rsidRPr="00215484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1E5F1DC" w14:textId="77777777" w:rsidR="007F2F26" w:rsidRPr="00215484" w:rsidRDefault="007F2F26" w:rsidP="007F2F26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4964"/>
      </w:tblGrid>
      <w:tr w:rsidR="007F2F26" w:rsidRPr="007D0108" w14:paraId="11298E3E" w14:textId="77777777" w:rsidTr="00A26570">
        <w:trPr>
          <w:trHeight w:val="227"/>
        </w:trPr>
        <w:tc>
          <w:tcPr>
            <w:tcW w:w="5353" w:type="dxa"/>
          </w:tcPr>
          <w:p w14:paraId="1D7C7D56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1</w:t>
            </w:r>
            <w:r w:rsidRPr="007D0108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143,73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068" w:type="dxa"/>
          </w:tcPr>
          <w:p w14:paraId="4BE0FBD2" w14:textId="77777777" w:rsidR="007F2F26" w:rsidRPr="007D0108" w:rsidRDefault="007F2F26" w:rsidP="00A2657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7D0108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163,43</w:t>
            </w:r>
            <w:r w:rsidRPr="007D0108">
              <w:rPr>
                <w:sz w:val="22"/>
                <w:szCs w:val="22"/>
              </w:rPr>
              <w:t xml:space="preserve"> руб./Гкал</w:t>
            </w:r>
          </w:p>
        </w:tc>
      </w:tr>
    </w:tbl>
    <w:p w14:paraId="0E6B36F4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10677CAF" w14:textId="18C5C5BA" w:rsid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7.</w:t>
      </w:r>
      <w:r w:rsidRPr="00E309BA">
        <w:rPr>
          <w:bCs/>
          <w:sz w:val="22"/>
          <w:szCs w:val="22"/>
        </w:rPr>
        <w:tab/>
        <w:t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ООО «ТеплоЭнерго+» (г. Кинешма) на 2024 год</w:t>
      </w:r>
      <w:r w:rsidR="007F2F26">
        <w:rPr>
          <w:bCs/>
          <w:sz w:val="22"/>
          <w:szCs w:val="22"/>
        </w:rPr>
        <w:t>:</w:t>
      </w:r>
    </w:p>
    <w:p w14:paraId="72421067" w14:textId="77777777" w:rsidR="007F2F26" w:rsidRDefault="007F2F26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</w:p>
    <w:p w14:paraId="78A595C1" w14:textId="77777777" w:rsidR="007F2F26" w:rsidRPr="007C136F" w:rsidRDefault="007F2F26" w:rsidP="007F2F26">
      <w:pPr>
        <w:jc w:val="center"/>
        <w:rPr>
          <w:b/>
        </w:rPr>
      </w:pPr>
      <w:r w:rsidRPr="007C136F">
        <w:rPr>
          <w:b/>
        </w:rPr>
        <w:t>ПРОИЗВОДСТВЕННАЯ ПРОГРАММА</w:t>
      </w:r>
    </w:p>
    <w:p w14:paraId="036EF438" w14:textId="77777777" w:rsidR="007F2F26" w:rsidRPr="007C136F" w:rsidRDefault="007F2F26" w:rsidP="007F2F26">
      <w:pPr>
        <w:jc w:val="center"/>
        <w:rPr>
          <w:b/>
        </w:rPr>
      </w:pPr>
      <w:r w:rsidRPr="007C136F">
        <w:rPr>
          <w:b/>
        </w:rPr>
        <w:t>В СФЕРЕ ГОРЯЧЕГО ВОДОСНАБЖЕНИЯ</w:t>
      </w:r>
    </w:p>
    <w:p w14:paraId="529BB96C" w14:textId="77777777" w:rsidR="007F2F26" w:rsidRPr="007C136F" w:rsidRDefault="007F2F26" w:rsidP="007F2F26">
      <w:pPr>
        <w:jc w:val="center"/>
        <w:rPr>
          <w:b/>
        </w:rPr>
      </w:pPr>
      <w:r w:rsidRPr="007C136F">
        <w:rPr>
          <w:b/>
        </w:rPr>
        <w:t>ООО «ТеплоЭнерго</w:t>
      </w:r>
      <w:r w:rsidRPr="00512239">
        <w:rPr>
          <w:b/>
        </w:rPr>
        <w:t>+</w:t>
      </w:r>
      <w:r w:rsidRPr="007C136F">
        <w:rPr>
          <w:b/>
        </w:rPr>
        <w:t>» на 202</w:t>
      </w:r>
      <w:r>
        <w:rPr>
          <w:b/>
        </w:rPr>
        <w:t>4</w:t>
      </w:r>
      <w:r w:rsidRPr="007C136F">
        <w:rPr>
          <w:b/>
        </w:rPr>
        <w:t xml:space="preserve"> год</w:t>
      </w:r>
    </w:p>
    <w:p w14:paraId="3B253D1A" w14:textId="77777777" w:rsidR="007F2F26" w:rsidRPr="007C136F" w:rsidRDefault="007F2F26" w:rsidP="007F2F26">
      <w:pPr>
        <w:jc w:val="center"/>
      </w:pPr>
      <w:r w:rsidRPr="007C136F">
        <w:t>(в закрытой системе горячего водоснабжения)</w:t>
      </w:r>
    </w:p>
    <w:p w14:paraId="1EA5D242" w14:textId="77777777" w:rsidR="007F2F26" w:rsidRPr="007C136F" w:rsidRDefault="007F2F26" w:rsidP="007F2F26">
      <w:pPr>
        <w:jc w:val="center"/>
      </w:pPr>
    </w:p>
    <w:p w14:paraId="5A7FF036" w14:textId="77777777" w:rsidR="007F2F26" w:rsidRPr="007C136F" w:rsidRDefault="007F2F26" w:rsidP="007F2F26">
      <w:pPr>
        <w:autoSpaceDE w:val="0"/>
        <w:autoSpaceDN w:val="0"/>
        <w:adjustRightInd w:val="0"/>
        <w:ind w:firstLine="540"/>
        <w:jc w:val="center"/>
      </w:pPr>
      <w:r w:rsidRPr="007C136F">
        <w:t>1. Паспорт производственной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537"/>
        <w:gridCol w:w="5245"/>
      </w:tblGrid>
      <w:tr w:rsidR="007F2F26" w:rsidRPr="007C136F" w14:paraId="53672DBF" w14:textId="77777777" w:rsidTr="00A26570">
        <w:tc>
          <w:tcPr>
            <w:tcW w:w="391" w:type="dxa"/>
            <w:vAlign w:val="center"/>
          </w:tcPr>
          <w:p w14:paraId="236AB16A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</w:t>
            </w:r>
          </w:p>
        </w:tc>
        <w:tc>
          <w:tcPr>
            <w:tcW w:w="4537" w:type="dxa"/>
          </w:tcPr>
          <w:p w14:paraId="4F24FAF6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14:paraId="58BC85D5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ООО «ТеплоЭнерго</w:t>
            </w:r>
            <w:r>
              <w:rPr>
                <w:bCs/>
              </w:rPr>
              <w:t>+</w:t>
            </w:r>
            <w:r w:rsidRPr="007C136F">
              <w:rPr>
                <w:bCs/>
              </w:rPr>
              <w:t>» (г. Кинешма)</w:t>
            </w:r>
            <w:r w:rsidRPr="007C136F">
              <w:t>, 155815, Ивановская область, г. Кинешма, ул. 2-я Шуйская, 1</w:t>
            </w:r>
          </w:p>
        </w:tc>
      </w:tr>
      <w:tr w:rsidR="007F2F26" w:rsidRPr="007C136F" w14:paraId="75B62447" w14:textId="77777777" w:rsidTr="00A26570">
        <w:tc>
          <w:tcPr>
            <w:tcW w:w="391" w:type="dxa"/>
            <w:vAlign w:val="center"/>
          </w:tcPr>
          <w:p w14:paraId="3852CB68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2.</w:t>
            </w:r>
          </w:p>
        </w:tc>
        <w:tc>
          <w:tcPr>
            <w:tcW w:w="4537" w:type="dxa"/>
          </w:tcPr>
          <w:p w14:paraId="5B523882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36F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14:paraId="7C4ECA5C" w14:textId="77777777" w:rsidR="007F2F26" w:rsidRPr="007C136F" w:rsidRDefault="007F2F26" w:rsidP="00A26570">
            <w:pPr>
              <w:pStyle w:val="ConsPlusNormal"/>
              <w:rPr>
                <w:bCs/>
              </w:rPr>
            </w:pPr>
            <w:r w:rsidRPr="007C136F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7F2F26" w:rsidRPr="007C136F" w14:paraId="319B9442" w14:textId="77777777" w:rsidTr="00A26570">
        <w:tc>
          <w:tcPr>
            <w:tcW w:w="391" w:type="dxa"/>
            <w:vAlign w:val="center"/>
          </w:tcPr>
          <w:p w14:paraId="679AB78B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3.</w:t>
            </w:r>
          </w:p>
        </w:tc>
        <w:tc>
          <w:tcPr>
            <w:tcW w:w="4537" w:type="dxa"/>
          </w:tcPr>
          <w:p w14:paraId="35804429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36F">
              <w:rPr>
                <w:bCs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14:paraId="14C3AB9E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C136F">
              <w:rPr>
                <w:bCs/>
              </w:rPr>
              <w:t xml:space="preserve"> год</w:t>
            </w:r>
          </w:p>
        </w:tc>
      </w:tr>
    </w:tbl>
    <w:p w14:paraId="389362DF" w14:textId="77777777" w:rsidR="007F2F26" w:rsidRPr="007C136F" w:rsidRDefault="007F2F26" w:rsidP="007F2F26">
      <w:pPr>
        <w:autoSpaceDE w:val="0"/>
        <w:autoSpaceDN w:val="0"/>
        <w:adjustRightInd w:val="0"/>
        <w:ind w:firstLine="540"/>
        <w:jc w:val="center"/>
      </w:pPr>
    </w:p>
    <w:p w14:paraId="30D2F221" w14:textId="77777777" w:rsidR="007F2F26" w:rsidRPr="007C136F" w:rsidRDefault="007F2F26" w:rsidP="007F2F26">
      <w:pPr>
        <w:autoSpaceDE w:val="0"/>
        <w:autoSpaceDN w:val="0"/>
        <w:adjustRightInd w:val="0"/>
        <w:ind w:firstLine="540"/>
        <w:jc w:val="center"/>
      </w:pPr>
      <w:r w:rsidRPr="007C136F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7F2F26" w:rsidRPr="007C136F" w14:paraId="1B220671" w14:textId="77777777" w:rsidTr="00A26570">
        <w:trPr>
          <w:trHeight w:val="506"/>
        </w:trPr>
        <w:tc>
          <w:tcPr>
            <w:tcW w:w="525" w:type="dxa"/>
            <w:vAlign w:val="center"/>
          </w:tcPr>
          <w:p w14:paraId="3320EDEF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№ п/п</w:t>
            </w:r>
          </w:p>
        </w:tc>
        <w:tc>
          <w:tcPr>
            <w:tcW w:w="6813" w:type="dxa"/>
            <w:vAlign w:val="center"/>
          </w:tcPr>
          <w:p w14:paraId="1154AF23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78CF85DD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4C4F594F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Значение</w:t>
            </w:r>
          </w:p>
        </w:tc>
      </w:tr>
      <w:tr w:rsidR="007F2F26" w:rsidRPr="007C136F" w14:paraId="2A8390A4" w14:textId="77777777" w:rsidTr="00A26570">
        <w:tc>
          <w:tcPr>
            <w:tcW w:w="525" w:type="dxa"/>
            <w:vMerge w:val="restart"/>
            <w:vAlign w:val="center"/>
          </w:tcPr>
          <w:p w14:paraId="035DCF42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</w:t>
            </w:r>
          </w:p>
        </w:tc>
        <w:tc>
          <w:tcPr>
            <w:tcW w:w="6813" w:type="dxa"/>
            <w:vMerge w:val="restart"/>
            <w:vAlign w:val="center"/>
          </w:tcPr>
          <w:p w14:paraId="40E4BEEA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227CE9BB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2D1F72CB" w14:textId="77777777" w:rsidR="007F2F26" w:rsidRPr="00D1260E" w:rsidRDefault="007F2F26" w:rsidP="00A26570">
            <w:pPr>
              <w:widowControl/>
              <w:jc w:val="center"/>
            </w:pPr>
            <w:r w:rsidRPr="00CC4892">
              <w:t>55</w:t>
            </w:r>
            <w:r>
              <w:t xml:space="preserve"> </w:t>
            </w:r>
            <w:r w:rsidRPr="00CC4892">
              <w:t>827,5</w:t>
            </w:r>
          </w:p>
        </w:tc>
      </w:tr>
      <w:tr w:rsidR="007F2F26" w:rsidRPr="007C136F" w14:paraId="0F349A76" w14:textId="77777777" w:rsidTr="00A26570">
        <w:tc>
          <w:tcPr>
            <w:tcW w:w="525" w:type="dxa"/>
            <w:vMerge/>
            <w:vAlign w:val="center"/>
          </w:tcPr>
          <w:p w14:paraId="1450B494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14:paraId="772C52CD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A7175C9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6DC08ED6" w14:textId="77777777" w:rsidR="007F2F26" w:rsidRPr="00D1260E" w:rsidRDefault="007F2F26" w:rsidP="00A26570">
            <w:pPr>
              <w:jc w:val="center"/>
            </w:pPr>
            <w:r w:rsidRPr="00CC4892">
              <w:t>3</w:t>
            </w:r>
            <w:r>
              <w:t xml:space="preserve"> </w:t>
            </w:r>
            <w:r w:rsidRPr="00CC4892">
              <w:t>660,2</w:t>
            </w:r>
          </w:p>
        </w:tc>
      </w:tr>
      <w:tr w:rsidR="007F2F26" w:rsidRPr="007C136F" w14:paraId="3033C809" w14:textId="77777777" w:rsidTr="00A26570">
        <w:tc>
          <w:tcPr>
            <w:tcW w:w="525" w:type="dxa"/>
            <w:vMerge w:val="restart"/>
            <w:vAlign w:val="center"/>
          </w:tcPr>
          <w:p w14:paraId="701657F0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14:paraId="24387F6F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14:paraId="267D98DF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3B5E6ACB" w14:textId="77777777" w:rsidR="007F2F26" w:rsidRPr="00D1260E" w:rsidRDefault="007F2F26" w:rsidP="00A26570">
            <w:pPr>
              <w:jc w:val="center"/>
            </w:pPr>
            <w:r w:rsidRPr="00CC4892">
              <w:t>53</w:t>
            </w:r>
            <w:r>
              <w:t xml:space="preserve"> </w:t>
            </w:r>
            <w:r w:rsidRPr="00CC4892">
              <w:t>773,0</w:t>
            </w:r>
          </w:p>
        </w:tc>
      </w:tr>
      <w:tr w:rsidR="007F2F26" w:rsidRPr="007C136F" w14:paraId="7437744F" w14:textId="77777777" w:rsidTr="00A26570">
        <w:tc>
          <w:tcPr>
            <w:tcW w:w="525" w:type="dxa"/>
            <w:vMerge/>
            <w:vAlign w:val="center"/>
          </w:tcPr>
          <w:p w14:paraId="4D8DD663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14:paraId="55667AFE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578932BF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456CA65F" w14:textId="77777777" w:rsidR="007F2F26" w:rsidRPr="00D1260E" w:rsidRDefault="007F2F26" w:rsidP="00A26570">
            <w:pPr>
              <w:jc w:val="center"/>
            </w:pPr>
            <w:r w:rsidRPr="00CC4892">
              <w:t>3</w:t>
            </w:r>
            <w:r>
              <w:t> 569,6</w:t>
            </w:r>
          </w:p>
        </w:tc>
      </w:tr>
      <w:tr w:rsidR="007F2F26" w:rsidRPr="007C136F" w14:paraId="71E3EF99" w14:textId="77777777" w:rsidTr="00A26570">
        <w:tc>
          <w:tcPr>
            <w:tcW w:w="525" w:type="dxa"/>
            <w:vMerge w:val="restart"/>
            <w:vAlign w:val="center"/>
          </w:tcPr>
          <w:p w14:paraId="0E75E6D3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1.2</w:t>
            </w:r>
          </w:p>
        </w:tc>
        <w:tc>
          <w:tcPr>
            <w:tcW w:w="6813" w:type="dxa"/>
            <w:vMerge w:val="restart"/>
            <w:vAlign w:val="center"/>
          </w:tcPr>
          <w:p w14:paraId="5C24E453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0E581C6C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65470DA9" w14:textId="77777777" w:rsidR="007F2F26" w:rsidRPr="00B5289E" w:rsidRDefault="007F2F26" w:rsidP="00A26570">
            <w:pPr>
              <w:jc w:val="center"/>
              <w:rPr>
                <w:lang w:val="en-US"/>
              </w:rPr>
            </w:pPr>
            <w:r w:rsidRPr="00CC4892">
              <w:t>1</w:t>
            </w:r>
            <w:r>
              <w:t xml:space="preserve"> </w:t>
            </w:r>
            <w:r w:rsidRPr="00CC4892">
              <w:t>220,5</w:t>
            </w:r>
          </w:p>
        </w:tc>
      </w:tr>
      <w:tr w:rsidR="007F2F26" w:rsidRPr="007C136F" w14:paraId="406F260F" w14:textId="77777777" w:rsidTr="00A26570">
        <w:tc>
          <w:tcPr>
            <w:tcW w:w="525" w:type="dxa"/>
            <w:vMerge/>
            <w:vAlign w:val="center"/>
          </w:tcPr>
          <w:p w14:paraId="506BAD4D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14:paraId="4DE45264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B39A3FD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7D54FCB2" w14:textId="77777777" w:rsidR="007F2F26" w:rsidRPr="00D1260E" w:rsidRDefault="007F2F26" w:rsidP="00A26570">
            <w:pPr>
              <w:jc w:val="center"/>
            </w:pPr>
            <w:r w:rsidRPr="00CC4892">
              <w:t>99,87</w:t>
            </w:r>
          </w:p>
        </w:tc>
      </w:tr>
      <w:tr w:rsidR="007F2F26" w:rsidRPr="007C136F" w14:paraId="3E29814F" w14:textId="77777777" w:rsidTr="00A26570">
        <w:tc>
          <w:tcPr>
            <w:tcW w:w="525" w:type="dxa"/>
            <w:vMerge w:val="restart"/>
            <w:vAlign w:val="center"/>
          </w:tcPr>
          <w:p w14:paraId="0313EEC9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14:paraId="2EBC46A0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07EE250C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560FFB53" w14:textId="77777777" w:rsidR="007F2F26" w:rsidRPr="00D1260E" w:rsidRDefault="007F2F26" w:rsidP="00A26570">
            <w:pPr>
              <w:jc w:val="center"/>
            </w:pPr>
            <w:r w:rsidRPr="00CC4892">
              <w:t>18</w:t>
            </w:r>
          </w:p>
        </w:tc>
      </w:tr>
      <w:tr w:rsidR="007F2F26" w:rsidRPr="007C136F" w14:paraId="7D9682C4" w14:textId="77777777" w:rsidTr="00A26570">
        <w:tc>
          <w:tcPr>
            <w:tcW w:w="525" w:type="dxa"/>
            <w:vMerge/>
            <w:vAlign w:val="center"/>
          </w:tcPr>
          <w:p w14:paraId="59528B97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14:paraId="4EC1FC2B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02F3CF12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5E5BAA06" w14:textId="77777777" w:rsidR="007F2F26" w:rsidRPr="00D1260E" w:rsidRDefault="007F2F26" w:rsidP="00A26570">
            <w:pPr>
              <w:jc w:val="center"/>
            </w:pPr>
            <w:r w:rsidRPr="00CC4892">
              <w:t>1,17</w:t>
            </w:r>
          </w:p>
        </w:tc>
      </w:tr>
      <w:tr w:rsidR="007F2F26" w:rsidRPr="007C136F" w14:paraId="17C6F2ED" w14:textId="77777777" w:rsidTr="00A26570">
        <w:tc>
          <w:tcPr>
            <w:tcW w:w="525" w:type="dxa"/>
            <w:vMerge w:val="restart"/>
            <w:vAlign w:val="center"/>
          </w:tcPr>
          <w:p w14:paraId="1223A133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14:paraId="7BEBEF13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253FAC08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16B779C3" w14:textId="77777777" w:rsidR="007F2F26" w:rsidRPr="00D1260E" w:rsidRDefault="007F2F26" w:rsidP="00A26570">
            <w:pPr>
              <w:jc w:val="center"/>
            </w:pPr>
            <w:r w:rsidRPr="00CC4892">
              <w:t>0,0</w:t>
            </w:r>
          </w:p>
        </w:tc>
      </w:tr>
      <w:tr w:rsidR="007F2F26" w:rsidRPr="007C136F" w14:paraId="19DF7402" w14:textId="77777777" w:rsidTr="00A26570">
        <w:tc>
          <w:tcPr>
            <w:tcW w:w="525" w:type="dxa"/>
            <w:vMerge/>
            <w:vAlign w:val="center"/>
          </w:tcPr>
          <w:p w14:paraId="466233B5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14:paraId="406676C7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35E789D5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0E9F8C8B" w14:textId="77777777" w:rsidR="007F2F26" w:rsidRPr="00D1260E" w:rsidRDefault="007F2F26" w:rsidP="00A26570">
            <w:pPr>
              <w:jc w:val="center"/>
            </w:pPr>
            <w:r w:rsidRPr="00CC4892">
              <w:t>0,0</w:t>
            </w:r>
          </w:p>
        </w:tc>
      </w:tr>
      <w:tr w:rsidR="007F2F26" w:rsidRPr="007C136F" w14:paraId="10504C81" w14:textId="77777777" w:rsidTr="00A26570">
        <w:tc>
          <w:tcPr>
            <w:tcW w:w="525" w:type="dxa"/>
            <w:vMerge w:val="restart"/>
            <w:vAlign w:val="center"/>
          </w:tcPr>
          <w:p w14:paraId="2C723D74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14:paraId="35AC64FB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31AAC2DB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7F0224F2" w14:textId="77777777" w:rsidR="007F2F26" w:rsidRPr="00D1260E" w:rsidRDefault="007F2F26" w:rsidP="00A26570">
            <w:pPr>
              <w:jc w:val="center"/>
            </w:pPr>
            <w:r w:rsidRPr="00CC4892">
              <w:t>816,0</w:t>
            </w:r>
          </w:p>
        </w:tc>
      </w:tr>
      <w:tr w:rsidR="007F2F26" w:rsidRPr="007C136F" w14:paraId="0179E237" w14:textId="77777777" w:rsidTr="00A26570">
        <w:tc>
          <w:tcPr>
            <w:tcW w:w="525" w:type="dxa"/>
            <w:vMerge/>
            <w:vAlign w:val="center"/>
          </w:tcPr>
          <w:p w14:paraId="7393BC9D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14:paraId="05B7C561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61BD4E7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24C3AABD" w14:textId="77777777" w:rsidR="007F2F26" w:rsidRPr="00D1260E" w:rsidRDefault="007F2F26" w:rsidP="00A26570">
            <w:pPr>
              <w:jc w:val="center"/>
            </w:pPr>
            <w:r w:rsidRPr="00CC4892">
              <w:t>53,2</w:t>
            </w:r>
          </w:p>
        </w:tc>
      </w:tr>
      <w:tr w:rsidR="007F2F26" w:rsidRPr="007C136F" w14:paraId="67F62E1E" w14:textId="77777777" w:rsidTr="00A26570">
        <w:tc>
          <w:tcPr>
            <w:tcW w:w="525" w:type="dxa"/>
            <w:vAlign w:val="center"/>
          </w:tcPr>
          <w:p w14:paraId="3BE80B62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2.</w:t>
            </w:r>
          </w:p>
        </w:tc>
        <w:tc>
          <w:tcPr>
            <w:tcW w:w="6813" w:type="dxa"/>
            <w:vAlign w:val="center"/>
          </w:tcPr>
          <w:p w14:paraId="5009794E" w14:textId="77777777" w:rsidR="007F2F26" w:rsidRPr="007C136F" w:rsidRDefault="007F2F26" w:rsidP="00A26570">
            <w:pPr>
              <w:autoSpaceDE w:val="0"/>
              <w:autoSpaceDN w:val="0"/>
              <w:adjustRightInd w:val="0"/>
              <w:rPr>
                <w:bCs/>
              </w:rPr>
            </w:pPr>
            <w:r w:rsidRPr="007C136F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167F8E50" w14:textId="77777777" w:rsidR="007F2F26" w:rsidRPr="007C136F" w:rsidRDefault="007F2F26" w:rsidP="00A265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36F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368358E6" w14:textId="77777777" w:rsidR="007F2F26" w:rsidRPr="001874A4" w:rsidRDefault="007F2F26" w:rsidP="00A26570">
            <w:pPr>
              <w:jc w:val="center"/>
            </w:pPr>
            <w:r w:rsidRPr="001874A4">
              <w:t>10 483,8</w:t>
            </w:r>
          </w:p>
        </w:tc>
      </w:tr>
    </w:tbl>
    <w:p w14:paraId="6A542870" w14:textId="77777777" w:rsidR="007F2F26" w:rsidRPr="007C136F" w:rsidRDefault="007F2F26" w:rsidP="007F2F26">
      <w:pPr>
        <w:autoSpaceDE w:val="0"/>
        <w:autoSpaceDN w:val="0"/>
        <w:adjustRightInd w:val="0"/>
        <w:ind w:firstLine="540"/>
        <w:jc w:val="both"/>
      </w:pPr>
    </w:p>
    <w:p w14:paraId="39A02DF9" w14:textId="77777777" w:rsidR="007F2F26" w:rsidRPr="007C136F" w:rsidRDefault="007F2F26" w:rsidP="007F2F26">
      <w:pPr>
        <w:jc w:val="center"/>
      </w:pPr>
      <w:r w:rsidRPr="007C136F"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7F2F26" w:rsidRPr="00FC1156" w14:paraId="3C54DED5" w14:textId="77777777" w:rsidTr="00A26570">
        <w:tc>
          <w:tcPr>
            <w:tcW w:w="546" w:type="dxa"/>
            <w:vAlign w:val="center"/>
          </w:tcPr>
          <w:p w14:paraId="025BA2D8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№ п/п</w:t>
            </w:r>
          </w:p>
        </w:tc>
        <w:tc>
          <w:tcPr>
            <w:tcW w:w="4503" w:type="dxa"/>
            <w:vAlign w:val="center"/>
          </w:tcPr>
          <w:p w14:paraId="1082F191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0A7A0AE4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070094B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Финансовые потребности на реализацию мероприятия, тыс. руб.</w:t>
            </w:r>
          </w:p>
        </w:tc>
      </w:tr>
      <w:tr w:rsidR="007F2F26" w:rsidRPr="00FC1156" w14:paraId="46CBE447" w14:textId="77777777" w:rsidTr="00A26570">
        <w:tc>
          <w:tcPr>
            <w:tcW w:w="10370" w:type="dxa"/>
            <w:gridSpan w:val="4"/>
            <w:vAlign w:val="center"/>
          </w:tcPr>
          <w:p w14:paraId="1EF56261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7F2F26" w:rsidRPr="00FC1156" w14:paraId="316F6E7D" w14:textId="77777777" w:rsidTr="00A26570">
        <w:tc>
          <w:tcPr>
            <w:tcW w:w="546" w:type="dxa"/>
            <w:vAlign w:val="center"/>
          </w:tcPr>
          <w:p w14:paraId="170144BF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1.1</w:t>
            </w:r>
          </w:p>
        </w:tc>
        <w:tc>
          <w:tcPr>
            <w:tcW w:w="4503" w:type="dxa"/>
            <w:vAlign w:val="center"/>
          </w:tcPr>
          <w:p w14:paraId="26B71BC5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59B119E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7A3A80E3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2F26" w:rsidRPr="00FC1156" w14:paraId="6EA4D660" w14:textId="77777777" w:rsidTr="00A26570">
        <w:tc>
          <w:tcPr>
            <w:tcW w:w="546" w:type="dxa"/>
            <w:vAlign w:val="center"/>
          </w:tcPr>
          <w:p w14:paraId="1AEE8C27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C83665F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 xml:space="preserve">Всего </w:t>
            </w:r>
          </w:p>
        </w:tc>
        <w:tc>
          <w:tcPr>
            <w:tcW w:w="2803" w:type="dxa"/>
            <w:vAlign w:val="center"/>
          </w:tcPr>
          <w:p w14:paraId="67FB18CF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6F3B649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F2F26" w:rsidRPr="00FC1156" w14:paraId="3B7BA380" w14:textId="77777777" w:rsidTr="00A26570">
        <w:tc>
          <w:tcPr>
            <w:tcW w:w="10370" w:type="dxa"/>
            <w:gridSpan w:val="4"/>
            <w:vAlign w:val="center"/>
          </w:tcPr>
          <w:p w14:paraId="44C10222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2. Перечень мероприятий, направленных на улучшение качества горячей воды</w:t>
            </w:r>
          </w:p>
        </w:tc>
      </w:tr>
      <w:tr w:rsidR="007F2F26" w:rsidRPr="00FC1156" w14:paraId="6D460938" w14:textId="77777777" w:rsidTr="00A26570">
        <w:tc>
          <w:tcPr>
            <w:tcW w:w="546" w:type="dxa"/>
            <w:vAlign w:val="center"/>
          </w:tcPr>
          <w:p w14:paraId="113C347A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2.1.</w:t>
            </w:r>
          </w:p>
        </w:tc>
        <w:tc>
          <w:tcPr>
            <w:tcW w:w="4503" w:type="dxa"/>
            <w:vAlign w:val="center"/>
          </w:tcPr>
          <w:p w14:paraId="4DB5F107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57EC8909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85202E6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2F26" w:rsidRPr="00FC1156" w14:paraId="2AEF6980" w14:textId="77777777" w:rsidTr="00A26570">
        <w:tc>
          <w:tcPr>
            <w:tcW w:w="546" w:type="dxa"/>
            <w:vAlign w:val="center"/>
          </w:tcPr>
          <w:p w14:paraId="32DC971D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39E116B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 xml:space="preserve">Всего </w:t>
            </w:r>
          </w:p>
        </w:tc>
        <w:tc>
          <w:tcPr>
            <w:tcW w:w="2803" w:type="dxa"/>
            <w:vAlign w:val="center"/>
          </w:tcPr>
          <w:p w14:paraId="720F268F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A474358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F2F26" w:rsidRPr="00FC1156" w14:paraId="03995DB9" w14:textId="77777777" w:rsidTr="00A26570">
        <w:tc>
          <w:tcPr>
            <w:tcW w:w="10370" w:type="dxa"/>
            <w:gridSpan w:val="4"/>
            <w:vAlign w:val="center"/>
          </w:tcPr>
          <w:p w14:paraId="3DAF27DF" w14:textId="77777777" w:rsidR="007F2F26" w:rsidRPr="00FC1156" w:rsidRDefault="007F2F26" w:rsidP="00A26570">
            <w:pPr>
              <w:jc w:val="center"/>
            </w:pPr>
            <w:r w:rsidRPr="00FC1156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F2F26" w:rsidRPr="00FC1156" w14:paraId="500D5A77" w14:textId="77777777" w:rsidTr="00A26570">
        <w:tc>
          <w:tcPr>
            <w:tcW w:w="546" w:type="dxa"/>
            <w:vAlign w:val="center"/>
          </w:tcPr>
          <w:p w14:paraId="2DAD2F2A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3.1.</w:t>
            </w:r>
          </w:p>
        </w:tc>
        <w:tc>
          <w:tcPr>
            <w:tcW w:w="4503" w:type="dxa"/>
            <w:vAlign w:val="center"/>
          </w:tcPr>
          <w:p w14:paraId="67F7377F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>Микробиологическое исследование горячей воды</w:t>
            </w:r>
          </w:p>
        </w:tc>
        <w:tc>
          <w:tcPr>
            <w:tcW w:w="2803" w:type="dxa"/>
            <w:vAlign w:val="center"/>
          </w:tcPr>
          <w:p w14:paraId="1218E9CB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1 раз в месяц</w:t>
            </w:r>
          </w:p>
        </w:tc>
        <w:tc>
          <w:tcPr>
            <w:tcW w:w="2518" w:type="dxa"/>
            <w:vAlign w:val="center"/>
          </w:tcPr>
          <w:p w14:paraId="60CDBE6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>
              <w:t>155,535</w:t>
            </w:r>
          </w:p>
        </w:tc>
      </w:tr>
      <w:tr w:rsidR="007F2F26" w:rsidRPr="00FC1156" w14:paraId="2CA3F5C4" w14:textId="77777777" w:rsidTr="00A26570">
        <w:tc>
          <w:tcPr>
            <w:tcW w:w="546" w:type="dxa"/>
            <w:vAlign w:val="center"/>
          </w:tcPr>
          <w:p w14:paraId="2B546F28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3.2.</w:t>
            </w:r>
          </w:p>
        </w:tc>
        <w:tc>
          <w:tcPr>
            <w:tcW w:w="4503" w:type="dxa"/>
            <w:vAlign w:val="center"/>
          </w:tcPr>
          <w:p w14:paraId="613928E5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>Микробиологическое исследование питьевой воды</w:t>
            </w:r>
          </w:p>
        </w:tc>
        <w:tc>
          <w:tcPr>
            <w:tcW w:w="2803" w:type="dxa"/>
            <w:vAlign w:val="center"/>
          </w:tcPr>
          <w:p w14:paraId="68E2D173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1 раз в месяц</w:t>
            </w:r>
          </w:p>
        </w:tc>
        <w:tc>
          <w:tcPr>
            <w:tcW w:w="2518" w:type="dxa"/>
            <w:vAlign w:val="center"/>
          </w:tcPr>
          <w:p w14:paraId="608A1712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>
              <w:t>40,040</w:t>
            </w:r>
          </w:p>
        </w:tc>
      </w:tr>
      <w:tr w:rsidR="007F2F26" w:rsidRPr="00FC1156" w14:paraId="40A493EB" w14:textId="77777777" w:rsidTr="00A26570">
        <w:tc>
          <w:tcPr>
            <w:tcW w:w="546" w:type="dxa"/>
            <w:vAlign w:val="center"/>
          </w:tcPr>
          <w:p w14:paraId="29182D15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3.3</w:t>
            </w:r>
          </w:p>
        </w:tc>
        <w:tc>
          <w:tcPr>
            <w:tcW w:w="4503" w:type="dxa"/>
            <w:vAlign w:val="center"/>
          </w:tcPr>
          <w:p w14:paraId="1F86400B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 xml:space="preserve">Оформление результатов исследования и </w:t>
            </w:r>
            <w:r w:rsidRPr="00FC1156">
              <w:lastRenderedPageBreak/>
              <w:t>заключения</w:t>
            </w:r>
          </w:p>
        </w:tc>
        <w:tc>
          <w:tcPr>
            <w:tcW w:w="2803" w:type="dxa"/>
            <w:vAlign w:val="center"/>
          </w:tcPr>
          <w:p w14:paraId="7C53AF6C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lastRenderedPageBreak/>
              <w:t>1 раз в месяц</w:t>
            </w:r>
          </w:p>
        </w:tc>
        <w:tc>
          <w:tcPr>
            <w:tcW w:w="2518" w:type="dxa"/>
            <w:vAlign w:val="center"/>
          </w:tcPr>
          <w:p w14:paraId="317DC2BD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12,667</w:t>
            </w:r>
          </w:p>
        </w:tc>
      </w:tr>
      <w:tr w:rsidR="007F2F26" w:rsidRPr="00FC1156" w14:paraId="27FF48B6" w14:textId="77777777" w:rsidTr="00A26570">
        <w:tc>
          <w:tcPr>
            <w:tcW w:w="546" w:type="dxa"/>
            <w:vAlign w:val="center"/>
          </w:tcPr>
          <w:p w14:paraId="04CB6E4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0B51327E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 xml:space="preserve">Всего </w:t>
            </w:r>
          </w:p>
        </w:tc>
        <w:tc>
          <w:tcPr>
            <w:tcW w:w="2803" w:type="dxa"/>
            <w:vAlign w:val="center"/>
          </w:tcPr>
          <w:p w14:paraId="450AC9D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9ED19B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>
              <w:t>208,242</w:t>
            </w:r>
          </w:p>
        </w:tc>
      </w:tr>
      <w:tr w:rsidR="007F2F26" w:rsidRPr="00FC1156" w14:paraId="7FA3D0F9" w14:textId="77777777" w:rsidTr="00A26570">
        <w:tc>
          <w:tcPr>
            <w:tcW w:w="10370" w:type="dxa"/>
            <w:gridSpan w:val="4"/>
            <w:vAlign w:val="center"/>
          </w:tcPr>
          <w:p w14:paraId="07952472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4. Перечень мероприятий, направленных на повышение качества обслуживания абонентов</w:t>
            </w:r>
          </w:p>
        </w:tc>
      </w:tr>
      <w:tr w:rsidR="007F2F26" w:rsidRPr="00FC1156" w14:paraId="7107A629" w14:textId="77777777" w:rsidTr="00A26570">
        <w:tc>
          <w:tcPr>
            <w:tcW w:w="546" w:type="dxa"/>
            <w:vAlign w:val="center"/>
          </w:tcPr>
          <w:p w14:paraId="4A94DD1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  <w:r w:rsidRPr="00FC1156">
              <w:t>4.1.</w:t>
            </w:r>
          </w:p>
        </w:tc>
        <w:tc>
          <w:tcPr>
            <w:tcW w:w="4503" w:type="dxa"/>
            <w:vAlign w:val="center"/>
          </w:tcPr>
          <w:p w14:paraId="4BF18B59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0C7BBBB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01DC0710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2F26" w:rsidRPr="00FC1156" w14:paraId="18E2336E" w14:textId="77777777" w:rsidTr="00A26570">
        <w:tc>
          <w:tcPr>
            <w:tcW w:w="546" w:type="dxa"/>
            <w:vAlign w:val="center"/>
          </w:tcPr>
          <w:p w14:paraId="4D7E5953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03359B40" w14:textId="77777777" w:rsidR="007F2F26" w:rsidRPr="00FC1156" w:rsidRDefault="007F2F26" w:rsidP="00A26570">
            <w:pPr>
              <w:autoSpaceDE w:val="0"/>
              <w:autoSpaceDN w:val="0"/>
              <w:adjustRightInd w:val="0"/>
            </w:pPr>
            <w:r w:rsidRPr="00FC1156">
              <w:t xml:space="preserve">Всего </w:t>
            </w:r>
          </w:p>
        </w:tc>
        <w:tc>
          <w:tcPr>
            <w:tcW w:w="2803" w:type="dxa"/>
            <w:vAlign w:val="center"/>
          </w:tcPr>
          <w:p w14:paraId="3A918E6A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7D1139C5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FB8A278" w14:textId="77777777" w:rsidR="005133E4" w:rsidRDefault="005133E4" w:rsidP="007F2F26">
      <w:pPr>
        <w:jc w:val="center"/>
      </w:pPr>
    </w:p>
    <w:p w14:paraId="38DBB5FD" w14:textId="7F2F2C04" w:rsidR="007F2F26" w:rsidRPr="00FC1156" w:rsidRDefault="007F2F26" w:rsidP="007F2F26">
      <w:pPr>
        <w:jc w:val="center"/>
      </w:pPr>
      <w:r w:rsidRPr="00FC1156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tbl>
      <w:tblPr>
        <w:tblW w:w="10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8493"/>
        <w:gridCol w:w="1413"/>
      </w:tblGrid>
      <w:tr w:rsidR="007F2F26" w:rsidRPr="00FC1156" w14:paraId="18788942" w14:textId="77777777" w:rsidTr="00A26570">
        <w:trPr>
          <w:trHeight w:val="506"/>
        </w:trPr>
        <w:tc>
          <w:tcPr>
            <w:tcW w:w="546" w:type="dxa"/>
            <w:vAlign w:val="center"/>
          </w:tcPr>
          <w:p w14:paraId="67F0FF77" w14:textId="77777777" w:rsidR="007F2F26" w:rsidRPr="00FC1156" w:rsidRDefault="007F2F26" w:rsidP="00A26570">
            <w:pPr>
              <w:jc w:val="center"/>
            </w:pPr>
            <w:r w:rsidRPr="00FC1156">
              <w:t>№ п/п</w:t>
            </w:r>
          </w:p>
        </w:tc>
        <w:tc>
          <w:tcPr>
            <w:tcW w:w="8493" w:type="dxa"/>
            <w:vAlign w:val="center"/>
          </w:tcPr>
          <w:p w14:paraId="23856A93" w14:textId="77777777" w:rsidR="007F2F26" w:rsidRPr="00FC1156" w:rsidRDefault="007F2F26" w:rsidP="00A26570">
            <w:pPr>
              <w:jc w:val="center"/>
            </w:pPr>
            <w:r w:rsidRPr="00FC1156"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505643EC" w14:textId="77777777" w:rsidR="007F2F26" w:rsidRPr="00FC1156" w:rsidRDefault="007F2F26" w:rsidP="00A26570">
            <w:pPr>
              <w:jc w:val="center"/>
            </w:pPr>
            <w:r w:rsidRPr="00FC1156">
              <w:t xml:space="preserve">Значение </w:t>
            </w:r>
          </w:p>
        </w:tc>
      </w:tr>
      <w:tr w:rsidR="007F2F26" w:rsidRPr="00FC1156" w14:paraId="36E4A70E" w14:textId="77777777" w:rsidTr="00A26570">
        <w:tc>
          <w:tcPr>
            <w:tcW w:w="10452" w:type="dxa"/>
            <w:gridSpan w:val="3"/>
          </w:tcPr>
          <w:p w14:paraId="63365841" w14:textId="77777777" w:rsidR="007F2F26" w:rsidRPr="00FC1156" w:rsidRDefault="007F2F26" w:rsidP="00A26570">
            <w:pPr>
              <w:jc w:val="center"/>
            </w:pPr>
            <w:r w:rsidRPr="00FC1156">
              <w:t>1. Показатели качества воды (в отношении горячей воды)</w:t>
            </w:r>
          </w:p>
        </w:tc>
      </w:tr>
      <w:tr w:rsidR="007F2F26" w:rsidRPr="00FC1156" w14:paraId="170E19A3" w14:textId="77777777" w:rsidTr="00A26570">
        <w:tc>
          <w:tcPr>
            <w:tcW w:w="546" w:type="dxa"/>
          </w:tcPr>
          <w:p w14:paraId="7CE99E12" w14:textId="77777777" w:rsidR="007F2F26" w:rsidRPr="00FC1156" w:rsidRDefault="007F2F26" w:rsidP="00A26570">
            <w:r w:rsidRPr="00FC1156">
              <w:t>1.1.</w:t>
            </w:r>
          </w:p>
        </w:tc>
        <w:tc>
          <w:tcPr>
            <w:tcW w:w="8493" w:type="dxa"/>
          </w:tcPr>
          <w:p w14:paraId="29621E83" w14:textId="77777777" w:rsidR="007F2F26" w:rsidRPr="00FC1156" w:rsidRDefault="007F2F26" w:rsidP="00A26570">
            <w:pPr>
              <w:jc w:val="both"/>
            </w:pPr>
            <w:r w:rsidRPr="00FC1156"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343958BD" w14:textId="77777777" w:rsidR="007F2F26" w:rsidRPr="00FC1156" w:rsidRDefault="007F2F26" w:rsidP="00A26570">
            <w:pPr>
              <w:jc w:val="center"/>
            </w:pPr>
            <w:r w:rsidRPr="00FC1156">
              <w:t>0</w:t>
            </w:r>
          </w:p>
        </w:tc>
      </w:tr>
      <w:tr w:rsidR="007F2F26" w:rsidRPr="00FC1156" w14:paraId="32759EB2" w14:textId="77777777" w:rsidTr="00A26570">
        <w:tc>
          <w:tcPr>
            <w:tcW w:w="546" w:type="dxa"/>
          </w:tcPr>
          <w:p w14:paraId="12FA46ED" w14:textId="77777777" w:rsidR="007F2F26" w:rsidRPr="00FC1156" w:rsidRDefault="007F2F26" w:rsidP="00A26570">
            <w:r w:rsidRPr="00FC1156">
              <w:t>1.2.</w:t>
            </w:r>
          </w:p>
        </w:tc>
        <w:tc>
          <w:tcPr>
            <w:tcW w:w="8493" w:type="dxa"/>
          </w:tcPr>
          <w:p w14:paraId="267FBB3B" w14:textId="77777777" w:rsidR="007F2F26" w:rsidRPr="00FC1156" w:rsidRDefault="007F2F26" w:rsidP="00A26570">
            <w:pPr>
              <w:jc w:val="both"/>
            </w:pPr>
            <w:r w:rsidRPr="00FC1156"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0D3E84B4" w14:textId="77777777" w:rsidR="007F2F26" w:rsidRPr="00FC1156" w:rsidRDefault="007F2F26" w:rsidP="00A26570">
            <w:pPr>
              <w:jc w:val="center"/>
            </w:pPr>
            <w:r w:rsidRPr="00FC1156">
              <w:t>0</w:t>
            </w:r>
          </w:p>
        </w:tc>
      </w:tr>
      <w:tr w:rsidR="007F2F26" w:rsidRPr="00FC1156" w14:paraId="299BC25A" w14:textId="77777777" w:rsidTr="00A26570">
        <w:tc>
          <w:tcPr>
            <w:tcW w:w="10452" w:type="dxa"/>
            <w:gridSpan w:val="3"/>
          </w:tcPr>
          <w:p w14:paraId="6555DA12" w14:textId="77777777" w:rsidR="007F2F26" w:rsidRPr="00FC1156" w:rsidRDefault="007F2F26" w:rsidP="00A26570">
            <w:pPr>
              <w:jc w:val="center"/>
            </w:pPr>
            <w:r w:rsidRPr="00FC1156">
              <w:t xml:space="preserve">2. Показатель надежности и бесперебойности </w:t>
            </w:r>
          </w:p>
        </w:tc>
      </w:tr>
      <w:tr w:rsidR="007F2F26" w:rsidRPr="00FC1156" w14:paraId="36005972" w14:textId="77777777" w:rsidTr="00A26570">
        <w:tc>
          <w:tcPr>
            <w:tcW w:w="546" w:type="dxa"/>
          </w:tcPr>
          <w:p w14:paraId="577BBA0E" w14:textId="77777777" w:rsidR="007F2F26" w:rsidRPr="00FC1156" w:rsidRDefault="007F2F26" w:rsidP="00A26570">
            <w:r w:rsidRPr="00FC1156">
              <w:t>2.1.</w:t>
            </w:r>
          </w:p>
        </w:tc>
        <w:tc>
          <w:tcPr>
            <w:tcW w:w="8493" w:type="dxa"/>
          </w:tcPr>
          <w:p w14:paraId="409D903D" w14:textId="77777777" w:rsidR="007F2F26" w:rsidRPr="00FC1156" w:rsidRDefault="007F2F26" w:rsidP="00A26570">
            <w:pPr>
              <w:autoSpaceDE w:val="0"/>
              <w:autoSpaceDN w:val="0"/>
              <w:adjustRightInd w:val="0"/>
              <w:jc w:val="both"/>
            </w:pPr>
            <w:r w:rsidRPr="00FC1156"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3" w:type="dxa"/>
            <w:vAlign w:val="center"/>
          </w:tcPr>
          <w:p w14:paraId="77B3563D" w14:textId="77777777" w:rsidR="007F2F26" w:rsidRPr="00FC1156" w:rsidRDefault="007F2F26" w:rsidP="00A26570">
            <w:pPr>
              <w:jc w:val="center"/>
            </w:pPr>
            <w:r w:rsidRPr="00FC1156">
              <w:t>0</w:t>
            </w:r>
          </w:p>
        </w:tc>
      </w:tr>
      <w:tr w:rsidR="007F2F26" w:rsidRPr="00FC1156" w14:paraId="766837E7" w14:textId="77777777" w:rsidTr="00A26570">
        <w:tc>
          <w:tcPr>
            <w:tcW w:w="10452" w:type="dxa"/>
            <w:gridSpan w:val="3"/>
          </w:tcPr>
          <w:p w14:paraId="46744AD9" w14:textId="77777777" w:rsidR="007F2F26" w:rsidRPr="00FC1156" w:rsidRDefault="007F2F26" w:rsidP="00A26570">
            <w:pPr>
              <w:autoSpaceDE w:val="0"/>
              <w:autoSpaceDN w:val="0"/>
              <w:adjustRightInd w:val="0"/>
              <w:ind w:firstLine="540"/>
              <w:jc w:val="center"/>
            </w:pPr>
            <w:r w:rsidRPr="00FC1156">
              <w:t>3. Показатели энергетической эффективности</w:t>
            </w:r>
          </w:p>
        </w:tc>
      </w:tr>
      <w:tr w:rsidR="007F2F26" w:rsidRPr="00FC1156" w14:paraId="2FBA4AD7" w14:textId="77777777" w:rsidTr="00A26570">
        <w:tc>
          <w:tcPr>
            <w:tcW w:w="546" w:type="dxa"/>
          </w:tcPr>
          <w:p w14:paraId="1735874A" w14:textId="77777777" w:rsidR="007F2F26" w:rsidRPr="00FC1156" w:rsidRDefault="007F2F26" w:rsidP="00A26570">
            <w:r w:rsidRPr="00FC1156">
              <w:t>3.1.</w:t>
            </w:r>
          </w:p>
        </w:tc>
        <w:tc>
          <w:tcPr>
            <w:tcW w:w="8493" w:type="dxa"/>
          </w:tcPr>
          <w:p w14:paraId="7B93EAC9" w14:textId="77777777" w:rsidR="007F2F26" w:rsidRPr="00FC1156" w:rsidRDefault="007F2F26" w:rsidP="00A26570">
            <w:pPr>
              <w:jc w:val="both"/>
            </w:pPr>
            <w:r w:rsidRPr="00FC1156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14:paraId="74A3171B" w14:textId="77777777" w:rsidR="007F2F26" w:rsidRPr="00FC1156" w:rsidRDefault="007F2F26" w:rsidP="00A26570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7F2F26" w:rsidRPr="00FC1156" w14:paraId="07E49A9C" w14:textId="77777777" w:rsidTr="00A26570">
        <w:tc>
          <w:tcPr>
            <w:tcW w:w="546" w:type="dxa"/>
          </w:tcPr>
          <w:p w14:paraId="18D5E077" w14:textId="77777777" w:rsidR="007F2F26" w:rsidRPr="00FC1156" w:rsidRDefault="007F2F26" w:rsidP="00A26570">
            <w:r w:rsidRPr="00FC1156">
              <w:t>3.2.</w:t>
            </w:r>
          </w:p>
        </w:tc>
        <w:tc>
          <w:tcPr>
            <w:tcW w:w="8493" w:type="dxa"/>
          </w:tcPr>
          <w:p w14:paraId="6010FE36" w14:textId="77777777" w:rsidR="007F2F26" w:rsidRPr="00FC1156" w:rsidRDefault="007F2F26" w:rsidP="00A26570">
            <w:pPr>
              <w:jc w:val="both"/>
            </w:pPr>
            <w:r w:rsidRPr="00FC1156"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413" w:type="dxa"/>
            <w:vAlign w:val="center"/>
          </w:tcPr>
          <w:p w14:paraId="06F53450" w14:textId="77777777" w:rsidR="007F2F26" w:rsidRPr="00FC1156" w:rsidRDefault="007F2F26" w:rsidP="00A26570">
            <w:pPr>
              <w:jc w:val="center"/>
            </w:pPr>
            <w:r w:rsidRPr="00FC1156">
              <w:t>0,06</w:t>
            </w:r>
            <w:r>
              <w:t>64</w:t>
            </w:r>
          </w:p>
        </w:tc>
      </w:tr>
    </w:tbl>
    <w:p w14:paraId="680C1954" w14:textId="77777777" w:rsidR="007F2F26" w:rsidRPr="007C136F" w:rsidRDefault="007F2F26" w:rsidP="007F2F26"/>
    <w:p w14:paraId="6D26FE84" w14:textId="77777777" w:rsidR="00E309BA" w:rsidRP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8.</w:t>
      </w:r>
      <w:r w:rsidRPr="00E309BA">
        <w:rPr>
          <w:bCs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BFF0FF5" w14:textId="77777777" w:rsidR="00E309BA" w:rsidRP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9.</w:t>
      </w:r>
      <w:r w:rsidRPr="00E309BA">
        <w:rPr>
          <w:bCs/>
          <w:sz w:val="22"/>
          <w:szCs w:val="22"/>
        </w:rPr>
        <w:tab/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5313E32C" w14:textId="3D2F01F5" w:rsidR="00E309BA" w:rsidRP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10.</w:t>
      </w:r>
      <w:r w:rsidRPr="00E309BA">
        <w:rPr>
          <w:bCs/>
          <w:sz w:val="22"/>
          <w:szCs w:val="22"/>
        </w:rPr>
        <w:tab/>
        <w:t>Тарифы, установленные в п. 1-4, долгосрочные параметры, установленные в п. 5, действуют с 01.01.2024 по 31.12.2026 года.</w:t>
      </w:r>
    </w:p>
    <w:p w14:paraId="3CFEFF87" w14:textId="51E323C8" w:rsidR="00E309BA" w:rsidRP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11.</w:t>
      </w:r>
      <w:r w:rsidRPr="00E309BA">
        <w:rPr>
          <w:bCs/>
          <w:sz w:val="22"/>
          <w:szCs w:val="22"/>
        </w:rPr>
        <w:tab/>
        <w:t>Тарифы, установленные в п. 6, производственная программа, установленная в п. 7, действуют с 01.01.2024 по 31.12.2024 года.</w:t>
      </w:r>
    </w:p>
    <w:p w14:paraId="1D9DB124" w14:textId="77777777" w:rsidR="00E309BA" w:rsidRPr="00E309BA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12.</w:t>
      </w:r>
      <w:r w:rsidRPr="00E309BA">
        <w:rPr>
          <w:bCs/>
          <w:sz w:val="22"/>
          <w:szCs w:val="22"/>
        </w:rPr>
        <w:tab/>
        <w:t>С 01.01.2024 признать утратившим силу постановление Департамента энергетики и тарифов Ивановской области от 27.10.2023 № 41-т/3.</w:t>
      </w:r>
    </w:p>
    <w:p w14:paraId="16637E55" w14:textId="0DE51608" w:rsidR="00C16B16" w:rsidRPr="00C16B16" w:rsidRDefault="00E309BA" w:rsidP="007F2F26">
      <w:pPr>
        <w:tabs>
          <w:tab w:val="left" w:pos="1134"/>
        </w:tabs>
        <w:ind w:firstLine="709"/>
        <w:jc w:val="both"/>
        <w:rPr>
          <w:bCs/>
          <w:sz w:val="22"/>
          <w:szCs w:val="22"/>
        </w:rPr>
      </w:pPr>
      <w:r w:rsidRPr="00E309BA">
        <w:rPr>
          <w:bCs/>
          <w:sz w:val="22"/>
          <w:szCs w:val="22"/>
        </w:rPr>
        <w:t>13.</w:t>
      </w:r>
      <w:r w:rsidRPr="00E309BA">
        <w:rPr>
          <w:bCs/>
          <w:sz w:val="22"/>
          <w:szCs w:val="22"/>
        </w:rPr>
        <w:tab/>
      </w:r>
      <w:r w:rsidR="007F2F26">
        <w:rPr>
          <w:bCs/>
          <w:sz w:val="22"/>
          <w:szCs w:val="22"/>
        </w:rPr>
        <w:t>П</w:t>
      </w:r>
      <w:r w:rsidRPr="00E309BA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0D0A035F" w14:textId="77777777" w:rsidR="006A367B" w:rsidRPr="006A367B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73DDC5" w14:textId="77777777" w:rsidR="007F19F3" w:rsidRPr="005058E8" w:rsidRDefault="007F19F3" w:rsidP="007F19F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058E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62FCD" w:rsidRPr="005058E8" w14:paraId="71FC73C5" w14:textId="77777777" w:rsidTr="009577E0">
        <w:tc>
          <w:tcPr>
            <w:tcW w:w="959" w:type="dxa"/>
          </w:tcPr>
          <w:p w14:paraId="450F9BE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2DC650E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1D7AC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Результаты голосования</w:t>
            </w:r>
          </w:p>
        </w:tc>
      </w:tr>
      <w:tr w:rsidR="00262FCD" w:rsidRPr="005058E8" w14:paraId="20C4BFDE" w14:textId="77777777" w:rsidTr="009577E0">
        <w:tc>
          <w:tcPr>
            <w:tcW w:w="959" w:type="dxa"/>
          </w:tcPr>
          <w:p w14:paraId="7CF23BFB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3F41048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217CFC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6EB2206C" w14:textId="77777777" w:rsidTr="009577E0">
        <w:tc>
          <w:tcPr>
            <w:tcW w:w="959" w:type="dxa"/>
          </w:tcPr>
          <w:p w14:paraId="370165E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BAF99AC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AA74942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1F4335DA" w14:textId="77777777" w:rsidTr="009577E0">
        <w:tc>
          <w:tcPr>
            <w:tcW w:w="959" w:type="dxa"/>
          </w:tcPr>
          <w:p w14:paraId="4292B8F5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1CE743C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4DE47C" w14:textId="5DD5BF8B" w:rsidR="007F19F3" w:rsidRPr="005058E8" w:rsidRDefault="002464AC" w:rsidP="0095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2FCD" w:rsidRPr="005058E8" w14:paraId="4AB7BCC3" w14:textId="77777777" w:rsidTr="009577E0">
        <w:tc>
          <w:tcPr>
            <w:tcW w:w="959" w:type="dxa"/>
          </w:tcPr>
          <w:p w14:paraId="7075A6A3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C86AF20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5F95ED5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559546A3" w14:textId="77777777" w:rsidTr="009577E0">
        <w:tc>
          <w:tcPr>
            <w:tcW w:w="959" w:type="dxa"/>
          </w:tcPr>
          <w:p w14:paraId="05D1653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D241FA2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DDE55F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2AF4B832" w14:textId="77777777" w:rsidTr="009577E0">
        <w:tc>
          <w:tcPr>
            <w:tcW w:w="959" w:type="dxa"/>
          </w:tcPr>
          <w:p w14:paraId="5AC3CDEE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4C000D3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4EC5E90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4E319C06" w14:textId="77777777" w:rsidTr="009577E0">
        <w:tc>
          <w:tcPr>
            <w:tcW w:w="959" w:type="dxa"/>
          </w:tcPr>
          <w:p w14:paraId="094B0FA3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FA39FE8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3A49E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</w:tbl>
    <w:p w14:paraId="603B771B" w14:textId="4391888A" w:rsidR="007F19F3" w:rsidRPr="001A5B72" w:rsidRDefault="007F19F3" w:rsidP="007F19F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1A5B72">
        <w:rPr>
          <w:sz w:val="22"/>
          <w:szCs w:val="22"/>
        </w:rPr>
        <w:t xml:space="preserve">Итого: за – </w:t>
      </w:r>
      <w:r w:rsidR="002464AC">
        <w:rPr>
          <w:sz w:val="22"/>
          <w:szCs w:val="22"/>
        </w:rPr>
        <w:t>6</w:t>
      </w:r>
      <w:r w:rsidRPr="001A5B72">
        <w:rPr>
          <w:sz w:val="22"/>
          <w:szCs w:val="22"/>
        </w:rPr>
        <w:t xml:space="preserve">, против – 0, воздержался – 0, отсутствуют – </w:t>
      </w:r>
      <w:r w:rsidR="002464AC">
        <w:rPr>
          <w:sz w:val="22"/>
          <w:szCs w:val="22"/>
        </w:rPr>
        <w:t>1</w:t>
      </w:r>
      <w:r w:rsidRPr="001A5B72">
        <w:rPr>
          <w:sz w:val="22"/>
          <w:szCs w:val="22"/>
        </w:rPr>
        <w:t>.</w:t>
      </w:r>
    </w:p>
    <w:p w14:paraId="64553A59" w14:textId="77777777" w:rsidR="007F19F3" w:rsidRPr="001A5B72" w:rsidRDefault="007F19F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66AA6204" w14:textId="3859BBB9" w:rsidR="001A5B72" w:rsidRPr="001A5B72" w:rsidRDefault="007F19F3" w:rsidP="00402D62">
      <w:pPr>
        <w:pStyle w:val="a4"/>
        <w:numPr>
          <w:ilvl w:val="0"/>
          <w:numId w:val="1"/>
        </w:numPr>
        <w:ind w:left="0" w:firstLine="709"/>
        <w:jc w:val="both"/>
        <w:rPr>
          <w:b/>
          <w:sz w:val="22"/>
          <w:szCs w:val="22"/>
        </w:rPr>
      </w:pPr>
      <w:r w:rsidRPr="001A5B72">
        <w:rPr>
          <w:b/>
          <w:sz w:val="22"/>
          <w:szCs w:val="22"/>
        </w:rPr>
        <w:t xml:space="preserve">СЛУШАЛИ: </w:t>
      </w:r>
      <w:r w:rsidR="008E3B7D" w:rsidRPr="008E3B7D">
        <w:rPr>
          <w:b/>
          <w:bCs/>
          <w:sz w:val="22"/>
          <w:szCs w:val="22"/>
        </w:rPr>
        <w:t>Об установлении тарифов на теплов</w:t>
      </w:r>
      <w:r w:rsidR="008E3B7D">
        <w:rPr>
          <w:b/>
          <w:bCs/>
          <w:sz w:val="22"/>
          <w:szCs w:val="22"/>
        </w:rPr>
        <w:t>ую энергию для потребителей ООО </w:t>
      </w:r>
      <w:r w:rsidR="008E3B7D" w:rsidRPr="008E3B7D">
        <w:rPr>
          <w:b/>
          <w:bCs/>
          <w:sz w:val="22"/>
          <w:szCs w:val="22"/>
        </w:rPr>
        <w:t xml:space="preserve">«Теплоснаб-Родники» </w:t>
      </w:r>
      <w:r w:rsidR="008E3B7D" w:rsidRPr="001F3E17">
        <w:rPr>
          <w:b/>
          <w:bCs/>
          <w:sz w:val="22"/>
          <w:szCs w:val="22"/>
        </w:rPr>
        <w:t>(</w:t>
      </w:r>
      <w:r w:rsidR="001F3E17" w:rsidRPr="001F3E17">
        <w:rPr>
          <w:b/>
          <w:bCs/>
          <w:sz w:val="22"/>
          <w:szCs w:val="22"/>
        </w:rPr>
        <w:t>г. Родники, ул. Советская, д. 4</w:t>
      </w:r>
      <w:r w:rsidR="008E3B7D" w:rsidRPr="001F3E17">
        <w:rPr>
          <w:b/>
          <w:bCs/>
          <w:sz w:val="22"/>
          <w:szCs w:val="22"/>
        </w:rPr>
        <w:t>)</w:t>
      </w:r>
      <w:r w:rsidR="008E3B7D" w:rsidRPr="008E3B7D">
        <w:rPr>
          <w:b/>
          <w:bCs/>
          <w:sz w:val="22"/>
          <w:szCs w:val="22"/>
        </w:rPr>
        <w:t xml:space="preserve"> на 2024 год</w:t>
      </w:r>
      <w:r w:rsidR="008E3B7D" w:rsidRPr="001A5B72">
        <w:rPr>
          <w:b/>
          <w:sz w:val="22"/>
          <w:szCs w:val="22"/>
        </w:rPr>
        <w:t xml:space="preserve"> </w:t>
      </w:r>
      <w:r w:rsidR="001A5B72" w:rsidRPr="001A5B72">
        <w:rPr>
          <w:b/>
          <w:sz w:val="22"/>
          <w:szCs w:val="22"/>
        </w:rPr>
        <w:t>(</w:t>
      </w:r>
      <w:r w:rsidR="008E3B7D">
        <w:rPr>
          <w:b/>
          <w:sz w:val="22"/>
          <w:szCs w:val="22"/>
        </w:rPr>
        <w:t>Е.В. Фаттахова</w:t>
      </w:r>
      <w:r w:rsidR="001A5B72" w:rsidRPr="001A5B72">
        <w:rPr>
          <w:b/>
          <w:sz w:val="22"/>
          <w:szCs w:val="22"/>
        </w:rPr>
        <w:t>)</w:t>
      </w:r>
    </w:p>
    <w:p w14:paraId="4FF79DB5" w14:textId="14D897BF" w:rsidR="00310717" w:rsidRPr="00C96FF8" w:rsidRDefault="00310717" w:rsidP="00077240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96FF8">
        <w:rPr>
          <w:bCs/>
          <w:sz w:val="22"/>
          <w:szCs w:val="22"/>
        </w:rPr>
        <w:t xml:space="preserve">В связи с обращением </w:t>
      </w:r>
      <w:r w:rsidR="00C96FF8" w:rsidRPr="00C96FF8">
        <w:rPr>
          <w:bCs/>
          <w:sz w:val="22"/>
          <w:szCs w:val="22"/>
        </w:rPr>
        <w:t>ООО «Теплоснаб-Родники» (</w:t>
      </w:r>
      <w:r w:rsidR="001F3E17">
        <w:rPr>
          <w:bCs/>
          <w:sz w:val="22"/>
          <w:szCs w:val="22"/>
        </w:rPr>
        <w:t xml:space="preserve">г. Родники, </w:t>
      </w:r>
      <w:r w:rsidR="00C96FF8" w:rsidRPr="00C96FF8">
        <w:rPr>
          <w:bCs/>
          <w:sz w:val="22"/>
          <w:szCs w:val="22"/>
        </w:rPr>
        <w:t>ул. Советская,</w:t>
      </w:r>
      <w:r w:rsidR="001F3E17">
        <w:rPr>
          <w:bCs/>
          <w:sz w:val="22"/>
          <w:szCs w:val="22"/>
        </w:rPr>
        <w:t xml:space="preserve"> д. 4</w:t>
      </w:r>
      <w:r w:rsidR="00C96FF8" w:rsidRPr="00C96FF8">
        <w:rPr>
          <w:bCs/>
          <w:sz w:val="22"/>
          <w:szCs w:val="22"/>
        </w:rPr>
        <w:t>)</w:t>
      </w:r>
      <w:r w:rsidR="00C96FF8" w:rsidRPr="00C96FF8">
        <w:rPr>
          <w:b/>
          <w:bCs/>
          <w:sz w:val="22"/>
          <w:szCs w:val="22"/>
        </w:rPr>
        <w:t xml:space="preserve"> </w:t>
      </w:r>
      <w:r w:rsidRPr="00C96FF8">
        <w:rPr>
          <w:bCs/>
          <w:sz w:val="22"/>
          <w:szCs w:val="22"/>
        </w:rPr>
        <w:t xml:space="preserve">приказом Департамента энергетики и тарифов Ивановской области </w:t>
      </w:r>
      <w:r w:rsidR="00C96FF8" w:rsidRPr="00C96FF8">
        <w:rPr>
          <w:bCs/>
          <w:sz w:val="22"/>
          <w:szCs w:val="22"/>
        </w:rPr>
        <w:t>от 08.12</w:t>
      </w:r>
      <w:r w:rsidR="00392758" w:rsidRPr="00C96FF8">
        <w:rPr>
          <w:bCs/>
          <w:sz w:val="22"/>
          <w:szCs w:val="22"/>
        </w:rPr>
        <w:t>.2023 № 1</w:t>
      </w:r>
      <w:r w:rsidR="00C96FF8" w:rsidRPr="00C96FF8">
        <w:rPr>
          <w:bCs/>
          <w:sz w:val="22"/>
          <w:szCs w:val="22"/>
        </w:rPr>
        <w:t>01/1</w:t>
      </w:r>
      <w:r w:rsidR="00342620" w:rsidRPr="00C96FF8">
        <w:rPr>
          <w:bCs/>
          <w:sz w:val="22"/>
          <w:szCs w:val="22"/>
        </w:rPr>
        <w:t>-у</w:t>
      </w:r>
      <w:r w:rsidRPr="00C96FF8">
        <w:rPr>
          <w:bCs/>
          <w:sz w:val="22"/>
          <w:szCs w:val="22"/>
        </w:rPr>
        <w:t xml:space="preserve"> открыт</w:t>
      </w:r>
      <w:r w:rsidR="00C96FF8" w:rsidRPr="00C96FF8">
        <w:rPr>
          <w:bCs/>
          <w:sz w:val="22"/>
          <w:szCs w:val="22"/>
        </w:rPr>
        <w:t>о</w:t>
      </w:r>
      <w:r w:rsidRPr="00C96FF8">
        <w:rPr>
          <w:bCs/>
          <w:sz w:val="22"/>
          <w:szCs w:val="22"/>
        </w:rPr>
        <w:t xml:space="preserve"> тарифн</w:t>
      </w:r>
      <w:r w:rsidR="00C96FF8" w:rsidRPr="00C96FF8">
        <w:rPr>
          <w:bCs/>
          <w:sz w:val="22"/>
          <w:szCs w:val="22"/>
        </w:rPr>
        <w:t>о</w:t>
      </w:r>
      <w:r w:rsidRPr="00C96FF8">
        <w:rPr>
          <w:bCs/>
          <w:sz w:val="22"/>
          <w:szCs w:val="22"/>
        </w:rPr>
        <w:t>е дел</w:t>
      </w:r>
      <w:r w:rsidR="00C96FF8" w:rsidRPr="00C96FF8">
        <w:rPr>
          <w:bCs/>
          <w:sz w:val="22"/>
          <w:szCs w:val="22"/>
        </w:rPr>
        <w:t>о об установлении тарифов для потребителей на 2024 год.</w:t>
      </w:r>
    </w:p>
    <w:p w14:paraId="0E3B1E01" w14:textId="5212A40E" w:rsidR="00C96FF8" w:rsidRPr="003922D2" w:rsidRDefault="00C96FF8" w:rsidP="00C96FF8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3325">
        <w:rPr>
          <w:rFonts w:ascii="Times New Roman" w:hAnsi="Times New Roman"/>
          <w:color w:val="000000"/>
          <w:sz w:val="22"/>
          <w:szCs w:val="22"/>
        </w:rPr>
        <w:lastRenderedPageBreak/>
        <w:t xml:space="preserve">Методом регулирования приказом Департамента энергетики и тарифов Ивановской области от </w:t>
      </w:r>
      <w:r w:rsidRPr="00C96FF8">
        <w:rPr>
          <w:rFonts w:ascii="Times New Roman" w:hAnsi="Times New Roman"/>
          <w:bCs/>
          <w:sz w:val="22"/>
          <w:szCs w:val="22"/>
        </w:rPr>
        <w:t xml:space="preserve">08.12.2023 № 101/1-у </w:t>
      </w:r>
      <w:r w:rsidRPr="00C96FF8">
        <w:rPr>
          <w:rFonts w:ascii="Times New Roman" w:hAnsi="Times New Roman"/>
          <w:color w:val="000000"/>
          <w:sz w:val="22"/>
          <w:szCs w:val="22"/>
        </w:rPr>
        <w:t>определен</w:t>
      </w:r>
      <w:r w:rsidRPr="00DE3325">
        <w:rPr>
          <w:rFonts w:ascii="Times New Roman" w:hAnsi="Times New Roman"/>
          <w:color w:val="000000"/>
          <w:sz w:val="22"/>
          <w:szCs w:val="22"/>
        </w:rPr>
        <w:t xml:space="preserve"> метод </w:t>
      </w:r>
      <w:r>
        <w:rPr>
          <w:rFonts w:ascii="Times New Roman" w:hAnsi="Times New Roman"/>
          <w:color w:val="000000"/>
          <w:sz w:val="22"/>
          <w:szCs w:val="22"/>
        </w:rPr>
        <w:t>экономически обоснованных расходов (затрат)</w:t>
      </w:r>
      <w:r w:rsidRPr="003922D2">
        <w:rPr>
          <w:rFonts w:ascii="Times New Roman" w:hAnsi="Times New Roman"/>
          <w:sz w:val="22"/>
          <w:szCs w:val="22"/>
        </w:rPr>
        <w:t>.</w:t>
      </w:r>
    </w:p>
    <w:p w14:paraId="44F60049" w14:textId="17F2E519" w:rsidR="00C96FF8" w:rsidRDefault="00077240" w:rsidP="00C96FF8">
      <w:pPr>
        <w:pStyle w:val="24"/>
        <w:widowControl/>
        <w:tabs>
          <w:tab w:val="left" w:pos="709"/>
          <w:tab w:val="left" w:pos="993"/>
        </w:tabs>
        <w:ind w:firstLine="0"/>
        <w:rPr>
          <w:color w:val="FF0000"/>
          <w:szCs w:val="24"/>
        </w:rPr>
      </w:pPr>
      <w:r w:rsidRPr="00E53C97">
        <w:rPr>
          <w:color w:val="FF0000"/>
          <w:szCs w:val="24"/>
        </w:rPr>
        <w:tab/>
      </w:r>
      <w:r w:rsidR="00C96FF8" w:rsidRPr="00C96FF8">
        <w:rPr>
          <w:bCs/>
          <w:sz w:val="22"/>
          <w:szCs w:val="22"/>
        </w:rPr>
        <w:t xml:space="preserve">ООО «Теплоснаб-Родники» </w:t>
      </w:r>
      <w:r w:rsidR="001F3E17" w:rsidRPr="00C96FF8">
        <w:rPr>
          <w:bCs/>
          <w:sz w:val="22"/>
          <w:szCs w:val="22"/>
        </w:rPr>
        <w:t>(</w:t>
      </w:r>
      <w:r w:rsidR="001F3E17">
        <w:rPr>
          <w:bCs/>
          <w:sz w:val="22"/>
          <w:szCs w:val="22"/>
        </w:rPr>
        <w:t xml:space="preserve">г. Родники, </w:t>
      </w:r>
      <w:r w:rsidR="001F3E17" w:rsidRPr="00C96FF8">
        <w:rPr>
          <w:bCs/>
          <w:sz w:val="22"/>
          <w:szCs w:val="22"/>
        </w:rPr>
        <w:t>ул. Советская,</w:t>
      </w:r>
      <w:r w:rsidR="001F3E17">
        <w:rPr>
          <w:bCs/>
          <w:sz w:val="22"/>
          <w:szCs w:val="22"/>
        </w:rPr>
        <w:t xml:space="preserve"> д. 4</w:t>
      </w:r>
      <w:r w:rsidR="001F3E17" w:rsidRPr="00C96FF8">
        <w:rPr>
          <w:bCs/>
          <w:sz w:val="22"/>
          <w:szCs w:val="22"/>
        </w:rPr>
        <w:t>)</w:t>
      </w:r>
      <w:r w:rsidR="00C96FF8" w:rsidRPr="00C96FF8">
        <w:rPr>
          <w:b/>
          <w:bCs/>
          <w:sz w:val="22"/>
          <w:szCs w:val="22"/>
        </w:rPr>
        <w:t xml:space="preserve"> </w:t>
      </w:r>
      <w:r w:rsidR="00C96FF8" w:rsidRPr="003922D2">
        <w:rPr>
          <w:bCs/>
          <w:sz w:val="22"/>
          <w:szCs w:val="22"/>
        </w:rPr>
        <w:t>осуществляет регулируемые виды деятельности с использованием имущества, которым владеет по договорам аренды.</w:t>
      </w:r>
    </w:p>
    <w:p w14:paraId="21069F40" w14:textId="3CBBCA49" w:rsidR="00077240" w:rsidRPr="00C96FF8" w:rsidRDefault="00C96FF8" w:rsidP="00C96FF8">
      <w:pPr>
        <w:pStyle w:val="24"/>
        <w:widowControl/>
        <w:tabs>
          <w:tab w:val="left" w:pos="709"/>
          <w:tab w:val="left" w:pos="993"/>
        </w:tabs>
        <w:ind w:firstLine="0"/>
        <w:rPr>
          <w:color w:val="FF0000"/>
          <w:szCs w:val="24"/>
        </w:rPr>
      </w:pPr>
      <w:r>
        <w:rPr>
          <w:color w:val="FF0000"/>
          <w:szCs w:val="24"/>
        </w:rPr>
        <w:tab/>
      </w:r>
      <w:r w:rsidR="00077240" w:rsidRPr="006A367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70C6940C" w14:textId="2990405D" w:rsidR="00E53C97" w:rsidRPr="003922D2" w:rsidRDefault="00E53C97" w:rsidP="00E53C97">
      <w:pPr>
        <w:pStyle w:val="24"/>
        <w:widowControl/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 xml:space="preserve">Тариф на тепловую энергию для населения на </w:t>
      </w:r>
      <w:r w:rsidR="00C96FF8">
        <w:rPr>
          <w:bCs/>
          <w:sz w:val="22"/>
          <w:szCs w:val="22"/>
        </w:rPr>
        <w:t xml:space="preserve">2024 </w:t>
      </w:r>
      <w:r w:rsidRPr="003922D2">
        <w:rPr>
          <w:bCs/>
          <w:sz w:val="22"/>
          <w:szCs w:val="22"/>
        </w:rPr>
        <w:t xml:space="preserve">год предлагается установить на экономически обоснованном уровне в пределах установленных ограничений роста платы граждан за коммунальные услуги. </w:t>
      </w:r>
    </w:p>
    <w:p w14:paraId="0D2A737E" w14:textId="77777777" w:rsidR="00E53C97" w:rsidRPr="003922D2" w:rsidRDefault="00E53C97" w:rsidP="00E53C97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 на 2026 и последующие годы.</w:t>
      </w:r>
    </w:p>
    <w:p w14:paraId="309D683D" w14:textId="77777777" w:rsidR="00E53C97" w:rsidRPr="003922D2" w:rsidRDefault="00E53C97" w:rsidP="00E53C97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1B4C03B" w14:textId="77777777" w:rsidR="00E53C97" w:rsidRPr="003922D2" w:rsidRDefault="00E53C97" w:rsidP="00E53C97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>По результатам экспертизы материалов тарифного дел подготовлены соответствующие экспертные заключения.</w:t>
      </w:r>
    </w:p>
    <w:p w14:paraId="3E465B22" w14:textId="6D70F9FC" w:rsidR="00077240" w:rsidRDefault="00E53C97" w:rsidP="00E53C97">
      <w:pPr>
        <w:pStyle w:val="24"/>
        <w:widowControl/>
        <w:ind w:firstLine="709"/>
        <w:rPr>
          <w:bCs/>
          <w:sz w:val="22"/>
          <w:szCs w:val="22"/>
        </w:rPr>
      </w:pPr>
      <w:r w:rsidRPr="003922D2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</w:t>
      </w:r>
      <w:r>
        <w:rPr>
          <w:bCs/>
          <w:sz w:val="22"/>
          <w:szCs w:val="22"/>
        </w:rPr>
        <w:t>2</w:t>
      </w:r>
      <w:r w:rsidRPr="003922D2">
        <w:rPr>
          <w:bCs/>
          <w:sz w:val="22"/>
          <w:szCs w:val="22"/>
        </w:rPr>
        <w:t>/1</w:t>
      </w:r>
    </w:p>
    <w:p w14:paraId="047D924F" w14:textId="6418A856" w:rsidR="00342620" w:rsidRPr="001F3E17" w:rsidRDefault="00E53C9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1F3E17">
        <w:rPr>
          <w:bCs/>
          <w:sz w:val="22"/>
          <w:szCs w:val="22"/>
        </w:rPr>
        <w:t xml:space="preserve">Уровни тарифов согласованы предприятием письмом от </w:t>
      </w:r>
      <w:r w:rsidR="001F3E17" w:rsidRPr="001F3E17">
        <w:rPr>
          <w:bCs/>
          <w:sz w:val="22"/>
          <w:szCs w:val="22"/>
        </w:rPr>
        <w:t>27.12.2023 № 95</w:t>
      </w:r>
      <w:r w:rsidRPr="001F3E17">
        <w:rPr>
          <w:bCs/>
          <w:sz w:val="22"/>
          <w:szCs w:val="22"/>
        </w:rPr>
        <w:t>.</w:t>
      </w:r>
    </w:p>
    <w:p w14:paraId="1088C6AC" w14:textId="77777777" w:rsidR="00D274EB" w:rsidRPr="00262FCD" w:rsidRDefault="00D274EB" w:rsidP="00310717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12EB724E" w14:textId="77777777" w:rsidR="00310717" w:rsidRPr="00892844" w:rsidRDefault="00310717" w:rsidP="00310717">
      <w:pPr>
        <w:pStyle w:val="24"/>
        <w:widowControl/>
        <w:ind w:firstLine="709"/>
        <w:rPr>
          <w:b/>
          <w:sz w:val="22"/>
          <w:szCs w:val="22"/>
        </w:rPr>
      </w:pPr>
      <w:r w:rsidRPr="00892844">
        <w:rPr>
          <w:b/>
          <w:sz w:val="22"/>
          <w:szCs w:val="22"/>
        </w:rPr>
        <w:t>РЕШИЛИ:</w:t>
      </w:r>
    </w:p>
    <w:p w14:paraId="31C43D7D" w14:textId="65A4847A" w:rsidR="00CB0B77" w:rsidRDefault="005405E6" w:rsidP="005405E6">
      <w:pPr>
        <w:tabs>
          <w:tab w:val="left" w:pos="709"/>
        </w:tabs>
        <w:spacing w:line="276" w:lineRule="auto"/>
        <w:jc w:val="both"/>
        <w:rPr>
          <w:bCs/>
          <w:sz w:val="22"/>
          <w:szCs w:val="22"/>
        </w:rPr>
      </w:pPr>
      <w:bookmarkStart w:id="1" w:name="_Hlk125562577"/>
      <w:r>
        <w:rPr>
          <w:bCs/>
          <w:sz w:val="22"/>
          <w:szCs w:val="22"/>
        </w:rPr>
        <w:tab/>
      </w:r>
      <w:r w:rsidRPr="005405E6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737B1EC6" w14:textId="2D093D14" w:rsidR="005405E6" w:rsidRDefault="005405E6" w:rsidP="005405E6">
      <w:pPr>
        <w:tabs>
          <w:tab w:val="left" w:pos="709"/>
        </w:tabs>
        <w:spacing w:line="276" w:lineRule="auto"/>
        <w:jc w:val="both"/>
        <w:rPr>
          <w:sz w:val="22"/>
          <w:szCs w:val="22"/>
          <w:lang w:eastAsia="x-none"/>
        </w:rPr>
      </w:pPr>
      <w:r w:rsidRPr="005405E6">
        <w:rPr>
          <w:sz w:val="22"/>
          <w:szCs w:val="22"/>
          <w:lang w:eastAsia="x-none"/>
        </w:rPr>
        <w:tab/>
        <w:t>1.</w:t>
      </w:r>
      <w:r w:rsidRPr="005405E6">
        <w:rPr>
          <w:sz w:val="22"/>
          <w:szCs w:val="22"/>
          <w:lang w:eastAsia="x-none"/>
        </w:rPr>
        <w:tab/>
      </w:r>
      <w:r w:rsidRPr="005405E6">
        <w:rPr>
          <w:sz w:val="22"/>
          <w:szCs w:val="22"/>
          <w:lang w:val="x-none" w:eastAsia="x-none"/>
        </w:rPr>
        <w:t xml:space="preserve">Установить тарифы на тепловую энергию для потребителей </w:t>
      </w:r>
      <w:r w:rsidR="00DA2AA2" w:rsidRPr="00DA2AA2">
        <w:rPr>
          <w:bCs/>
          <w:sz w:val="22"/>
          <w:szCs w:val="22"/>
        </w:rPr>
        <w:t>ООО </w:t>
      </w:r>
      <w:r w:rsidR="006B4BC6">
        <w:rPr>
          <w:bCs/>
          <w:sz w:val="22"/>
          <w:szCs w:val="22"/>
        </w:rPr>
        <w:t xml:space="preserve">«Теплоснаб-Родники» </w:t>
      </w:r>
      <w:r w:rsidR="001F3E17">
        <w:rPr>
          <w:bCs/>
          <w:sz w:val="22"/>
          <w:szCs w:val="22"/>
        </w:rPr>
        <w:t xml:space="preserve">(г. Родники, </w:t>
      </w:r>
      <w:r w:rsidR="001F3E17" w:rsidRPr="00C96FF8">
        <w:rPr>
          <w:bCs/>
          <w:sz w:val="22"/>
          <w:szCs w:val="22"/>
        </w:rPr>
        <w:t>ул. Советская,</w:t>
      </w:r>
      <w:r w:rsidR="001F3E17">
        <w:rPr>
          <w:bCs/>
          <w:sz w:val="22"/>
          <w:szCs w:val="22"/>
        </w:rPr>
        <w:t xml:space="preserve"> д. 4</w:t>
      </w:r>
      <w:r w:rsidR="00DA2AA2" w:rsidRPr="00DA2AA2">
        <w:rPr>
          <w:bCs/>
          <w:sz w:val="22"/>
          <w:szCs w:val="22"/>
        </w:rPr>
        <w:t xml:space="preserve">) </w:t>
      </w:r>
      <w:r w:rsidRPr="00DA2AA2">
        <w:rPr>
          <w:sz w:val="22"/>
          <w:szCs w:val="22"/>
          <w:lang w:val="x-none" w:eastAsia="x-none"/>
        </w:rPr>
        <w:t>на</w:t>
      </w:r>
      <w:r w:rsidRPr="005405E6">
        <w:rPr>
          <w:sz w:val="22"/>
          <w:szCs w:val="22"/>
          <w:lang w:val="x-none" w:eastAsia="x-none"/>
        </w:rPr>
        <w:t xml:space="preserve"> 2024</w:t>
      </w:r>
      <w:r w:rsidRPr="005405E6">
        <w:rPr>
          <w:sz w:val="22"/>
          <w:szCs w:val="22"/>
          <w:lang w:eastAsia="x-none"/>
        </w:rPr>
        <w:t xml:space="preserve"> </w:t>
      </w:r>
      <w:r w:rsidRPr="005405E6">
        <w:rPr>
          <w:sz w:val="22"/>
          <w:szCs w:val="22"/>
          <w:lang w:val="x-none" w:eastAsia="x-none"/>
        </w:rPr>
        <w:t>год</w:t>
      </w:r>
      <w:r w:rsidRPr="005405E6">
        <w:rPr>
          <w:sz w:val="22"/>
          <w:szCs w:val="22"/>
          <w:lang w:eastAsia="x-none"/>
        </w:rPr>
        <w:t>:</w:t>
      </w:r>
    </w:p>
    <w:p w14:paraId="309BB22E" w14:textId="77777777" w:rsidR="005405E6" w:rsidRDefault="005405E6" w:rsidP="005405E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bookmarkEnd w:id="1"/>
    <w:p w14:paraId="20D3BFB8" w14:textId="77777777" w:rsidR="001F3E17" w:rsidRDefault="001F3E17" w:rsidP="001F3E1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298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2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2371"/>
        <w:gridCol w:w="1869"/>
        <w:gridCol w:w="581"/>
        <w:gridCol w:w="1151"/>
        <w:gridCol w:w="1151"/>
        <w:gridCol w:w="720"/>
        <w:gridCol w:w="579"/>
        <w:gridCol w:w="579"/>
        <w:gridCol w:w="589"/>
        <w:gridCol w:w="699"/>
      </w:tblGrid>
      <w:tr w:rsidR="001F3E17" w:rsidRPr="00852989" w14:paraId="3EC171BC" w14:textId="77777777" w:rsidTr="00410A75">
        <w:trPr>
          <w:trHeight w:val="547"/>
        </w:trPr>
        <w:tc>
          <w:tcPr>
            <w:tcW w:w="200" w:type="pct"/>
            <w:vMerge w:val="restart"/>
            <w:shd w:val="clear" w:color="auto" w:fill="auto"/>
            <w:vAlign w:val="center"/>
            <w:hideMark/>
          </w:tcPr>
          <w:p w14:paraId="0F42B660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  <w:hideMark/>
          </w:tcPr>
          <w:p w14:paraId="0D5B4BBB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872" w:type="pct"/>
            <w:vMerge w:val="restart"/>
            <w:shd w:val="clear" w:color="auto" w:fill="auto"/>
            <w:noWrap/>
            <w:vAlign w:val="center"/>
            <w:hideMark/>
          </w:tcPr>
          <w:p w14:paraId="02750A06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Вид тарифа</w:t>
            </w:r>
          </w:p>
        </w:tc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14:paraId="5F0E276C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Год</w:t>
            </w:r>
          </w:p>
        </w:tc>
        <w:tc>
          <w:tcPr>
            <w:tcW w:w="1074" w:type="pct"/>
            <w:gridSpan w:val="2"/>
            <w:shd w:val="clear" w:color="auto" w:fill="auto"/>
            <w:noWrap/>
            <w:vAlign w:val="center"/>
            <w:hideMark/>
          </w:tcPr>
          <w:p w14:paraId="3D0B50A0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Вода</w:t>
            </w:r>
          </w:p>
        </w:tc>
        <w:tc>
          <w:tcPr>
            <w:tcW w:w="1151" w:type="pct"/>
            <w:gridSpan w:val="4"/>
            <w:shd w:val="clear" w:color="auto" w:fill="auto"/>
            <w:noWrap/>
            <w:vAlign w:val="center"/>
            <w:hideMark/>
          </w:tcPr>
          <w:p w14:paraId="7620D44D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14:paraId="647D876E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1F3E17" w:rsidRPr="00852989" w14:paraId="239C7539" w14:textId="77777777" w:rsidTr="00410A75">
        <w:trPr>
          <w:trHeight w:val="540"/>
        </w:trPr>
        <w:tc>
          <w:tcPr>
            <w:tcW w:w="200" w:type="pct"/>
            <w:vMerge/>
            <w:shd w:val="clear" w:color="auto" w:fill="auto"/>
            <w:noWrap/>
            <w:vAlign w:val="center"/>
            <w:hideMark/>
          </w:tcPr>
          <w:p w14:paraId="1E350CEB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  <w:hideMark/>
          </w:tcPr>
          <w:p w14:paraId="743D621E" w14:textId="77777777" w:rsidR="001F3E17" w:rsidRPr="00852989" w:rsidRDefault="001F3E17" w:rsidP="00410A7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noWrap/>
            <w:vAlign w:val="center"/>
            <w:hideMark/>
          </w:tcPr>
          <w:p w14:paraId="71EA156D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vMerge/>
            <w:shd w:val="clear" w:color="auto" w:fill="auto"/>
            <w:noWrap/>
            <w:vAlign w:val="center"/>
            <w:hideMark/>
          </w:tcPr>
          <w:p w14:paraId="3C44F29B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C1BEF76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6BE62D4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0E21424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1,2 до 2,5 кг/</w:t>
            </w:r>
          </w:p>
          <w:p w14:paraId="1C2B7A9A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0" w:type="pct"/>
            <w:vAlign w:val="center"/>
          </w:tcPr>
          <w:p w14:paraId="4B0B3166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2,5 до 7,0 кг/см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0" w:type="pct"/>
            <w:vAlign w:val="center"/>
          </w:tcPr>
          <w:p w14:paraId="0772EC87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7,0 до 13,0 кг/</w:t>
            </w:r>
          </w:p>
          <w:p w14:paraId="5EE89BAE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5" w:type="pct"/>
            <w:vAlign w:val="center"/>
          </w:tcPr>
          <w:p w14:paraId="1CA95B99" w14:textId="77777777" w:rsidR="001F3E17" w:rsidRPr="00852989" w:rsidRDefault="001F3E17" w:rsidP="00410A75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Свыше 13,0 кг/</w:t>
            </w:r>
          </w:p>
          <w:p w14:paraId="282BB9F3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14:paraId="3089700D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F3E17" w:rsidRPr="00852989" w14:paraId="5C2420A6" w14:textId="77777777" w:rsidTr="00410A75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449BEA9" w14:textId="77777777" w:rsidR="001F3E17" w:rsidRPr="00852989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F3E17" w:rsidRPr="00852989" w14:paraId="09481F38" w14:textId="77777777" w:rsidTr="00410A75">
        <w:trPr>
          <w:trHeight w:val="283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7105768A" w14:textId="77777777" w:rsidR="001F3E17" w:rsidRPr="00852989" w:rsidRDefault="001F3E17" w:rsidP="00410A75">
            <w:pPr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1.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14:paraId="79A17E18" w14:textId="77777777" w:rsidR="001F3E17" w:rsidRPr="00FD4EB7" w:rsidRDefault="001F3E17" w:rsidP="00410A75">
            <w:pPr>
              <w:widowControl/>
              <w:rPr>
                <w:sz w:val="22"/>
                <w:szCs w:val="22"/>
              </w:rPr>
            </w:pPr>
            <w:r w:rsidRPr="00FD4EB7">
              <w:rPr>
                <w:sz w:val="21"/>
                <w:szCs w:val="21"/>
              </w:rPr>
              <w:t>ООО «Теплоснаб-Родники» (от котельной г. Родники, ул. Советская, д. 4)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436F6990" w14:textId="77777777" w:rsidR="001F3E17" w:rsidRPr="00A84C7D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A84C7D">
              <w:rPr>
                <w:sz w:val="21"/>
                <w:szCs w:val="21"/>
              </w:rPr>
              <w:t>Одноставочный, руб./Гкал, без НДС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431831E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2024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1A7FEC85" w14:textId="77777777" w:rsidR="001F3E17" w:rsidRPr="007A4AA3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7A4AA3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 510,61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8A15CE5" w14:textId="77777777" w:rsidR="001F3E17" w:rsidRPr="007A4AA3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7A4AA3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 854,56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217587F9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14:paraId="34EE1993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14:paraId="2D57E622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14:paraId="20247601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1CFBB10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</w:tr>
      <w:tr w:rsidR="001F3E17" w:rsidRPr="00852989" w14:paraId="3EE24385" w14:textId="77777777" w:rsidTr="00410A75">
        <w:trPr>
          <w:trHeight w:val="283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2EE268FB" w14:textId="77777777" w:rsidR="001F3E17" w:rsidRPr="00FD4EB7" w:rsidRDefault="001F3E17" w:rsidP="00410A75">
            <w:pPr>
              <w:widowControl/>
              <w:jc w:val="center"/>
              <w:rPr>
                <w:sz w:val="22"/>
                <w:szCs w:val="22"/>
              </w:rPr>
            </w:pPr>
            <w:r w:rsidRPr="00FD4EB7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1F3E17" w:rsidRPr="00852989" w14:paraId="4300D65A" w14:textId="77777777" w:rsidTr="00410A75">
        <w:trPr>
          <w:trHeight w:val="283"/>
        </w:trPr>
        <w:tc>
          <w:tcPr>
            <w:tcW w:w="200" w:type="pct"/>
            <w:shd w:val="clear" w:color="auto" w:fill="auto"/>
            <w:noWrap/>
            <w:vAlign w:val="center"/>
          </w:tcPr>
          <w:p w14:paraId="09451318" w14:textId="77777777" w:rsidR="001F3E17" w:rsidRPr="00852989" w:rsidRDefault="001F3E17" w:rsidP="00410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52989">
              <w:rPr>
                <w:sz w:val="21"/>
                <w:szCs w:val="21"/>
              </w:rPr>
              <w:t>.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9FA4806" w14:textId="77777777" w:rsidR="001F3E17" w:rsidRPr="00FD4EB7" w:rsidRDefault="001F3E17" w:rsidP="00410A75">
            <w:pPr>
              <w:widowControl/>
              <w:rPr>
                <w:sz w:val="22"/>
                <w:szCs w:val="22"/>
              </w:rPr>
            </w:pPr>
            <w:r w:rsidRPr="00FD4EB7">
              <w:rPr>
                <w:sz w:val="21"/>
                <w:szCs w:val="21"/>
              </w:rPr>
              <w:t>ООО «Теплоснаб-Родники» (от котельной г. Родники, ул. Советская, д. 4)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1A9F2E2" w14:textId="77777777" w:rsidR="001F3E17" w:rsidRPr="00A84C7D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A84C7D">
              <w:rPr>
                <w:sz w:val="21"/>
                <w:szCs w:val="21"/>
              </w:rPr>
              <w:t xml:space="preserve">Одноставочный, руб./Гкал 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FD7A6BC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2024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0F2463F3" w14:textId="77777777" w:rsidR="001F3E17" w:rsidRPr="007A4AA3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3 012,73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1B1941" w14:textId="77777777" w:rsidR="001F3E17" w:rsidRPr="00574A3A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574A3A">
              <w:rPr>
                <w:sz w:val="21"/>
                <w:szCs w:val="21"/>
              </w:rPr>
              <w:t>3 425,47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64A47A06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14:paraId="14EA26DB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14:paraId="75E14E89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14:paraId="5F8ED9B3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64292A7" w14:textId="77777777" w:rsidR="001F3E17" w:rsidRPr="00E66BB0" w:rsidRDefault="001F3E17" w:rsidP="00410A75">
            <w:pPr>
              <w:widowControl/>
              <w:jc w:val="center"/>
              <w:rPr>
                <w:sz w:val="21"/>
                <w:szCs w:val="21"/>
              </w:rPr>
            </w:pPr>
            <w:r w:rsidRPr="00E66BB0">
              <w:rPr>
                <w:sz w:val="21"/>
                <w:szCs w:val="21"/>
              </w:rPr>
              <w:t>-</w:t>
            </w:r>
          </w:p>
        </w:tc>
      </w:tr>
    </w:tbl>
    <w:p w14:paraId="122C11B1" w14:textId="77777777" w:rsidR="001F3E17" w:rsidRDefault="001F3E17" w:rsidP="001F3E1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AF625B" w14:textId="77777777" w:rsidR="001F3E17" w:rsidRPr="005E0F25" w:rsidRDefault="001F3E17" w:rsidP="001F3E1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5E0F25">
        <w:rPr>
          <w:sz w:val="22"/>
          <w:szCs w:val="22"/>
        </w:rPr>
        <w:t xml:space="preserve"> Выделяется в целях реализации </w:t>
      </w:r>
      <w:hyperlink r:id="rId10" w:history="1">
        <w:r w:rsidRPr="005E0F25">
          <w:rPr>
            <w:sz w:val="22"/>
            <w:szCs w:val="22"/>
          </w:rPr>
          <w:t>пункта 6 статьи 168</w:t>
        </w:r>
      </w:hyperlink>
      <w:r w:rsidRPr="005E0F2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A0B97BE" w14:textId="77777777" w:rsidR="006B4BC6" w:rsidRDefault="006B4BC6" w:rsidP="00DA2AA2">
      <w:pPr>
        <w:pStyle w:val="24"/>
        <w:widowControl/>
        <w:ind w:firstLine="709"/>
        <w:rPr>
          <w:bCs/>
          <w:sz w:val="22"/>
          <w:szCs w:val="22"/>
        </w:rPr>
      </w:pPr>
    </w:p>
    <w:p w14:paraId="2C663C34" w14:textId="5BA1C200" w:rsidR="00964DE7" w:rsidRPr="001F3E17" w:rsidRDefault="00C96FF8" w:rsidP="00C96FF8">
      <w:pPr>
        <w:pStyle w:val="24"/>
        <w:widowControl/>
        <w:ind w:firstLine="709"/>
        <w:rPr>
          <w:sz w:val="22"/>
          <w:szCs w:val="22"/>
          <w:lang w:eastAsia="x-none"/>
        </w:rPr>
      </w:pPr>
      <w:r>
        <w:rPr>
          <w:color w:val="000000"/>
          <w:sz w:val="22"/>
          <w:szCs w:val="22"/>
        </w:rPr>
        <w:t xml:space="preserve">2. </w:t>
      </w:r>
      <w:r w:rsidR="00964DE7" w:rsidRPr="00964DE7">
        <w:rPr>
          <w:sz w:val="22"/>
          <w:szCs w:val="22"/>
          <w:lang w:val="x-none" w:eastAsia="x-none"/>
        </w:rPr>
        <w:t xml:space="preserve">Тарифы, установленные в п. </w:t>
      </w:r>
      <w:r>
        <w:rPr>
          <w:sz w:val="22"/>
          <w:szCs w:val="22"/>
          <w:lang w:eastAsia="x-none"/>
        </w:rPr>
        <w:t xml:space="preserve">1 </w:t>
      </w:r>
      <w:r w:rsidR="00964DE7" w:rsidRPr="00964DE7">
        <w:rPr>
          <w:sz w:val="22"/>
          <w:szCs w:val="22"/>
          <w:lang w:val="x-none" w:eastAsia="x-none"/>
        </w:rPr>
        <w:t>действуют с 01.01.2024 по 31.12.2028.</w:t>
      </w:r>
    </w:p>
    <w:p w14:paraId="4DABEDDC" w14:textId="6C7BCD9C" w:rsidR="001F3E17" w:rsidRPr="001F3E17" w:rsidRDefault="00C96FF8" w:rsidP="001F3E17">
      <w:pPr>
        <w:pStyle w:val="24"/>
        <w:widowControl/>
        <w:ind w:firstLine="709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3. </w:t>
      </w:r>
      <w:r w:rsidR="001F3E17" w:rsidRPr="001F3E17">
        <w:rPr>
          <w:sz w:val="22"/>
          <w:szCs w:val="22"/>
        </w:rPr>
        <w:t>Внести следующие изменения в постановление Департамента энергетики и тарифов Ивановской обл. от 16.11.2022 № 49-т/2 «О корректировке долгосрочных тарифов на тепловую энергию, теплоноситель на 2023 - 2027 годы для потребителей ООО 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потребителей ООО «Теплоснаб-Родники» (г.п. Родники)»:</w:t>
      </w:r>
    </w:p>
    <w:p w14:paraId="57D0FC25" w14:textId="77777777" w:rsidR="001F3E17" w:rsidRPr="001F3E17" w:rsidRDefault="001F3E17" w:rsidP="001F3E17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F3E17">
        <w:rPr>
          <w:sz w:val="22"/>
          <w:szCs w:val="22"/>
        </w:rPr>
        <w:t>- в наименовании постановления и пунктах 1, 3, 6 постановления наименование регулируемой организации «ООО «Теплоснаб-Родники» (г.п. Родники)» заменить на «ООО «Теплоснаб-Родники» (от котельной  г. Родники, ул. Большая Рыбаковская, д. 54а)»;</w:t>
      </w:r>
    </w:p>
    <w:p w14:paraId="54C9681C" w14:textId="0765EE83" w:rsidR="001F3E17" w:rsidRPr="001F3E17" w:rsidRDefault="001F3E17" w:rsidP="001F3E17">
      <w:pPr>
        <w:pStyle w:val="24"/>
        <w:widowControl/>
        <w:ind w:firstLine="709"/>
        <w:rPr>
          <w:sz w:val="22"/>
          <w:szCs w:val="22"/>
          <w:lang w:eastAsia="x-none"/>
        </w:rPr>
      </w:pPr>
      <w:r w:rsidRPr="001F3E17">
        <w:rPr>
          <w:sz w:val="22"/>
          <w:szCs w:val="22"/>
        </w:rPr>
        <w:t>- в приложениях 1, 3, 6 к постановлению наименование регулируемой организации изложить в редакции «ООО «Теплоснаб-Родники» (от котельной  г. Родники, ул. Большая Рыбаковская, д. 54а)».</w:t>
      </w:r>
    </w:p>
    <w:p w14:paraId="0EA2D4FE" w14:textId="6CFED2B8" w:rsidR="00C96FF8" w:rsidRPr="00C96FF8" w:rsidRDefault="001F3E17" w:rsidP="00C96FF8">
      <w:pPr>
        <w:pStyle w:val="24"/>
        <w:widowControl/>
        <w:ind w:firstLine="709"/>
        <w:rPr>
          <w:b/>
          <w:bCs/>
          <w:sz w:val="22"/>
          <w:szCs w:val="22"/>
        </w:rPr>
      </w:pPr>
      <w:r>
        <w:rPr>
          <w:sz w:val="22"/>
          <w:szCs w:val="22"/>
          <w:lang w:eastAsia="x-none"/>
        </w:rPr>
        <w:t xml:space="preserve">4. </w:t>
      </w:r>
      <w:r w:rsidR="00C96FF8">
        <w:rPr>
          <w:bCs/>
          <w:sz w:val="22"/>
          <w:szCs w:val="22"/>
          <w:lang w:eastAsia="x-none"/>
        </w:rPr>
        <w:t>П</w:t>
      </w:r>
      <w:r w:rsidR="00C96FF8" w:rsidRPr="00964DE7">
        <w:rPr>
          <w:bCs/>
          <w:sz w:val="22"/>
          <w:szCs w:val="22"/>
          <w:lang w:val="x-none" w:eastAsia="x-none"/>
        </w:rPr>
        <w:t xml:space="preserve">остановление вступает в силу </w:t>
      </w:r>
      <w:r w:rsidR="00C96FF8" w:rsidRPr="00964DE7">
        <w:rPr>
          <w:bCs/>
          <w:sz w:val="22"/>
          <w:szCs w:val="22"/>
          <w:lang w:eastAsia="x-none"/>
        </w:rPr>
        <w:t>после</w:t>
      </w:r>
      <w:r w:rsidR="00C96FF8" w:rsidRPr="00964DE7">
        <w:rPr>
          <w:bCs/>
          <w:sz w:val="22"/>
          <w:szCs w:val="22"/>
          <w:lang w:val="x-none" w:eastAsia="x-none"/>
        </w:rPr>
        <w:t xml:space="preserve"> дня его официального опубликования</w:t>
      </w:r>
    </w:p>
    <w:p w14:paraId="4692E447" w14:textId="24D83DF2" w:rsidR="005405E6" w:rsidRPr="00C30290" w:rsidRDefault="00964DE7" w:rsidP="00C96FF8">
      <w:pPr>
        <w:widowControl/>
        <w:tabs>
          <w:tab w:val="left" w:pos="709"/>
        </w:tabs>
        <w:spacing w:line="276" w:lineRule="auto"/>
        <w:jc w:val="both"/>
        <w:outlineLvl w:val="1"/>
        <w:rPr>
          <w:bCs/>
          <w:sz w:val="22"/>
          <w:szCs w:val="22"/>
        </w:rPr>
      </w:pPr>
      <w:r w:rsidRPr="00964DE7">
        <w:rPr>
          <w:bCs/>
          <w:sz w:val="22"/>
          <w:szCs w:val="22"/>
          <w:lang w:eastAsia="x-none"/>
        </w:rPr>
        <w:tab/>
      </w:r>
    </w:p>
    <w:p w14:paraId="31FAD770" w14:textId="77777777" w:rsidR="00070323" w:rsidRPr="00C30290" w:rsidRDefault="00070323" w:rsidP="0007032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C3029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30290" w:rsidRPr="00C30290" w14:paraId="5DC53EB8" w14:textId="77777777" w:rsidTr="009577E0">
        <w:tc>
          <w:tcPr>
            <w:tcW w:w="959" w:type="dxa"/>
          </w:tcPr>
          <w:p w14:paraId="7F27BA6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225FB26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620A776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Результаты голосования</w:t>
            </w:r>
          </w:p>
        </w:tc>
      </w:tr>
      <w:tr w:rsidR="00C30290" w:rsidRPr="00C30290" w14:paraId="243B63EF" w14:textId="77777777" w:rsidTr="009577E0">
        <w:tc>
          <w:tcPr>
            <w:tcW w:w="959" w:type="dxa"/>
          </w:tcPr>
          <w:p w14:paraId="7304059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C5654A7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6FA87E0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5A82AC90" w14:textId="77777777" w:rsidTr="009577E0">
        <w:tc>
          <w:tcPr>
            <w:tcW w:w="959" w:type="dxa"/>
          </w:tcPr>
          <w:p w14:paraId="15758D36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9B70BBC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E4A1133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CC27E57" w14:textId="77777777" w:rsidTr="009577E0">
        <w:tc>
          <w:tcPr>
            <w:tcW w:w="959" w:type="dxa"/>
          </w:tcPr>
          <w:p w14:paraId="622304C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47A1DED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BDB07AF" w14:textId="67F90AE9" w:rsidR="00070323" w:rsidRPr="00C30290" w:rsidRDefault="002464AC" w:rsidP="0095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0290" w:rsidRPr="00C30290" w14:paraId="72DBEAF5" w14:textId="77777777" w:rsidTr="009577E0">
        <w:tc>
          <w:tcPr>
            <w:tcW w:w="959" w:type="dxa"/>
          </w:tcPr>
          <w:p w14:paraId="7C75D187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EF4270C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78ACCB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47CB0AB" w14:textId="77777777" w:rsidTr="009577E0">
        <w:tc>
          <w:tcPr>
            <w:tcW w:w="959" w:type="dxa"/>
          </w:tcPr>
          <w:p w14:paraId="79D1A379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A795D80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D05042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A25B0A2" w14:textId="77777777" w:rsidTr="009577E0">
        <w:tc>
          <w:tcPr>
            <w:tcW w:w="959" w:type="dxa"/>
          </w:tcPr>
          <w:p w14:paraId="1E9276ED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3E91DAA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23EC1B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327F5306" w14:textId="77777777" w:rsidTr="009577E0">
        <w:tc>
          <w:tcPr>
            <w:tcW w:w="959" w:type="dxa"/>
          </w:tcPr>
          <w:p w14:paraId="42F6151D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94C057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6A3BC6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</w:tbl>
    <w:p w14:paraId="59A0C8F9" w14:textId="16C4A023" w:rsidR="00070323" w:rsidRPr="00C30290" w:rsidRDefault="00070323" w:rsidP="0007032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C30290">
        <w:rPr>
          <w:sz w:val="22"/>
          <w:szCs w:val="22"/>
        </w:rPr>
        <w:t xml:space="preserve">Итого: за – </w:t>
      </w:r>
      <w:r w:rsidR="002464AC">
        <w:rPr>
          <w:sz w:val="22"/>
          <w:szCs w:val="22"/>
        </w:rPr>
        <w:t>6</w:t>
      </w:r>
      <w:r w:rsidRPr="00C30290">
        <w:rPr>
          <w:sz w:val="22"/>
          <w:szCs w:val="22"/>
        </w:rPr>
        <w:t xml:space="preserve">, против – 0, воздержался – 0, отсутствуют – </w:t>
      </w:r>
      <w:r w:rsidR="002464AC">
        <w:rPr>
          <w:sz w:val="22"/>
          <w:szCs w:val="22"/>
        </w:rPr>
        <w:t>1</w:t>
      </w:r>
      <w:r w:rsidRPr="00C30290">
        <w:rPr>
          <w:sz w:val="22"/>
          <w:szCs w:val="22"/>
        </w:rPr>
        <w:t>.</w:t>
      </w:r>
    </w:p>
    <w:p w14:paraId="084AD05A" w14:textId="77777777" w:rsidR="00070323" w:rsidRDefault="0007032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6F95B194" w14:textId="77777777" w:rsidR="009E121E" w:rsidRPr="00DE3325" w:rsidRDefault="009E121E" w:rsidP="009E121E">
      <w:pPr>
        <w:widowControl/>
        <w:autoSpaceDE w:val="0"/>
        <w:autoSpaceDN w:val="0"/>
        <w:adjustRightInd w:val="0"/>
        <w:jc w:val="center"/>
        <w:rPr>
          <w:sz w:val="8"/>
          <w:szCs w:val="8"/>
        </w:rPr>
      </w:pPr>
      <w:bookmarkStart w:id="2" w:name="_Hlk151123551"/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4F11E0" w:rsidRPr="004F11E0" w14:paraId="3EF3E463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bookmarkEnd w:id="2"/>
          <w:p w14:paraId="5AFDBD6F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3592DB4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1F3B3F30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М.В. Аскярова</w:t>
            </w:r>
          </w:p>
        </w:tc>
      </w:tr>
      <w:tr w:rsidR="004F11E0" w:rsidRPr="004F11E0" w14:paraId="53C95AF4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2D8D7C8A" w14:textId="77777777" w:rsidR="0065725E" w:rsidRPr="004F11E0" w:rsidRDefault="0065725E" w:rsidP="00941935">
            <w:pPr>
              <w:rPr>
                <w:b/>
                <w:sz w:val="22"/>
                <w:szCs w:val="22"/>
              </w:rPr>
            </w:pPr>
            <w:r w:rsidRPr="004F11E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7EF740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8440039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F11E0" w:rsidRPr="004F11E0" w14:paraId="364AE9B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6EB33115" w14:textId="77777777" w:rsidR="00CD0D6B" w:rsidRPr="004F11E0" w:rsidRDefault="006819F0" w:rsidP="005603FD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Первый заместитель </w:t>
            </w:r>
            <w:r w:rsidR="005603FD" w:rsidRPr="004F11E0">
              <w:rPr>
                <w:sz w:val="22"/>
                <w:szCs w:val="22"/>
              </w:rPr>
              <w:t>директора</w:t>
            </w:r>
            <w:r w:rsidRPr="004F11E0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6EE8CA" w14:textId="77777777" w:rsidR="00CD0D6B" w:rsidRPr="004F11E0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8E57875" w14:textId="77777777" w:rsidR="00CD0D6B" w:rsidRPr="004F11E0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С.Е. </w:t>
            </w:r>
            <w:r w:rsidR="00CD0D6B" w:rsidRPr="004F11E0">
              <w:rPr>
                <w:sz w:val="22"/>
                <w:szCs w:val="22"/>
              </w:rPr>
              <w:t>Бугаева</w:t>
            </w:r>
          </w:p>
        </w:tc>
      </w:tr>
      <w:tr w:rsidR="004F11E0" w:rsidRPr="004F11E0" w14:paraId="15CC3480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F4B059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Заместитель </w:t>
            </w:r>
            <w:r w:rsidR="00386422" w:rsidRPr="004F11E0">
              <w:rPr>
                <w:sz w:val="22"/>
                <w:szCs w:val="22"/>
              </w:rPr>
              <w:t>директора</w:t>
            </w:r>
            <w:r w:rsidRPr="004F11E0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01E403E" w14:textId="104013C5" w:rsidR="0065725E" w:rsidRPr="004F11E0" w:rsidRDefault="002464AC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13935262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Н.Б. Гущина</w:t>
            </w:r>
          </w:p>
        </w:tc>
      </w:tr>
      <w:tr w:rsidR="004F11E0" w:rsidRPr="004F11E0" w14:paraId="2EDB718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606BD2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B92A8C0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460C111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Е.В. Турбачкина</w:t>
            </w:r>
          </w:p>
        </w:tc>
      </w:tr>
      <w:tr w:rsidR="004F11E0" w:rsidRPr="004F11E0" w14:paraId="6D5CDBFC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33A0404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5CDFE7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AA8EB6E" w14:textId="77777777" w:rsidR="0065725E" w:rsidRPr="004F11E0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Е.А. Коннова</w:t>
            </w:r>
          </w:p>
        </w:tc>
      </w:tr>
      <w:tr w:rsidR="004F11E0" w:rsidRPr="004F11E0" w14:paraId="66C0CCEF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E704A8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4E72FB9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41EA586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И.Г. Полозов</w:t>
            </w:r>
          </w:p>
        </w:tc>
      </w:tr>
      <w:tr w:rsidR="004F11E0" w:rsidRPr="004F11E0" w14:paraId="5D08A9C4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0D82E311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14DA86A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B42CEE9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О.П. Агапова</w:t>
            </w:r>
          </w:p>
        </w:tc>
      </w:tr>
      <w:tr w:rsidR="0065725E" w:rsidRPr="004F11E0" w14:paraId="002DF136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3065BE56" w14:textId="77777777" w:rsidR="0065725E" w:rsidRPr="004F11E0" w:rsidRDefault="00F03C80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A43C5E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50D0963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З.Б. Виднова</w:t>
            </w:r>
          </w:p>
        </w:tc>
      </w:tr>
    </w:tbl>
    <w:p w14:paraId="7D8B5AB6" w14:textId="77777777" w:rsidR="0065725E" w:rsidRPr="004F11E0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4F11E0" w:rsidSect="001A7A43">
      <w:headerReference w:type="default" r:id="rId11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F30E" w14:textId="77777777" w:rsidR="00A26570" w:rsidRDefault="00A26570" w:rsidP="00510D4D">
      <w:r>
        <w:separator/>
      </w:r>
    </w:p>
  </w:endnote>
  <w:endnote w:type="continuationSeparator" w:id="0">
    <w:p w14:paraId="0363F818" w14:textId="77777777" w:rsidR="00A26570" w:rsidRDefault="00A26570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C86B" w14:textId="77777777" w:rsidR="00A26570" w:rsidRDefault="00A26570" w:rsidP="00510D4D">
      <w:r>
        <w:separator/>
      </w:r>
    </w:p>
  </w:footnote>
  <w:footnote w:type="continuationSeparator" w:id="0">
    <w:p w14:paraId="252F6FC3" w14:textId="77777777" w:rsidR="00A26570" w:rsidRDefault="00A26570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EE0" w14:textId="77777777" w:rsidR="00A26570" w:rsidRDefault="00A26570">
    <w:pPr>
      <w:pStyle w:val="a7"/>
    </w:pPr>
  </w:p>
  <w:p w14:paraId="5256DCAD" w14:textId="77777777" w:rsidR="00A26570" w:rsidRDefault="00A26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2E920432"/>
    <w:lvl w:ilvl="0" w:tplc="65BAEE44">
      <w:start w:val="1"/>
      <w:numFmt w:val="decimal"/>
      <w:lvlText w:val="%1."/>
      <w:lvlJc w:val="left"/>
      <w:pPr>
        <w:ind w:left="1978" w:hanging="141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0E3941"/>
    <w:multiLevelType w:val="hybridMultilevel"/>
    <w:tmpl w:val="7B166F9A"/>
    <w:lvl w:ilvl="0" w:tplc="FB28EE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15116"/>
    <w:multiLevelType w:val="hybridMultilevel"/>
    <w:tmpl w:val="EFA663C8"/>
    <w:lvl w:ilvl="0" w:tplc="8CA037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F44C27"/>
    <w:multiLevelType w:val="hybridMultilevel"/>
    <w:tmpl w:val="5BF4136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2B75C20"/>
    <w:multiLevelType w:val="hybridMultilevel"/>
    <w:tmpl w:val="C3DC5BFC"/>
    <w:lvl w:ilvl="0" w:tplc="1D5A7772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B0D2316"/>
    <w:multiLevelType w:val="hybridMultilevel"/>
    <w:tmpl w:val="9696A2CE"/>
    <w:lvl w:ilvl="0" w:tplc="F252D3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B6181B"/>
    <w:multiLevelType w:val="hybridMultilevel"/>
    <w:tmpl w:val="D186A79C"/>
    <w:lvl w:ilvl="0" w:tplc="BD388B78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5BFD5316"/>
    <w:multiLevelType w:val="hybridMultilevel"/>
    <w:tmpl w:val="6B32BC64"/>
    <w:lvl w:ilvl="0" w:tplc="C57CB2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E180A93"/>
    <w:multiLevelType w:val="hybridMultilevel"/>
    <w:tmpl w:val="A1D29BEA"/>
    <w:lvl w:ilvl="0" w:tplc="0419000B">
      <w:start w:val="1"/>
      <w:numFmt w:val="bullet"/>
      <w:lvlText w:val=""/>
      <w:lvlJc w:val="left"/>
      <w:pPr>
        <w:ind w:left="17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" w15:restartNumberingAfterBreak="0">
    <w:nsid w:val="68EA1703"/>
    <w:multiLevelType w:val="hybridMultilevel"/>
    <w:tmpl w:val="CC9C0A1C"/>
    <w:lvl w:ilvl="0" w:tplc="191467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980744"/>
    <w:multiLevelType w:val="hybridMultilevel"/>
    <w:tmpl w:val="2A9AB8FA"/>
    <w:lvl w:ilvl="0" w:tplc="336E789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9440626">
    <w:abstractNumId w:val="7"/>
  </w:num>
  <w:num w:numId="2" w16cid:durableId="130750541">
    <w:abstractNumId w:val="2"/>
  </w:num>
  <w:num w:numId="3" w16cid:durableId="815150398">
    <w:abstractNumId w:val="6"/>
  </w:num>
  <w:num w:numId="4" w16cid:durableId="1477650107">
    <w:abstractNumId w:val="1"/>
  </w:num>
  <w:num w:numId="5" w16cid:durableId="396512397">
    <w:abstractNumId w:val="5"/>
  </w:num>
  <w:num w:numId="6" w16cid:durableId="442575546">
    <w:abstractNumId w:val="10"/>
  </w:num>
  <w:num w:numId="7" w16cid:durableId="544370893">
    <w:abstractNumId w:val="4"/>
  </w:num>
  <w:num w:numId="8" w16cid:durableId="2137598743">
    <w:abstractNumId w:val="8"/>
  </w:num>
  <w:num w:numId="9" w16cid:durableId="1962103126">
    <w:abstractNumId w:val="9"/>
  </w:num>
  <w:num w:numId="10" w16cid:durableId="617221601">
    <w:abstractNumId w:val="0"/>
  </w:num>
  <w:num w:numId="11" w16cid:durableId="89130464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927"/>
    <w:rsid w:val="00011A40"/>
    <w:rsid w:val="00011E69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7AE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915"/>
    <w:rsid w:val="00021AB6"/>
    <w:rsid w:val="00022359"/>
    <w:rsid w:val="0002273E"/>
    <w:rsid w:val="00022923"/>
    <w:rsid w:val="00022BD6"/>
    <w:rsid w:val="00022CE3"/>
    <w:rsid w:val="00022F6E"/>
    <w:rsid w:val="00024620"/>
    <w:rsid w:val="00024BF8"/>
    <w:rsid w:val="00024F52"/>
    <w:rsid w:val="0002668E"/>
    <w:rsid w:val="000266EB"/>
    <w:rsid w:val="00026A60"/>
    <w:rsid w:val="00026FA7"/>
    <w:rsid w:val="0002748E"/>
    <w:rsid w:val="0003025E"/>
    <w:rsid w:val="0003041F"/>
    <w:rsid w:val="000308D6"/>
    <w:rsid w:val="0003102F"/>
    <w:rsid w:val="00031030"/>
    <w:rsid w:val="00031146"/>
    <w:rsid w:val="000319C8"/>
    <w:rsid w:val="00032AB5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66A0"/>
    <w:rsid w:val="000379E0"/>
    <w:rsid w:val="00037DAE"/>
    <w:rsid w:val="00041062"/>
    <w:rsid w:val="00042062"/>
    <w:rsid w:val="000426B6"/>
    <w:rsid w:val="00045143"/>
    <w:rsid w:val="0004780D"/>
    <w:rsid w:val="000512E4"/>
    <w:rsid w:val="0005218C"/>
    <w:rsid w:val="0005377A"/>
    <w:rsid w:val="00053D01"/>
    <w:rsid w:val="00053FE0"/>
    <w:rsid w:val="00054215"/>
    <w:rsid w:val="00055942"/>
    <w:rsid w:val="00055D37"/>
    <w:rsid w:val="0005679B"/>
    <w:rsid w:val="00056A64"/>
    <w:rsid w:val="00057289"/>
    <w:rsid w:val="000579CF"/>
    <w:rsid w:val="000605D5"/>
    <w:rsid w:val="00061781"/>
    <w:rsid w:val="00061991"/>
    <w:rsid w:val="000620D4"/>
    <w:rsid w:val="000626D7"/>
    <w:rsid w:val="00062D8F"/>
    <w:rsid w:val="00062D94"/>
    <w:rsid w:val="00063EF2"/>
    <w:rsid w:val="00063F8F"/>
    <w:rsid w:val="00064087"/>
    <w:rsid w:val="00064409"/>
    <w:rsid w:val="000644E6"/>
    <w:rsid w:val="00066256"/>
    <w:rsid w:val="00070323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5C79"/>
    <w:rsid w:val="00076365"/>
    <w:rsid w:val="00076387"/>
    <w:rsid w:val="000764A0"/>
    <w:rsid w:val="000765DE"/>
    <w:rsid w:val="000769E5"/>
    <w:rsid w:val="00077240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16CD"/>
    <w:rsid w:val="00092AFE"/>
    <w:rsid w:val="00092FA3"/>
    <w:rsid w:val="000930A6"/>
    <w:rsid w:val="00093D1C"/>
    <w:rsid w:val="00093E92"/>
    <w:rsid w:val="00094A40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6EB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4B60"/>
    <w:rsid w:val="000B5C76"/>
    <w:rsid w:val="000B6459"/>
    <w:rsid w:val="000B7121"/>
    <w:rsid w:val="000B73A1"/>
    <w:rsid w:val="000B73EA"/>
    <w:rsid w:val="000C0364"/>
    <w:rsid w:val="000C11DB"/>
    <w:rsid w:val="000C18F9"/>
    <w:rsid w:val="000C29A8"/>
    <w:rsid w:val="000C44A5"/>
    <w:rsid w:val="000C4593"/>
    <w:rsid w:val="000C4F66"/>
    <w:rsid w:val="000C54AF"/>
    <w:rsid w:val="000C65AB"/>
    <w:rsid w:val="000C6B40"/>
    <w:rsid w:val="000C72EA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B1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419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4EA7"/>
    <w:rsid w:val="000F560C"/>
    <w:rsid w:val="000F5B58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1DC7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2C54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1C6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B88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5963"/>
    <w:rsid w:val="00197A10"/>
    <w:rsid w:val="00197DD1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5B72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8F4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130E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C3E"/>
    <w:rsid w:val="001D7E5E"/>
    <w:rsid w:val="001E03E1"/>
    <w:rsid w:val="001E03E8"/>
    <w:rsid w:val="001E07C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863"/>
    <w:rsid w:val="001F3BE8"/>
    <w:rsid w:val="001F3E17"/>
    <w:rsid w:val="001F46BB"/>
    <w:rsid w:val="001F58BC"/>
    <w:rsid w:val="001F5D02"/>
    <w:rsid w:val="001F61F5"/>
    <w:rsid w:val="001F6DEB"/>
    <w:rsid w:val="001F7862"/>
    <w:rsid w:val="0020162F"/>
    <w:rsid w:val="002022D0"/>
    <w:rsid w:val="00202A76"/>
    <w:rsid w:val="00205732"/>
    <w:rsid w:val="00205E8C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5484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0BD"/>
    <w:rsid w:val="00224106"/>
    <w:rsid w:val="002262E1"/>
    <w:rsid w:val="002274AE"/>
    <w:rsid w:val="00230652"/>
    <w:rsid w:val="00230700"/>
    <w:rsid w:val="00230928"/>
    <w:rsid w:val="002311B6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4AC"/>
    <w:rsid w:val="00246C3B"/>
    <w:rsid w:val="002475B1"/>
    <w:rsid w:val="002508A1"/>
    <w:rsid w:val="00252182"/>
    <w:rsid w:val="002521C2"/>
    <w:rsid w:val="00253612"/>
    <w:rsid w:val="002543D2"/>
    <w:rsid w:val="00254EBE"/>
    <w:rsid w:val="00255A3E"/>
    <w:rsid w:val="00255CDB"/>
    <w:rsid w:val="0025669B"/>
    <w:rsid w:val="00257109"/>
    <w:rsid w:val="002575A2"/>
    <w:rsid w:val="00257737"/>
    <w:rsid w:val="00257935"/>
    <w:rsid w:val="00257B1C"/>
    <w:rsid w:val="00257B2C"/>
    <w:rsid w:val="00261560"/>
    <w:rsid w:val="00262FCD"/>
    <w:rsid w:val="002634E8"/>
    <w:rsid w:val="00263B8F"/>
    <w:rsid w:val="00264288"/>
    <w:rsid w:val="00264741"/>
    <w:rsid w:val="002656BC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6FCE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157"/>
    <w:rsid w:val="002914A8"/>
    <w:rsid w:val="002920DE"/>
    <w:rsid w:val="002926ED"/>
    <w:rsid w:val="00292738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1BC6"/>
    <w:rsid w:val="002B335B"/>
    <w:rsid w:val="002B3FD7"/>
    <w:rsid w:val="002B4850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999"/>
    <w:rsid w:val="002C2E64"/>
    <w:rsid w:val="002C3360"/>
    <w:rsid w:val="002C363C"/>
    <w:rsid w:val="002C3E80"/>
    <w:rsid w:val="002C3EBD"/>
    <w:rsid w:val="002C42B4"/>
    <w:rsid w:val="002C456F"/>
    <w:rsid w:val="002C46FB"/>
    <w:rsid w:val="002C4CA5"/>
    <w:rsid w:val="002C4DF5"/>
    <w:rsid w:val="002C58CA"/>
    <w:rsid w:val="002C5A31"/>
    <w:rsid w:val="002C7355"/>
    <w:rsid w:val="002C7FFE"/>
    <w:rsid w:val="002D0417"/>
    <w:rsid w:val="002D15E7"/>
    <w:rsid w:val="002D1A87"/>
    <w:rsid w:val="002D27C5"/>
    <w:rsid w:val="002D28E6"/>
    <w:rsid w:val="002D362C"/>
    <w:rsid w:val="002D4000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4183"/>
    <w:rsid w:val="002F6607"/>
    <w:rsid w:val="002F68D8"/>
    <w:rsid w:val="00300332"/>
    <w:rsid w:val="003005C6"/>
    <w:rsid w:val="003011EE"/>
    <w:rsid w:val="00301478"/>
    <w:rsid w:val="003016E3"/>
    <w:rsid w:val="00302B05"/>
    <w:rsid w:val="00302C2C"/>
    <w:rsid w:val="003032DC"/>
    <w:rsid w:val="003039BE"/>
    <w:rsid w:val="0030459B"/>
    <w:rsid w:val="00304EA9"/>
    <w:rsid w:val="003055FC"/>
    <w:rsid w:val="0030597F"/>
    <w:rsid w:val="00306201"/>
    <w:rsid w:val="0030666A"/>
    <w:rsid w:val="003071AB"/>
    <w:rsid w:val="0030768F"/>
    <w:rsid w:val="003078BF"/>
    <w:rsid w:val="00307B06"/>
    <w:rsid w:val="00310260"/>
    <w:rsid w:val="00310717"/>
    <w:rsid w:val="00310CB2"/>
    <w:rsid w:val="00311AD8"/>
    <w:rsid w:val="003147FC"/>
    <w:rsid w:val="0031499C"/>
    <w:rsid w:val="00314B54"/>
    <w:rsid w:val="00314B93"/>
    <w:rsid w:val="00315EEC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0C7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37798"/>
    <w:rsid w:val="003402B2"/>
    <w:rsid w:val="00340943"/>
    <w:rsid w:val="00340E70"/>
    <w:rsid w:val="00340F4A"/>
    <w:rsid w:val="00341D5B"/>
    <w:rsid w:val="00342620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6FA6"/>
    <w:rsid w:val="0034779A"/>
    <w:rsid w:val="003503E6"/>
    <w:rsid w:val="00350595"/>
    <w:rsid w:val="003506E0"/>
    <w:rsid w:val="00350B07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558A"/>
    <w:rsid w:val="00356555"/>
    <w:rsid w:val="00356AEC"/>
    <w:rsid w:val="003600D8"/>
    <w:rsid w:val="003612DF"/>
    <w:rsid w:val="00361F12"/>
    <w:rsid w:val="00362D1C"/>
    <w:rsid w:val="00363758"/>
    <w:rsid w:val="00363CC4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2D2"/>
    <w:rsid w:val="00392758"/>
    <w:rsid w:val="00392870"/>
    <w:rsid w:val="003933D1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0CE"/>
    <w:rsid w:val="003A3891"/>
    <w:rsid w:val="003A43E9"/>
    <w:rsid w:val="003A4800"/>
    <w:rsid w:val="003A4CA6"/>
    <w:rsid w:val="003A4CA9"/>
    <w:rsid w:val="003A54E5"/>
    <w:rsid w:val="003A688D"/>
    <w:rsid w:val="003A7C3D"/>
    <w:rsid w:val="003B0658"/>
    <w:rsid w:val="003B09F2"/>
    <w:rsid w:val="003B110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01F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6D5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86B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C8D"/>
    <w:rsid w:val="003D6EAE"/>
    <w:rsid w:val="003D711C"/>
    <w:rsid w:val="003D7132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2D62"/>
    <w:rsid w:val="004036D3"/>
    <w:rsid w:val="0040427E"/>
    <w:rsid w:val="00405939"/>
    <w:rsid w:val="00405AED"/>
    <w:rsid w:val="00405C71"/>
    <w:rsid w:val="00406156"/>
    <w:rsid w:val="0040688C"/>
    <w:rsid w:val="004103EE"/>
    <w:rsid w:val="0041111E"/>
    <w:rsid w:val="0041194E"/>
    <w:rsid w:val="00411BE1"/>
    <w:rsid w:val="0041278B"/>
    <w:rsid w:val="00413898"/>
    <w:rsid w:val="00413F44"/>
    <w:rsid w:val="0041483E"/>
    <w:rsid w:val="00414F8A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1DCA"/>
    <w:rsid w:val="0042216B"/>
    <w:rsid w:val="004229D1"/>
    <w:rsid w:val="00422BF9"/>
    <w:rsid w:val="00422CD2"/>
    <w:rsid w:val="004237A6"/>
    <w:rsid w:val="00424403"/>
    <w:rsid w:val="004246F2"/>
    <w:rsid w:val="00424F49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CF"/>
    <w:rsid w:val="004424F9"/>
    <w:rsid w:val="00443097"/>
    <w:rsid w:val="00443914"/>
    <w:rsid w:val="0044399B"/>
    <w:rsid w:val="004448B4"/>
    <w:rsid w:val="004454A5"/>
    <w:rsid w:val="0044644D"/>
    <w:rsid w:val="004465A4"/>
    <w:rsid w:val="00446E43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5B5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1CB"/>
    <w:rsid w:val="00461612"/>
    <w:rsid w:val="00461809"/>
    <w:rsid w:val="004622B8"/>
    <w:rsid w:val="00462D75"/>
    <w:rsid w:val="0046414F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3EF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D0A"/>
    <w:rsid w:val="00493EA7"/>
    <w:rsid w:val="004946F5"/>
    <w:rsid w:val="004956EA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6DF3"/>
    <w:rsid w:val="004C7233"/>
    <w:rsid w:val="004D05CF"/>
    <w:rsid w:val="004D07E7"/>
    <w:rsid w:val="004D1EF9"/>
    <w:rsid w:val="004D2FAA"/>
    <w:rsid w:val="004D3F33"/>
    <w:rsid w:val="004D40BB"/>
    <w:rsid w:val="004D561D"/>
    <w:rsid w:val="004D6101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0465"/>
    <w:rsid w:val="004F11E0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8E8"/>
    <w:rsid w:val="00505AE5"/>
    <w:rsid w:val="00506587"/>
    <w:rsid w:val="00506BC1"/>
    <w:rsid w:val="00506E59"/>
    <w:rsid w:val="005076B5"/>
    <w:rsid w:val="00507734"/>
    <w:rsid w:val="00507CD7"/>
    <w:rsid w:val="00507FEF"/>
    <w:rsid w:val="00510AE1"/>
    <w:rsid w:val="00510D4D"/>
    <w:rsid w:val="00511138"/>
    <w:rsid w:val="0051192A"/>
    <w:rsid w:val="00511B86"/>
    <w:rsid w:val="005129E6"/>
    <w:rsid w:val="00512DE3"/>
    <w:rsid w:val="005133E4"/>
    <w:rsid w:val="00513629"/>
    <w:rsid w:val="00513940"/>
    <w:rsid w:val="00514133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7FC"/>
    <w:rsid w:val="00524E52"/>
    <w:rsid w:val="00526398"/>
    <w:rsid w:val="00526E17"/>
    <w:rsid w:val="00527EB0"/>
    <w:rsid w:val="00530833"/>
    <w:rsid w:val="00530962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5E6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400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5928"/>
    <w:rsid w:val="00556100"/>
    <w:rsid w:val="00557BB9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734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BD5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667"/>
    <w:rsid w:val="005A5DA7"/>
    <w:rsid w:val="005A6301"/>
    <w:rsid w:val="005A7165"/>
    <w:rsid w:val="005A7753"/>
    <w:rsid w:val="005B01C4"/>
    <w:rsid w:val="005B0BE1"/>
    <w:rsid w:val="005B0C46"/>
    <w:rsid w:val="005B0D3F"/>
    <w:rsid w:val="005B0E6E"/>
    <w:rsid w:val="005B12E1"/>
    <w:rsid w:val="005B251F"/>
    <w:rsid w:val="005B27A4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93C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ABB"/>
    <w:rsid w:val="005D3BB4"/>
    <w:rsid w:val="005D5C94"/>
    <w:rsid w:val="005D634C"/>
    <w:rsid w:val="005D6DD3"/>
    <w:rsid w:val="005D6F9E"/>
    <w:rsid w:val="005D7116"/>
    <w:rsid w:val="005D73A0"/>
    <w:rsid w:val="005D7DE8"/>
    <w:rsid w:val="005E0037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4E3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407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0571"/>
    <w:rsid w:val="00641141"/>
    <w:rsid w:val="00641357"/>
    <w:rsid w:val="006417EF"/>
    <w:rsid w:val="00641CBA"/>
    <w:rsid w:val="00641D1B"/>
    <w:rsid w:val="00642535"/>
    <w:rsid w:val="00642922"/>
    <w:rsid w:val="0064342A"/>
    <w:rsid w:val="0064380B"/>
    <w:rsid w:val="00643A8A"/>
    <w:rsid w:val="00643C6F"/>
    <w:rsid w:val="00644026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9DD"/>
    <w:rsid w:val="00666DCA"/>
    <w:rsid w:val="00666E20"/>
    <w:rsid w:val="0066708F"/>
    <w:rsid w:val="006704B6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382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00A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67B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5ED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4BC6"/>
    <w:rsid w:val="006B5B76"/>
    <w:rsid w:val="006B5D15"/>
    <w:rsid w:val="006B647A"/>
    <w:rsid w:val="006B6595"/>
    <w:rsid w:val="006B6D57"/>
    <w:rsid w:val="006B748A"/>
    <w:rsid w:val="006B7E01"/>
    <w:rsid w:val="006C115B"/>
    <w:rsid w:val="006C14AD"/>
    <w:rsid w:val="006C1585"/>
    <w:rsid w:val="006C2738"/>
    <w:rsid w:val="006C2A1A"/>
    <w:rsid w:val="006C3522"/>
    <w:rsid w:val="006C4718"/>
    <w:rsid w:val="006C5238"/>
    <w:rsid w:val="006C64F7"/>
    <w:rsid w:val="006C7B19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46D5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C6F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62B8"/>
    <w:rsid w:val="006F7064"/>
    <w:rsid w:val="006F7A06"/>
    <w:rsid w:val="00700D25"/>
    <w:rsid w:val="00701F53"/>
    <w:rsid w:val="007020E0"/>
    <w:rsid w:val="00702538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366A3"/>
    <w:rsid w:val="00740CE0"/>
    <w:rsid w:val="00740E9A"/>
    <w:rsid w:val="00740F4B"/>
    <w:rsid w:val="00741334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5EC"/>
    <w:rsid w:val="00750C7B"/>
    <w:rsid w:val="00750F20"/>
    <w:rsid w:val="007512DA"/>
    <w:rsid w:val="00751992"/>
    <w:rsid w:val="00751CA7"/>
    <w:rsid w:val="0075236F"/>
    <w:rsid w:val="007524F3"/>
    <w:rsid w:val="00752A02"/>
    <w:rsid w:val="00752C9B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6D72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484F"/>
    <w:rsid w:val="00765527"/>
    <w:rsid w:val="007657CB"/>
    <w:rsid w:val="00765AB5"/>
    <w:rsid w:val="00765AFB"/>
    <w:rsid w:val="00765D70"/>
    <w:rsid w:val="00767343"/>
    <w:rsid w:val="00767A1C"/>
    <w:rsid w:val="00767E6C"/>
    <w:rsid w:val="0077094D"/>
    <w:rsid w:val="00770F33"/>
    <w:rsid w:val="007710CE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573E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5DED"/>
    <w:rsid w:val="007B646F"/>
    <w:rsid w:val="007B6EDE"/>
    <w:rsid w:val="007B7968"/>
    <w:rsid w:val="007C0532"/>
    <w:rsid w:val="007C18AD"/>
    <w:rsid w:val="007C19D6"/>
    <w:rsid w:val="007C25CC"/>
    <w:rsid w:val="007C3350"/>
    <w:rsid w:val="007C3404"/>
    <w:rsid w:val="007C372D"/>
    <w:rsid w:val="007C3882"/>
    <w:rsid w:val="007C42FC"/>
    <w:rsid w:val="007C4315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0948"/>
    <w:rsid w:val="007F1270"/>
    <w:rsid w:val="007F19F3"/>
    <w:rsid w:val="007F245C"/>
    <w:rsid w:val="007F293E"/>
    <w:rsid w:val="007F2F26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4B9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EC5"/>
    <w:rsid w:val="00813F3E"/>
    <w:rsid w:val="0081473C"/>
    <w:rsid w:val="00814FA0"/>
    <w:rsid w:val="0081609C"/>
    <w:rsid w:val="0081693B"/>
    <w:rsid w:val="00817D69"/>
    <w:rsid w:val="00820C3C"/>
    <w:rsid w:val="00820CD9"/>
    <w:rsid w:val="00821B83"/>
    <w:rsid w:val="00821D76"/>
    <w:rsid w:val="00822504"/>
    <w:rsid w:val="00823928"/>
    <w:rsid w:val="0082483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443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233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C6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7AF"/>
    <w:rsid w:val="00863A8D"/>
    <w:rsid w:val="00864834"/>
    <w:rsid w:val="00865666"/>
    <w:rsid w:val="008672CB"/>
    <w:rsid w:val="00867983"/>
    <w:rsid w:val="008706C3"/>
    <w:rsid w:val="00870D00"/>
    <w:rsid w:val="008717D0"/>
    <w:rsid w:val="00871BCE"/>
    <w:rsid w:val="00871D45"/>
    <w:rsid w:val="008735BA"/>
    <w:rsid w:val="00874022"/>
    <w:rsid w:val="00874CC9"/>
    <w:rsid w:val="00874D1F"/>
    <w:rsid w:val="0087506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844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A41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3B7D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5DDC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5A9"/>
    <w:rsid w:val="008F465D"/>
    <w:rsid w:val="008F469F"/>
    <w:rsid w:val="008F4E26"/>
    <w:rsid w:val="008F5144"/>
    <w:rsid w:val="008F57C9"/>
    <w:rsid w:val="008F5AE8"/>
    <w:rsid w:val="008F5C4A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5C27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F39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6933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3AE8"/>
    <w:rsid w:val="00934C8E"/>
    <w:rsid w:val="00934E5A"/>
    <w:rsid w:val="00934EE6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57B6"/>
    <w:rsid w:val="00946658"/>
    <w:rsid w:val="00946958"/>
    <w:rsid w:val="00946A63"/>
    <w:rsid w:val="009471A5"/>
    <w:rsid w:val="00950560"/>
    <w:rsid w:val="00950EA0"/>
    <w:rsid w:val="00950FAD"/>
    <w:rsid w:val="00951399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7E0"/>
    <w:rsid w:val="00960779"/>
    <w:rsid w:val="0096127C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4DE7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3B0F"/>
    <w:rsid w:val="00974472"/>
    <w:rsid w:val="00975371"/>
    <w:rsid w:val="00975C4D"/>
    <w:rsid w:val="00975D04"/>
    <w:rsid w:val="00976D3F"/>
    <w:rsid w:val="0097745D"/>
    <w:rsid w:val="00977820"/>
    <w:rsid w:val="009778CB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87F2D"/>
    <w:rsid w:val="0099039B"/>
    <w:rsid w:val="00990503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970D1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5F39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21E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19A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7FD"/>
    <w:rsid w:val="00A03BA0"/>
    <w:rsid w:val="00A04A41"/>
    <w:rsid w:val="00A055C3"/>
    <w:rsid w:val="00A05D3B"/>
    <w:rsid w:val="00A069AB"/>
    <w:rsid w:val="00A06CFD"/>
    <w:rsid w:val="00A070C4"/>
    <w:rsid w:val="00A075D0"/>
    <w:rsid w:val="00A10247"/>
    <w:rsid w:val="00A10503"/>
    <w:rsid w:val="00A1064E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340"/>
    <w:rsid w:val="00A226A2"/>
    <w:rsid w:val="00A231C3"/>
    <w:rsid w:val="00A2324D"/>
    <w:rsid w:val="00A2342A"/>
    <w:rsid w:val="00A23EC4"/>
    <w:rsid w:val="00A241BA"/>
    <w:rsid w:val="00A2453B"/>
    <w:rsid w:val="00A2501C"/>
    <w:rsid w:val="00A25077"/>
    <w:rsid w:val="00A25324"/>
    <w:rsid w:val="00A25AE8"/>
    <w:rsid w:val="00A2644E"/>
    <w:rsid w:val="00A26570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56F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03"/>
    <w:rsid w:val="00A81214"/>
    <w:rsid w:val="00A8285C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D6A"/>
    <w:rsid w:val="00A93F01"/>
    <w:rsid w:val="00A9407C"/>
    <w:rsid w:val="00A96032"/>
    <w:rsid w:val="00A96317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89F"/>
    <w:rsid w:val="00AB3BA9"/>
    <w:rsid w:val="00AB3ECB"/>
    <w:rsid w:val="00AB4093"/>
    <w:rsid w:val="00AB40B4"/>
    <w:rsid w:val="00AB4D2D"/>
    <w:rsid w:val="00AB5EB3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02F0"/>
    <w:rsid w:val="00AE2BB1"/>
    <w:rsid w:val="00AE3B30"/>
    <w:rsid w:val="00AE4059"/>
    <w:rsid w:val="00AE524C"/>
    <w:rsid w:val="00AE5710"/>
    <w:rsid w:val="00AE60CA"/>
    <w:rsid w:val="00AE6B41"/>
    <w:rsid w:val="00AE6D62"/>
    <w:rsid w:val="00AE716D"/>
    <w:rsid w:val="00AE746F"/>
    <w:rsid w:val="00AF0128"/>
    <w:rsid w:val="00AF06CE"/>
    <w:rsid w:val="00AF0BD2"/>
    <w:rsid w:val="00AF11E1"/>
    <w:rsid w:val="00AF196C"/>
    <w:rsid w:val="00AF1CD7"/>
    <w:rsid w:val="00AF1F1E"/>
    <w:rsid w:val="00AF2497"/>
    <w:rsid w:val="00AF2778"/>
    <w:rsid w:val="00AF28DA"/>
    <w:rsid w:val="00AF31B9"/>
    <w:rsid w:val="00AF3CC4"/>
    <w:rsid w:val="00AF402E"/>
    <w:rsid w:val="00AF4D1D"/>
    <w:rsid w:val="00AF551A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2AA"/>
    <w:rsid w:val="00B03AA8"/>
    <w:rsid w:val="00B03AE9"/>
    <w:rsid w:val="00B03D7D"/>
    <w:rsid w:val="00B04734"/>
    <w:rsid w:val="00B0601D"/>
    <w:rsid w:val="00B062FC"/>
    <w:rsid w:val="00B06544"/>
    <w:rsid w:val="00B06A60"/>
    <w:rsid w:val="00B07717"/>
    <w:rsid w:val="00B10466"/>
    <w:rsid w:val="00B10957"/>
    <w:rsid w:val="00B10D66"/>
    <w:rsid w:val="00B110FA"/>
    <w:rsid w:val="00B1160B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AA3"/>
    <w:rsid w:val="00B21D6F"/>
    <w:rsid w:val="00B22170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5ED"/>
    <w:rsid w:val="00B266F9"/>
    <w:rsid w:val="00B26988"/>
    <w:rsid w:val="00B2771B"/>
    <w:rsid w:val="00B27825"/>
    <w:rsid w:val="00B30193"/>
    <w:rsid w:val="00B31A7C"/>
    <w:rsid w:val="00B329F1"/>
    <w:rsid w:val="00B32FE4"/>
    <w:rsid w:val="00B33C6A"/>
    <w:rsid w:val="00B33F67"/>
    <w:rsid w:val="00B34518"/>
    <w:rsid w:val="00B34657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3E92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ABC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4DE"/>
    <w:rsid w:val="00B77799"/>
    <w:rsid w:val="00B77869"/>
    <w:rsid w:val="00B779E8"/>
    <w:rsid w:val="00B77C78"/>
    <w:rsid w:val="00B803FA"/>
    <w:rsid w:val="00B81DE0"/>
    <w:rsid w:val="00B81FC6"/>
    <w:rsid w:val="00B832A2"/>
    <w:rsid w:val="00B83AC3"/>
    <w:rsid w:val="00B83E44"/>
    <w:rsid w:val="00B83F63"/>
    <w:rsid w:val="00B845B9"/>
    <w:rsid w:val="00B85A0D"/>
    <w:rsid w:val="00B85B7B"/>
    <w:rsid w:val="00B878D1"/>
    <w:rsid w:val="00B90F18"/>
    <w:rsid w:val="00B90F5C"/>
    <w:rsid w:val="00B91031"/>
    <w:rsid w:val="00B91B85"/>
    <w:rsid w:val="00B92132"/>
    <w:rsid w:val="00B923CA"/>
    <w:rsid w:val="00B93081"/>
    <w:rsid w:val="00B93CA1"/>
    <w:rsid w:val="00B93DC3"/>
    <w:rsid w:val="00B940F0"/>
    <w:rsid w:val="00B94A6D"/>
    <w:rsid w:val="00B94BF8"/>
    <w:rsid w:val="00B960A9"/>
    <w:rsid w:val="00B9625E"/>
    <w:rsid w:val="00B96863"/>
    <w:rsid w:val="00B96DCC"/>
    <w:rsid w:val="00B978AA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3B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BD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4E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B46"/>
    <w:rsid w:val="00C12DDA"/>
    <w:rsid w:val="00C130D3"/>
    <w:rsid w:val="00C139C8"/>
    <w:rsid w:val="00C15013"/>
    <w:rsid w:val="00C15711"/>
    <w:rsid w:val="00C158B8"/>
    <w:rsid w:val="00C161DA"/>
    <w:rsid w:val="00C16B16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66F"/>
    <w:rsid w:val="00C23A4C"/>
    <w:rsid w:val="00C23C02"/>
    <w:rsid w:val="00C2413B"/>
    <w:rsid w:val="00C25A22"/>
    <w:rsid w:val="00C2605B"/>
    <w:rsid w:val="00C27190"/>
    <w:rsid w:val="00C27DEA"/>
    <w:rsid w:val="00C30290"/>
    <w:rsid w:val="00C30C6C"/>
    <w:rsid w:val="00C3134E"/>
    <w:rsid w:val="00C3180F"/>
    <w:rsid w:val="00C31D39"/>
    <w:rsid w:val="00C3218E"/>
    <w:rsid w:val="00C3279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47AF3"/>
    <w:rsid w:val="00C507DB"/>
    <w:rsid w:val="00C50B10"/>
    <w:rsid w:val="00C51414"/>
    <w:rsid w:val="00C51F39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67D8C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BDC"/>
    <w:rsid w:val="00C76F3B"/>
    <w:rsid w:val="00C7750C"/>
    <w:rsid w:val="00C77C9B"/>
    <w:rsid w:val="00C800BB"/>
    <w:rsid w:val="00C81A1C"/>
    <w:rsid w:val="00C83099"/>
    <w:rsid w:val="00C834CE"/>
    <w:rsid w:val="00C840F4"/>
    <w:rsid w:val="00C8472D"/>
    <w:rsid w:val="00C850D5"/>
    <w:rsid w:val="00C85C6F"/>
    <w:rsid w:val="00C86322"/>
    <w:rsid w:val="00C86377"/>
    <w:rsid w:val="00C86F40"/>
    <w:rsid w:val="00C87187"/>
    <w:rsid w:val="00C871AA"/>
    <w:rsid w:val="00C8723C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6FF8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359"/>
    <w:rsid w:val="00CA4C11"/>
    <w:rsid w:val="00CA5045"/>
    <w:rsid w:val="00CA5AEE"/>
    <w:rsid w:val="00CA681B"/>
    <w:rsid w:val="00CA710C"/>
    <w:rsid w:val="00CA72F4"/>
    <w:rsid w:val="00CA7981"/>
    <w:rsid w:val="00CA7FA8"/>
    <w:rsid w:val="00CB0050"/>
    <w:rsid w:val="00CB0A98"/>
    <w:rsid w:val="00CB0B77"/>
    <w:rsid w:val="00CB0C13"/>
    <w:rsid w:val="00CB0D89"/>
    <w:rsid w:val="00CB1CB6"/>
    <w:rsid w:val="00CB2771"/>
    <w:rsid w:val="00CB291B"/>
    <w:rsid w:val="00CB2CB7"/>
    <w:rsid w:val="00CB3836"/>
    <w:rsid w:val="00CB5334"/>
    <w:rsid w:val="00CB550C"/>
    <w:rsid w:val="00CB63F1"/>
    <w:rsid w:val="00CB645E"/>
    <w:rsid w:val="00CB6C09"/>
    <w:rsid w:val="00CB6CD0"/>
    <w:rsid w:val="00CB75B0"/>
    <w:rsid w:val="00CC1351"/>
    <w:rsid w:val="00CC1683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58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0"/>
    <w:rsid w:val="00CE1A11"/>
    <w:rsid w:val="00CE21C1"/>
    <w:rsid w:val="00CE25BF"/>
    <w:rsid w:val="00CE29FB"/>
    <w:rsid w:val="00CE34E0"/>
    <w:rsid w:val="00CE357A"/>
    <w:rsid w:val="00CE4E07"/>
    <w:rsid w:val="00CE59C6"/>
    <w:rsid w:val="00CE6175"/>
    <w:rsid w:val="00CE651C"/>
    <w:rsid w:val="00CE6551"/>
    <w:rsid w:val="00CE66AD"/>
    <w:rsid w:val="00CE6D3A"/>
    <w:rsid w:val="00CF0CD3"/>
    <w:rsid w:val="00CF0FF3"/>
    <w:rsid w:val="00CF166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6E6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0EC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45CA"/>
    <w:rsid w:val="00D0550D"/>
    <w:rsid w:val="00D05FB5"/>
    <w:rsid w:val="00D05FBC"/>
    <w:rsid w:val="00D064C6"/>
    <w:rsid w:val="00D0747A"/>
    <w:rsid w:val="00D079DF"/>
    <w:rsid w:val="00D101D1"/>
    <w:rsid w:val="00D105C6"/>
    <w:rsid w:val="00D10B53"/>
    <w:rsid w:val="00D11A5F"/>
    <w:rsid w:val="00D1280E"/>
    <w:rsid w:val="00D128D0"/>
    <w:rsid w:val="00D129E8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5BA0"/>
    <w:rsid w:val="00D26520"/>
    <w:rsid w:val="00D265AF"/>
    <w:rsid w:val="00D26B32"/>
    <w:rsid w:val="00D26D61"/>
    <w:rsid w:val="00D274EB"/>
    <w:rsid w:val="00D27862"/>
    <w:rsid w:val="00D27EB4"/>
    <w:rsid w:val="00D300A5"/>
    <w:rsid w:val="00D303E4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2C8"/>
    <w:rsid w:val="00D355AA"/>
    <w:rsid w:val="00D355F7"/>
    <w:rsid w:val="00D356EC"/>
    <w:rsid w:val="00D35831"/>
    <w:rsid w:val="00D35D57"/>
    <w:rsid w:val="00D35F17"/>
    <w:rsid w:val="00D3669C"/>
    <w:rsid w:val="00D37179"/>
    <w:rsid w:val="00D37D56"/>
    <w:rsid w:val="00D4066D"/>
    <w:rsid w:val="00D4075A"/>
    <w:rsid w:val="00D41093"/>
    <w:rsid w:val="00D413C2"/>
    <w:rsid w:val="00D42900"/>
    <w:rsid w:val="00D429C3"/>
    <w:rsid w:val="00D43836"/>
    <w:rsid w:val="00D4399F"/>
    <w:rsid w:val="00D44C0A"/>
    <w:rsid w:val="00D44EC4"/>
    <w:rsid w:val="00D4525F"/>
    <w:rsid w:val="00D45D66"/>
    <w:rsid w:val="00D46A80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59B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77FB2"/>
    <w:rsid w:val="00D801F6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1E0B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5C3"/>
    <w:rsid w:val="00D96D31"/>
    <w:rsid w:val="00DA0F45"/>
    <w:rsid w:val="00DA1950"/>
    <w:rsid w:val="00DA1D3A"/>
    <w:rsid w:val="00DA2A2E"/>
    <w:rsid w:val="00DA2AA2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85F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1F8E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2FE7"/>
    <w:rsid w:val="00DD3467"/>
    <w:rsid w:val="00DD3EFC"/>
    <w:rsid w:val="00DD49A7"/>
    <w:rsid w:val="00DD5045"/>
    <w:rsid w:val="00DD50BB"/>
    <w:rsid w:val="00DD5D9B"/>
    <w:rsid w:val="00DD71E0"/>
    <w:rsid w:val="00DD78D7"/>
    <w:rsid w:val="00DD7C9E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325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3B3"/>
    <w:rsid w:val="00E079F1"/>
    <w:rsid w:val="00E07D65"/>
    <w:rsid w:val="00E105D2"/>
    <w:rsid w:val="00E1091E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F8A"/>
    <w:rsid w:val="00E16279"/>
    <w:rsid w:val="00E170FA"/>
    <w:rsid w:val="00E17D56"/>
    <w:rsid w:val="00E2047B"/>
    <w:rsid w:val="00E204B7"/>
    <w:rsid w:val="00E208CE"/>
    <w:rsid w:val="00E20AB1"/>
    <w:rsid w:val="00E20C87"/>
    <w:rsid w:val="00E21379"/>
    <w:rsid w:val="00E2168E"/>
    <w:rsid w:val="00E21D4E"/>
    <w:rsid w:val="00E21FBD"/>
    <w:rsid w:val="00E22085"/>
    <w:rsid w:val="00E22B9C"/>
    <w:rsid w:val="00E23645"/>
    <w:rsid w:val="00E23C9B"/>
    <w:rsid w:val="00E23CB6"/>
    <w:rsid w:val="00E246D9"/>
    <w:rsid w:val="00E26476"/>
    <w:rsid w:val="00E26C47"/>
    <w:rsid w:val="00E27146"/>
    <w:rsid w:val="00E2724D"/>
    <w:rsid w:val="00E2786A"/>
    <w:rsid w:val="00E300D8"/>
    <w:rsid w:val="00E309BA"/>
    <w:rsid w:val="00E312D1"/>
    <w:rsid w:val="00E3151F"/>
    <w:rsid w:val="00E316AE"/>
    <w:rsid w:val="00E319B4"/>
    <w:rsid w:val="00E320CC"/>
    <w:rsid w:val="00E32583"/>
    <w:rsid w:val="00E32D44"/>
    <w:rsid w:val="00E33003"/>
    <w:rsid w:val="00E33191"/>
    <w:rsid w:val="00E33372"/>
    <w:rsid w:val="00E33A58"/>
    <w:rsid w:val="00E34C43"/>
    <w:rsid w:val="00E353C3"/>
    <w:rsid w:val="00E3543B"/>
    <w:rsid w:val="00E35ED1"/>
    <w:rsid w:val="00E3650A"/>
    <w:rsid w:val="00E3665E"/>
    <w:rsid w:val="00E369FA"/>
    <w:rsid w:val="00E371B9"/>
    <w:rsid w:val="00E3734A"/>
    <w:rsid w:val="00E37DE2"/>
    <w:rsid w:val="00E37FB5"/>
    <w:rsid w:val="00E4014F"/>
    <w:rsid w:val="00E40B30"/>
    <w:rsid w:val="00E40B6A"/>
    <w:rsid w:val="00E40F89"/>
    <w:rsid w:val="00E42094"/>
    <w:rsid w:val="00E4269D"/>
    <w:rsid w:val="00E43A04"/>
    <w:rsid w:val="00E43A3B"/>
    <w:rsid w:val="00E449DC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3C97"/>
    <w:rsid w:val="00E54C24"/>
    <w:rsid w:val="00E55946"/>
    <w:rsid w:val="00E56159"/>
    <w:rsid w:val="00E5695E"/>
    <w:rsid w:val="00E56A96"/>
    <w:rsid w:val="00E56ECD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0A93"/>
    <w:rsid w:val="00E92192"/>
    <w:rsid w:val="00E92385"/>
    <w:rsid w:val="00E924B4"/>
    <w:rsid w:val="00E92504"/>
    <w:rsid w:val="00E92612"/>
    <w:rsid w:val="00E92825"/>
    <w:rsid w:val="00E94DAA"/>
    <w:rsid w:val="00E95219"/>
    <w:rsid w:val="00E95AFD"/>
    <w:rsid w:val="00EA06A6"/>
    <w:rsid w:val="00EA113D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0E2"/>
    <w:rsid w:val="00EB6221"/>
    <w:rsid w:val="00EB6B7C"/>
    <w:rsid w:val="00EB7574"/>
    <w:rsid w:val="00EB75D1"/>
    <w:rsid w:val="00EC02FF"/>
    <w:rsid w:val="00EC1209"/>
    <w:rsid w:val="00EC1FB9"/>
    <w:rsid w:val="00EC2BA9"/>
    <w:rsid w:val="00EC3CA0"/>
    <w:rsid w:val="00EC4700"/>
    <w:rsid w:val="00EC4746"/>
    <w:rsid w:val="00EC52DB"/>
    <w:rsid w:val="00EC5722"/>
    <w:rsid w:val="00EC67C9"/>
    <w:rsid w:val="00EC74D0"/>
    <w:rsid w:val="00EC7716"/>
    <w:rsid w:val="00ED0228"/>
    <w:rsid w:val="00ED078A"/>
    <w:rsid w:val="00ED1597"/>
    <w:rsid w:val="00ED1B79"/>
    <w:rsid w:val="00ED24FC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157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6906"/>
    <w:rsid w:val="00F171A3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59F8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87C"/>
    <w:rsid w:val="00F45B6E"/>
    <w:rsid w:val="00F46474"/>
    <w:rsid w:val="00F4655A"/>
    <w:rsid w:val="00F468EF"/>
    <w:rsid w:val="00F4791D"/>
    <w:rsid w:val="00F47DD1"/>
    <w:rsid w:val="00F50287"/>
    <w:rsid w:val="00F50B46"/>
    <w:rsid w:val="00F50CF3"/>
    <w:rsid w:val="00F513BA"/>
    <w:rsid w:val="00F532D7"/>
    <w:rsid w:val="00F533FE"/>
    <w:rsid w:val="00F53F09"/>
    <w:rsid w:val="00F54F24"/>
    <w:rsid w:val="00F55B0C"/>
    <w:rsid w:val="00F56AD3"/>
    <w:rsid w:val="00F5770D"/>
    <w:rsid w:val="00F57A9F"/>
    <w:rsid w:val="00F607CB"/>
    <w:rsid w:val="00F6175C"/>
    <w:rsid w:val="00F62F9C"/>
    <w:rsid w:val="00F63DDA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67BB8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4197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2F2C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34C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A78C7"/>
    <w:rsid w:val="00FA7A75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8F1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E04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9EA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4F81"/>
    <w:rsid w:val="00FE5114"/>
    <w:rsid w:val="00FE52C8"/>
    <w:rsid w:val="00FE5B2A"/>
    <w:rsid w:val="00FE7A69"/>
    <w:rsid w:val="00FF0914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E2F50F"/>
  <w15:docId w15:val="{8014567C-6678-4CA8-BD3C-C8803C9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2;fld=134;dst=1004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AC6E-AD4B-48E0-A51B-D6FC0733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М.C.</cp:lastModifiedBy>
  <cp:revision>2</cp:revision>
  <cp:lastPrinted>2023-09-25T10:43:00Z</cp:lastPrinted>
  <dcterms:created xsi:type="dcterms:W3CDTF">2023-12-28T12:06:00Z</dcterms:created>
  <dcterms:modified xsi:type="dcterms:W3CDTF">2023-12-28T12:06:00Z</dcterms:modified>
</cp:coreProperties>
</file>